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default" w:ascii="Times New Roman" w:hAnsi="Times New Roman" w:eastAsia="方正小标宋简体" w:cs="Times New Roman"/>
          <w:color w:val="000000"/>
          <w:sz w:val="72"/>
          <w:szCs w:val="72"/>
        </w:rPr>
      </w:pPr>
      <w:bookmarkStart w:id="0" w:name="_Toc15306267"/>
    </w:p>
    <w:p>
      <w:pPr>
        <w:spacing w:line="600" w:lineRule="exact"/>
        <w:outlineLvl w:val="0"/>
        <w:rPr>
          <w:rFonts w:hint="default" w:ascii="Times New Roman" w:hAnsi="Times New Roman" w:eastAsia="方正小标宋简体" w:cs="Times New Roman"/>
          <w:color w:val="000000"/>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1" w:name="_Toc2090"/>
      <w:bookmarkStart w:id="2" w:name="_Toc7282"/>
      <w:bookmarkStart w:id="3" w:name="_Toc15377193"/>
      <w:bookmarkStart w:id="4" w:name="_Toc15378441"/>
      <w:bookmarkStart w:id="5" w:name="_Toc9075"/>
      <w:bookmarkStart w:id="6" w:name="_Toc15396597"/>
      <w:bookmarkStart w:id="7" w:name="_Toc19846"/>
      <w:bookmarkStart w:id="8" w:name="_Toc15377425"/>
      <w:bookmarkStart w:id="9" w:name="_Toc15396475"/>
      <w:bookmarkStart w:id="10" w:name="_Toc14892"/>
      <w:bookmarkStart w:id="11" w:name="_Toc2825"/>
      <w:r>
        <w:rPr>
          <w:rFonts w:hint="default" w:ascii="Times New Roman" w:hAnsi="Times New Roman" w:eastAsia="黑体" w:cs="Times New Roman"/>
          <w:color w:val="000000"/>
          <w:sz w:val="72"/>
          <w:szCs w:val="72"/>
        </w:rPr>
        <w:t>2020</w:t>
      </w:r>
      <w:r>
        <w:rPr>
          <w:rFonts w:hint="default" w:ascii="Times New Roman" w:hAnsi="Times New Roman" w:eastAsia="方正小标宋简体" w:cs="Times New Roman"/>
          <w:color w:val="000000"/>
          <w:sz w:val="72"/>
          <w:szCs w:val="72"/>
        </w:rPr>
        <w:t>年度</w:t>
      </w:r>
      <w:bookmarkEnd w:id="1"/>
      <w:bookmarkEnd w:id="2"/>
      <w:bookmarkEnd w:id="3"/>
      <w:bookmarkEnd w:id="4"/>
      <w:bookmarkEnd w:id="5"/>
      <w:bookmarkEnd w:id="6"/>
      <w:bookmarkEnd w:id="7"/>
      <w:bookmarkEnd w:id="8"/>
      <w:bookmarkEnd w:id="9"/>
      <w:bookmarkEnd w:id="10"/>
      <w:bookmarkEnd w:id="11"/>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12" w:name="_Toc15378442"/>
      <w:bookmarkStart w:id="13" w:name="_Toc15396598"/>
      <w:bookmarkStart w:id="14" w:name="_Toc15377194"/>
      <w:bookmarkStart w:id="15" w:name="_Toc1281"/>
      <w:bookmarkStart w:id="16" w:name="_Toc307"/>
      <w:bookmarkStart w:id="17" w:name="_Toc15377426"/>
      <w:bookmarkStart w:id="18" w:name="_Toc15396476"/>
      <w:bookmarkStart w:id="19" w:name="_Toc7355"/>
      <w:bookmarkStart w:id="20" w:name="_Toc17830"/>
      <w:bookmarkStart w:id="21" w:name="_Toc12305"/>
      <w:bookmarkStart w:id="22" w:name="_Toc28274"/>
      <w:r>
        <w:rPr>
          <w:rFonts w:hint="default" w:ascii="Times New Roman" w:hAnsi="Times New Roman" w:eastAsia="方正小标宋简体" w:cs="Times New Roman"/>
          <w:color w:val="000000"/>
          <w:sz w:val="48"/>
          <w:szCs w:val="48"/>
        </w:rPr>
        <w:t>四川省</w:t>
      </w:r>
      <w:bookmarkStart w:id="23" w:name="_Toc15306268"/>
      <w:r>
        <w:rPr>
          <w:rFonts w:hint="default" w:ascii="Times New Roman" w:hAnsi="Times New Roman" w:eastAsia="方正小标宋简体" w:cs="Times New Roman"/>
          <w:color w:val="000000"/>
          <w:sz w:val="48"/>
          <w:szCs w:val="48"/>
        </w:rPr>
        <w:t>攀枝花市广播电视台部门决算</w:t>
      </w:r>
      <w:bookmarkEnd w:id="12"/>
      <w:bookmarkEnd w:id="13"/>
      <w:bookmarkEnd w:id="14"/>
      <w:bookmarkEnd w:id="15"/>
      <w:bookmarkEnd w:id="16"/>
      <w:bookmarkEnd w:id="17"/>
      <w:bookmarkEnd w:id="18"/>
      <w:bookmarkEnd w:id="19"/>
      <w:bookmarkEnd w:id="20"/>
      <w:bookmarkEnd w:id="21"/>
      <w:bookmarkEnd w:id="22"/>
      <w:bookmarkEnd w:id="23"/>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p>
      <w:pPr>
        <w:spacing w:line="600" w:lineRule="exact"/>
        <w:outlineLvl w:val="0"/>
        <w:rPr>
          <w:rFonts w:hint="default" w:ascii="Times New Roman" w:hAnsi="Times New Roman" w:eastAsia="方正小标宋简体" w:cs="Times New Roman"/>
          <w:color w:val="000000"/>
          <w:sz w:val="72"/>
          <w:szCs w:val="72"/>
        </w:rPr>
      </w:pPr>
    </w:p>
    <w:bookmarkEnd w:id="0"/>
    <w:p>
      <w:pPr>
        <w:widowControl/>
        <w:jc w:val="center"/>
        <w:rPr>
          <w:rFonts w:hint="default" w:ascii="Times New Roman" w:hAnsi="Times New Roman" w:eastAsia="黑体" w:cs="Times New Roman"/>
          <w:color w:val="000000"/>
          <w:sz w:val="48"/>
          <w:szCs w:val="48"/>
        </w:rPr>
      </w:pPr>
      <w:bookmarkStart w:id="24" w:name="_Toc15396599"/>
      <w:bookmarkStart w:id="25" w:name="_Toc15377196"/>
      <w:r>
        <w:rPr>
          <w:rFonts w:hint="default" w:ascii="Times New Roman" w:hAnsi="Times New Roman" w:eastAsia="黑体" w:cs="Times New Roman"/>
          <w:color w:val="000000"/>
          <w:sz w:val="48"/>
          <w:szCs w:val="48"/>
        </w:rPr>
        <w:t>目录</w:t>
      </w:r>
    </w:p>
    <w:p>
      <w:pPr>
        <w:widowControl/>
        <w:jc w:val="center"/>
        <w:rPr>
          <w:rFonts w:hint="default" w:ascii="Times New Roman" w:hAnsi="Times New Roman" w:eastAsia="黑体" w:cs="Times New Roman"/>
          <w:sz w:val="28"/>
          <w:szCs w:val="28"/>
        </w:rPr>
      </w:pPr>
    </w:p>
    <w:p>
      <w:pPr>
        <w:pStyle w:val="11"/>
        <w:rPr>
          <w:rFonts w:hint="default" w:ascii="Times New Roman" w:hAnsi="Times New Roman" w:cs="Times New Roman"/>
        </w:rPr>
      </w:pPr>
      <w:r>
        <w:rPr>
          <w:rFonts w:hint="default" w:ascii="Times New Roman" w:hAnsi="Times New Roman" w:cs="Times New Roman"/>
        </w:rPr>
        <w:t>公开时间：2021年9月1</w:t>
      </w:r>
      <w:r>
        <w:rPr>
          <w:rFonts w:hint="eastAsia" w:ascii="Times New Roman" w:hAnsi="Times New Roman" w:cs="Times New Roman"/>
          <w:lang w:val="en-US" w:eastAsia="zh-CN"/>
        </w:rPr>
        <w:t>0</w:t>
      </w:r>
      <w:r>
        <w:rPr>
          <w:rFonts w:hint="default" w:ascii="Times New Roman" w:hAnsi="Times New Roman" w:cs="Times New Roman"/>
        </w:rPr>
        <w:t>日</w:t>
      </w:r>
    </w:p>
    <w:p>
      <w:pPr>
        <w:pStyle w:val="11"/>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TOC \o "1-2"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"_Toc85037120" </w:instrText>
      </w:r>
      <w:r>
        <w:rPr>
          <w:rFonts w:hint="default" w:ascii="Times New Roman" w:hAnsi="Times New Roman" w:cs="Times New Roman"/>
        </w:rPr>
        <w:fldChar w:fldCharType="separate"/>
      </w:r>
      <w:r>
        <w:rPr>
          <w:rStyle w:val="15"/>
          <w:rFonts w:hint="default" w:ascii="Times New Roman" w:hAnsi="Times New Roman" w:eastAsia="黑体" w:cs="Times New Roman"/>
        </w:rPr>
        <w:t>第一部分部门概况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_Toc85037120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"_Toc85037121" </w:instrText>
      </w:r>
      <w:r>
        <w:rPr>
          <w:rFonts w:hint="default" w:ascii="Times New Roman" w:hAnsi="Times New Roman" w:cs="Times New Roman"/>
        </w:rPr>
        <w:fldChar w:fldCharType="separate"/>
      </w:r>
      <w:r>
        <w:rPr>
          <w:rStyle w:val="15"/>
          <w:rFonts w:hint="default" w:ascii="Times New Roman" w:hAnsi="Times New Roman" w:eastAsia="黑体" w:cs="Times New Roman"/>
        </w:rPr>
        <w:t>一、基本职能及主要工作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_Toc85037121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"_Toc85037122" </w:instrText>
      </w:r>
      <w:r>
        <w:rPr>
          <w:rFonts w:hint="default" w:ascii="Times New Roman" w:hAnsi="Times New Roman" w:cs="Times New Roman"/>
        </w:rPr>
        <w:fldChar w:fldCharType="separate"/>
      </w:r>
      <w:r>
        <w:rPr>
          <w:rStyle w:val="15"/>
          <w:rFonts w:hint="default" w:ascii="Times New Roman" w:hAnsi="Times New Roman" w:eastAsia="黑体" w:cs="Times New Roman"/>
        </w:rPr>
        <w:t>二、机构设置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_Toc85037122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"_Toc85037123" </w:instrText>
      </w:r>
      <w:r>
        <w:rPr>
          <w:rFonts w:hint="default" w:ascii="Times New Roman" w:hAnsi="Times New Roman" w:cs="Times New Roman"/>
        </w:rPr>
        <w:fldChar w:fldCharType="separate"/>
      </w:r>
      <w:r>
        <w:rPr>
          <w:rStyle w:val="15"/>
          <w:rFonts w:hint="default" w:ascii="Times New Roman" w:hAnsi="Times New Roman" w:eastAsia="黑体" w:cs="Times New Roman"/>
        </w:rPr>
        <w:t>第二部分 2020年度部门决算情况说明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_Toc85037123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left" w:pos="1260"/>
        </w:tabs>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"_Toc85037124" </w:instrText>
      </w:r>
      <w:r>
        <w:rPr>
          <w:rFonts w:hint="default" w:ascii="Times New Roman" w:hAnsi="Times New Roman" w:cs="Times New Roman"/>
        </w:rPr>
        <w:fldChar w:fldCharType="separate"/>
      </w:r>
      <w:r>
        <w:rPr>
          <w:rStyle w:val="15"/>
          <w:rFonts w:hint="default" w:ascii="Times New Roman" w:hAnsi="Times New Roman" w:eastAsia="黑体" w:cs="Times New Roman"/>
          <w:bCs/>
        </w:rPr>
        <w:t>一、</w:t>
      </w:r>
      <w:r>
        <w:rPr>
          <w:rFonts w:hint="default" w:ascii="Times New Roman" w:hAnsi="Times New Roman" w:cs="Times New Roman" w:eastAsiaTheme="minorEastAsia"/>
          <w:szCs w:val="22"/>
        </w:rPr>
        <w:tab/>
      </w:r>
      <w:r>
        <w:rPr>
          <w:rStyle w:val="15"/>
          <w:rFonts w:hint="default" w:ascii="Times New Roman" w:hAnsi="Times New Roman" w:eastAsia="黑体" w:cs="Times New Roman"/>
        </w:rPr>
        <w:t>收</w:t>
      </w:r>
      <w:r>
        <w:rPr>
          <w:rStyle w:val="15"/>
          <w:rFonts w:hint="default" w:ascii="Times New Roman" w:hAnsi="Times New Roman" w:eastAsia="黑体" w:cs="Times New Roman"/>
          <w:bCs/>
        </w:rPr>
        <w:t>入支出决算总体情况说明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_Toc85037124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left" w:pos="1260"/>
        </w:tabs>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"_Toc85037125" </w:instrText>
      </w:r>
      <w:r>
        <w:rPr>
          <w:rFonts w:hint="default" w:ascii="Times New Roman" w:hAnsi="Times New Roman" w:cs="Times New Roman"/>
        </w:rPr>
        <w:fldChar w:fldCharType="separate"/>
      </w:r>
      <w:r>
        <w:rPr>
          <w:rStyle w:val="15"/>
          <w:rFonts w:hint="default" w:ascii="Times New Roman" w:hAnsi="Times New Roman" w:eastAsia="黑体" w:cs="Times New Roman"/>
          <w:bCs/>
        </w:rPr>
        <w:t>二、</w:t>
      </w:r>
      <w:r>
        <w:rPr>
          <w:rFonts w:hint="default" w:ascii="Times New Roman" w:hAnsi="Times New Roman" w:cs="Times New Roman" w:eastAsiaTheme="minorEastAsia"/>
          <w:szCs w:val="22"/>
        </w:rPr>
        <w:tab/>
      </w:r>
      <w:r>
        <w:rPr>
          <w:rStyle w:val="15"/>
          <w:rFonts w:hint="default" w:ascii="Times New Roman" w:hAnsi="Times New Roman" w:eastAsia="黑体" w:cs="Times New Roman"/>
        </w:rPr>
        <w:t>收</w:t>
      </w:r>
      <w:r>
        <w:rPr>
          <w:rStyle w:val="15"/>
          <w:rFonts w:hint="default" w:ascii="Times New Roman" w:hAnsi="Times New Roman" w:eastAsia="黑体" w:cs="Times New Roman"/>
          <w:bCs/>
        </w:rPr>
        <w:t>入决算情况说明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_Toc85037125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tabs>
          <w:tab w:val="left" w:pos="1260"/>
        </w:tabs>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"_Toc85037128" </w:instrText>
      </w:r>
      <w:r>
        <w:rPr>
          <w:rFonts w:hint="default" w:ascii="Times New Roman" w:hAnsi="Times New Roman" w:cs="Times New Roman"/>
        </w:rPr>
        <w:fldChar w:fldCharType="separate"/>
      </w:r>
      <w:r>
        <w:rPr>
          <w:rStyle w:val="15"/>
          <w:rFonts w:hint="default" w:ascii="Times New Roman" w:hAnsi="Times New Roman" w:eastAsia="黑体" w:cs="Times New Roman"/>
          <w:bCs/>
        </w:rPr>
        <w:t>三、</w:t>
      </w:r>
      <w:r>
        <w:rPr>
          <w:rFonts w:hint="default" w:ascii="Times New Roman" w:hAnsi="Times New Roman" w:cs="Times New Roman" w:eastAsiaTheme="minorEastAsia"/>
          <w:szCs w:val="22"/>
        </w:rPr>
        <w:tab/>
      </w:r>
      <w:r>
        <w:rPr>
          <w:rStyle w:val="15"/>
          <w:rFonts w:hint="default" w:ascii="Times New Roman" w:hAnsi="Times New Roman" w:eastAsia="黑体" w:cs="Times New Roman"/>
        </w:rPr>
        <w:t>支</w:t>
      </w:r>
      <w:r>
        <w:rPr>
          <w:rStyle w:val="15"/>
          <w:rFonts w:hint="default" w:ascii="Times New Roman" w:hAnsi="Times New Roman" w:eastAsia="黑体" w:cs="Times New Roman"/>
          <w:bCs/>
        </w:rPr>
        <w:t>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_Toc85037128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r>
        <w:rPr>
          <w:rFonts w:hint="default" w:ascii="Times New Roman" w:hAnsi="Times New Roman" w:cs="Times New Roman" w:eastAsiaTheme="minorEastAsia"/>
          <w:szCs w:val="22"/>
        </w:rPr>
        <w:t xml:space="preserve"> </w:t>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"_Toc85037131" </w:instrText>
      </w:r>
      <w:r>
        <w:rPr>
          <w:rFonts w:hint="default" w:ascii="Times New Roman" w:hAnsi="Times New Roman" w:cs="Times New Roman"/>
        </w:rPr>
        <w:fldChar w:fldCharType="separate"/>
      </w:r>
      <w:r>
        <w:rPr>
          <w:rStyle w:val="15"/>
          <w:rFonts w:hint="default" w:ascii="Times New Roman" w:hAnsi="Times New Roman" w:eastAsia="黑体" w:cs="Times New Roman"/>
        </w:rPr>
        <w:t>四、财</w:t>
      </w:r>
      <w:r>
        <w:rPr>
          <w:rStyle w:val="15"/>
          <w:rFonts w:hint="default" w:ascii="Times New Roman" w:hAnsi="Times New Roman" w:eastAsia="黑体" w:cs="Times New Roman"/>
          <w:bCs/>
        </w:rPr>
        <w:t>政拨款收入支出决算总体情况说明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_Toc85037131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"_Toc85037132" </w:instrText>
      </w:r>
      <w:r>
        <w:rPr>
          <w:rFonts w:hint="default" w:ascii="Times New Roman" w:hAnsi="Times New Roman" w:cs="Times New Roman"/>
        </w:rPr>
        <w:fldChar w:fldCharType="separate"/>
      </w:r>
      <w:r>
        <w:rPr>
          <w:rStyle w:val="15"/>
          <w:rFonts w:hint="default" w:ascii="Times New Roman" w:hAnsi="Times New Roman" w:eastAsia="黑体" w:cs="Times New Roman"/>
        </w:rPr>
        <w:t>五、</w:t>
      </w:r>
      <w:r>
        <w:rPr>
          <w:rStyle w:val="15"/>
          <w:rFonts w:hint="default" w:ascii="Times New Roman" w:hAnsi="Times New Roman" w:eastAsia="黑体" w:cs="Times New Roman"/>
          <w:b/>
        </w:rPr>
        <w:t>一</w:t>
      </w:r>
      <w:r>
        <w:rPr>
          <w:rStyle w:val="15"/>
          <w:rFonts w:hint="default" w:ascii="Times New Roman" w:hAnsi="Times New Roman" w:eastAsia="黑体" w:cs="Times New Roman"/>
          <w:bCs/>
        </w:rPr>
        <w:t>般公共预算财政拨款支出决算情况说明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_Toc85037132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"_Toc85037133" </w:instrText>
      </w:r>
      <w:r>
        <w:rPr>
          <w:rFonts w:hint="default" w:ascii="Times New Roman" w:hAnsi="Times New Roman" w:cs="Times New Roman"/>
        </w:rPr>
        <w:fldChar w:fldCharType="separate"/>
      </w:r>
      <w:r>
        <w:rPr>
          <w:rStyle w:val="15"/>
          <w:rFonts w:hint="default" w:ascii="Times New Roman" w:hAnsi="Times New Roman" w:eastAsia="黑体" w:cs="Times New Roman"/>
        </w:rPr>
        <w:t>六</w:t>
      </w:r>
      <w:r>
        <w:rPr>
          <w:rStyle w:val="15"/>
          <w:rFonts w:hint="default" w:ascii="Times New Roman" w:hAnsi="Times New Roman" w:eastAsia="黑体" w:cs="Times New Roman"/>
          <w:b/>
        </w:rPr>
        <w:t>、一</w:t>
      </w:r>
      <w:r>
        <w:rPr>
          <w:rStyle w:val="15"/>
          <w:rFonts w:hint="default" w:ascii="Times New Roman" w:hAnsi="Times New Roman" w:eastAsia="黑体" w:cs="Times New Roman"/>
          <w:bCs/>
        </w:rPr>
        <w:t>般公共预算财政拨款基本支出决算情况说明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_Toc85037133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"_Toc85037134" </w:instrText>
      </w:r>
      <w:r>
        <w:rPr>
          <w:rFonts w:hint="default" w:ascii="Times New Roman" w:hAnsi="Times New Roman" w:cs="Times New Roman"/>
        </w:rPr>
        <w:fldChar w:fldCharType="separate"/>
      </w:r>
      <w:r>
        <w:rPr>
          <w:rStyle w:val="15"/>
          <w:rFonts w:hint="default" w:ascii="Times New Roman" w:hAnsi="Times New Roman" w:eastAsia="黑体" w:cs="Times New Roman"/>
        </w:rPr>
        <w:t>七、</w:t>
      </w:r>
      <w:r>
        <w:rPr>
          <w:rStyle w:val="15"/>
          <w:rFonts w:hint="default" w:ascii="Times New Roman" w:hAnsi="Times New Roman" w:eastAsia="黑体" w:cs="Times New Roman"/>
          <w:b/>
          <w:bCs/>
        </w:rPr>
        <w:t>“</w:t>
      </w:r>
      <w:r>
        <w:rPr>
          <w:rStyle w:val="15"/>
          <w:rFonts w:hint="default" w:ascii="Times New Roman" w:hAnsi="Times New Roman" w:eastAsia="黑体" w:cs="Times New Roman"/>
          <w:bCs/>
        </w:rPr>
        <w:t>三公”经费财政拨款支出决算情况说明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_Toc85037134 \h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"_Toc85037135" </w:instrText>
      </w:r>
      <w:r>
        <w:rPr>
          <w:rFonts w:hint="default" w:ascii="Times New Roman" w:hAnsi="Times New Roman" w:cs="Times New Roman"/>
        </w:rPr>
        <w:fldChar w:fldCharType="separate"/>
      </w:r>
      <w:r>
        <w:rPr>
          <w:rStyle w:val="15"/>
          <w:rFonts w:hint="default" w:ascii="Times New Roman" w:hAnsi="Times New Roman" w:eastAsia="黑体" w:cs="Times New Roman"/>
        </w:rPr>
        <w:t>八、</w:t>
      </w:r>
      <w:r>
        <w:rPr>
          <w:rStyle w:val="15"/>
          <w:rFonts w:hint="default" w:ascii="Times New Roman" w:hAnsi="Times New Roman" w:eastAsia="黑体" w:cs="Times New Roman"/>
          <w:bCs/>
        </w:rPr>
        <w:t>政府性基金预算支出决算情况说明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_Toc85037135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"_Toc85037136" </w:instrText>
      </w:r>
      <w:r>
        <w:rPr>
          <w:rFonts w:hint="default" w:ascii="Times New Roman" w:hAnsi="Times New Roman" w:cs="Times New Roman"/>
        </w:rPr>
        <w:fldChar w:fldCharType="separate"/>
      </w:r>
      <w:r>
        <w:rPr>
          <w:rStyle w:val="15"/>
          <w:rFonts w:hint="default" w:ascii="Times New Roman" w:hAnsi="Times New Roman" w:eastAsia="黑体" w:cs="Times New Roman"/>
          <w:bCs/>
        </w:rPr>
        <w:t>九、 国有资本经营预算支出决算情况说明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_Toc85037136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"_Toc85037137" </w:instrText>
      </w:r>
      <w:r>
        <w:rPr>
          <w:rFonts w:hint="default" w:ascii="Times New Roman" w:hAnsi="Times New Roman" w:cs="Times New Roman"/>
        </w:rPr>
        <w:fldChar w:fldCharType="separate"/>
      </w:r>
      <w:r>
        <w:rPr>
          <w:rStyle w:val="15"/>
          <w:rFonts w:hint="default" w:ascii="Times New Roman" w:hAnsi="Times New Roman" w:eastAsia="黑体" w:cs="Times New Roman"/>
        </w:rPr>
        <w:t>十</w:t>
      </w:r>
      <w:r>
        <w:rPr>
          <w:rStyle w:val="15"/>
          <w:rFonts w:hint="default" w:ascii="Times New Roman" w:hAnsi="Times New Roman" w:eastAsia="黑体" w:cs="Times New Roman"/>
          <w:b/>
          <w:bCs/>
        </w:rPr>
        <w:t>、</w:t>
      </w:r>
      <w:r>
        <w:rPr>
          <w:rStyle w:val="15"/>
          <w:rFonts w:hint="default" w:ascii="Times New Roman" w:hAnsi="Times New Roman" w:eastAsia="黑体" w:cs="Times New Roman"/>
          <w:bCs/>
        </w:rPr>
        <w:t>其他重要事项的情况说明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_Toc85037137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"_Toc85037138" </w:instrText>
      </w:r>
      <w:r>
        <w:rPr>
          <w:rFonts w:hint="default" w:ascii="Times New Roman" w:hAnsi="Times New Roman" w:cs="Times New Roman"/>
        </w:rPr>
        <w:fldChar w:fldCharType="separate"/>
      </w:r>
      <w:r>
        <w:rPr>
          <w:rStyle w:val="15"/>
          <w:rFonts w:hint="default" w:ascii="Times New Roman" w:hAnsi="Times New Roman" w:eastAsia="黑体" w:cs="Times New Roman"/>
          <w:bCs/>
          <w:kern w:val="44"/>
        </w:rPr>
        <w:t>第三部分</w:t>
      </w:r>
      <w:r>
        <w:rPr>
          <w:rStyle w:val="15"/>
          <w:rFonts w:hint="default" w:ascii="Times New Roman" w:hAnsi="Times New Roman" w:eastAsia="黑体" w:cs="Times New Roman"/>
        </w:rPr>
        <w:t xml:space="preserve"> 名</w:t>
      </w:r>
      <w:r>
        <w:rPr>
          <w:rStyle w:val="15"/>
          <w:rFonts w:hint="default" w:ascii="Times New Roman" w:hAnsi="Times New Roman" w:eastAsia="黑体" w:cs="Times New Roman"/>
          <w:bCs/>
          <w:kern w:val="44"/>
        </w:rPr>
        <w:t>词解释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_Toc85037138 \h </w:instrText>
      </w:r>
      <w:r>
        <w:rPr>
          <w:rFonts w:hint="default" w:ascii="Times New Roman" w:hAnsi="Times New Roman" w:cs="Times New Roman"/>
        </w:rPr>
        <w:fldChar w:fldCharType="separate"/>
      </w:r>
      <w:r>
        <w:rPr>
          <w:rFonts w:hint="default" w:ascii="Times New Roman" w:hAnsi="Times New Roman" w:cs="Times New Roman"/>
        </w:rPr>
        <w:t>32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"_Toc85037139" </w:instrText>
      </w:r>
      <w:r>
        <w:rPr>
          <w:rFonts w:hint="default" w:ascii="Times New Roman" w:hAnsi="Times New Roman" w:cs="Times New Roman"/>
        </w:rPr>
        <w:fldChar w:fldCharType="separate"/>
      </w:r>
      <w:r>
        <w:rPr>
          <w:rStyle w:val="15"/>
          <w:rFonts w:hint="default" w:ascii="Times New Roman" w:hAnsi="Times New Roman" w:eastAsia="黑体" w:cs="Times New Roman"/>
        </w:rPr>
        <w:t>第</w:t>
      </w:r>
      <w:r>
        <w:rPr>
          <w:rStyle w:val="15"/>
          <w:rFonts w:hint="default" w:ascii="Times New Roman" w:hAnsi="Times New Roman" w:eastAsia="黑体" w:cs="Times New Roman"/>
          <w:bCs/>
          <w:kern w:val="44"/>
        </w:rPr>
        <w:t>四部分附件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_Toc85037139 \h </w:instrText>
      </w:r>
      <w:r>
        <w:rPr>
          <w:rFonts w:hint="default" w:ascii="Times New Roman" w:hAnsi="Times New Roman" w:cs="Times New Roman"/>
        </w:rPr>
        <w:fldChar w:fldCharType="separate"/>
      </w:r>
      <w:r>
        <w:rPr>
          <w:rFonts w:hint="default" w:ascii="Times New Roman" w:hAnsi="Times New Roman" w:cs="Times New Roman"/>
        </w:rPr>
        <w:t>35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"_Toc85037140" </w:instrText>
      </w:r>
      <w:r>
        <w:rPr>
          <w:rFonts w:hint="default" w:ascii="Times New Roman" w:hAnsi="Times New Roman" w:cs="Times New Roman"/>
        </w:rPr>
        <w:fldChar w:fldCharType="separate"/>
      </w:r>
      <w:r>
        <w:rPr>
          <w:rStyle w:val="15"/>
          <w:rFonts w:hint="default" w:ascii="Times New Roman" w:hAnsi="Times New Roman" w:eastAsia="黑体" w:cs="Times New Roman"/>
        </w:rPr>
        <w:t>第</w:t>
      </w:r>
      <w:r>
        <w:rPr>
          <w:rStyle w:val="15"/>
          <w:rFonts w:hint="default" w:ascii="Times New Roman" w:hAnsi="Times New Roman" w:eastAsia="黑体" w:cs="Times New Roman"/>
          <w:bCs/>
          <w:kern w:val="44"/>
        </w:rPr>
        <w:t>五部分附表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_Toc85037140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"_Toc85037141" </w:instrText>
      </w:r>
      <w:r>
        <w:rPr>
          <w:rFonts w:hint="default" w:ascii="Times New Roman" w:hAnsi="Times New Roman" w:cs="Times New Roman"/>
        </w:rPr>
        <w:fldChar w:fldCharType="separate"/>
      </w:r>
      <w:r>
        <w:rPr>
          <w:rStyle w:val="15"/>
          <w:rFonts w:hint="default" w:ascii="Times New Roman" w:hAnsi="Times New Roman" w:eastAsia="仿宋" w:cs="Times New Roman"/>
        </w:rPr>
        <w:t>一、收入支出决算总表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_Toc85037141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"_Toc85037142" </w:instrText>
      </w:r>
      <w:r>
        <w:rPr>
          <w:rFonts w:hint="default" w:ascii="Times New Roman" w:hAnsi="Times New Roman" w:cs="Times New Roman"/>
        </w:rPr>
        <w:fldChar w:fldCharType="separate"/>
      </w:r>
      <w:r>
        <w:rPr>
          <w:rStyle w:val="15"/>
          <w:rFonts w:hint="default" w:ascii="Times New Roman" w:hAnsi="Times New Roman" w:eastAsia="仿宋" w:cs="Times New Roman"/>
        </w:rPr>
        <w:t>二、收入决算表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_Toc85037142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"_Toc85037143" </w:instrText>
      </w:r>
      <w:r>
        <w:rPr>
          <w:rFonts w:hint="default" w:ascii="Times New Roman" w:hAnsi="Times New Roman" w:cs="Times New Roman"/>
        </w:rPr>
        <w:fldChar w:fldCharType="separate"/>
      </w:r>
      <w:r>
        <w:rPr>
          <w:rStyle w:val="15"/>
          <w:rFonts w:hint="default" w:ascii="Times New Roman" w:hAnsi="Times New Roman" w:eastAsia="仿宋" w:cs="Times New Roman"/>
        </w:rPr>
        <w:t>三、支出决算表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_Toc85037143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"_Toc85037144" </w:instrText>
      </w:r>
      <w:r>
        <w:rPr>
          <w:rFonts w:hint="default" w:ascii="Times New Roman" w:hAnsi="Times New Roman" w:cs="Times New Roman"/>
        </w:rPr>
        <w:fldChar w:fldCharType="separate"/>
      </w:r>
      <w:r>
        <w:rPr>
          <w:rStyle w:val="15"/>
          <w:rFonts w:hint="default" w:ascii="Times New Roman" w:hAnsi="Times New Roman" w:eastAsia="仿宋" w:cs="Times New Roman"/>
        </w:rPr>
        <w:t>四、财政拨款收入支出决算总表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_Toc85037144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"_Toc85037145" </w:instrText>
      </w:r>
      <w:r>
        <w:rPr>
          <w:rFonts w:hint="default" w:ascii="Times New Roman" w:hAnsi="Times New Roman" w:cs="Times New Roman"/>
        </w:rPr>
        <w:fldChar w:fldCharType="separate"/>
      </w:r>
      <w:r>
        <w:rPr>
          <w:rStyle w:val="15"/>
          <w:rFonts w:hint="default" w:ascii="Times New Roman" w:hAnsi="Times New Roman" w:eastAsia="仿宋" w:cs="Times New Roman"/>
        </w:rPr>
        <w:t>五、财政拨款支出决算明细表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_Toc85037145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"_Toc85037146" </w:instrText>
      </w:r>
      <w:r>
        <w:rPr>
          <w:rFonts w:hint="default" w:ascii="Times New Roman" w:hAnsi="Times New Roman" w:cs="Times New Roman"/>
        </w:rPr>
        <w:fldChar w:fldCharType="separate"/>
      </w:r>
      <w:r>
        <w:rPr>
          <w:rStyle w:val="15"/>
          <w:rFonts w:hint="default" w:ascii="Times New Roman" w:hAnsi="Times New Roman" w:eastAsia="仿宋" w:cs="Times New Roman"/>
        </w:rPr>
        <w:t>六、一般公共预算财政拨款支出决算表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_Toc85037146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"_Toc85037147" </w:instrText>
      </w:r>
      <w:r>
        <w:rPr>
          <w:rFonts w:hint="default" w:ascii="Times New Roman" w:hAnsi="Times New Roman" w:cs="Times New Roman"/>
        </w:rPr>
        <w:fldChar w:fldCharType="separate"/>
      </w:r>
      <w:r>
        <w:rPr>
          <w:rStyle w:val="15"/>
          <w:rFonts w:hint="default" w:ascii="Times New Roman" w:hAnsi="Times New Roman" w:eastAsia="仿宋" w:cs="Times New Roman"/>
        </w:rPr>
        <w:t>七、一般公共预算财政拨款支出决算明细表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_Toc85037147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"_Toc85037148" </w:instrText>
      </w:r>
      <w:r>
        <w:rPr>
          <w:rFonts w:hint="default" w:ascii="Times New Roman" w:hAnsi="Times New Roman" w:cs="Times New Roman"/>
        </w:rPr>
        <w:fldChar w:fldCharType="separate"/>
      </w:r>
      <w:r>
        <w:rPr>
          <w:rStyle w:val="15"/>
          <w:rFonts w:hint="default" w:ascii="Times New Roman" w:hAnsi="Times New Roman" w:eastAsia="仿宋" w:cs="Times New Roman"/>
        </w:rPr>
        <w:t>八、一般公共预算财政拨款基本支出决算表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_Toc85037148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"_Toc85037149" </w:instrText>
      </w:r>
      <w:r>
        <w:rPr>
          <w:rFonts w:hint="default" w:ascii="Times New Roman" w:hAnsi="Times New Roman" w:cs="Times New Roman"/>
        </w:rPr>
        <w:fldChar w:fldCharType="separate"/>
      </w:r>
      <w:r>
        <w:rPr>
          <w:rStyle w:val="15"/>
          <w:rFonts w:hint="default" w:ascii="Times New Roman" w:hAnsi="Times New Roman" w:eastAsia="仿宋" w:cs="Times New Roman"/>
        </w:rPr>
        <w:t>九、一般公共预算财政拨款项目支出决算表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_Toc85037149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"_Toc85037150" </w:instrText>
      </w:r>
      <w:r>
        <w:rPr>
          <w:rFonts w:hint="default" w:ascii="Times New Roman" w:hAnsi="Times New Roman" w:cs="Times New Roman"/>
        </w:rPr>
        <w:fldChar w:fldCharType="separate"/>
      </w:r>
      <w:r>
        <w:rPr>
          <w:rStyle w:val="15"/>
          <w:rFonts w:hint="default" w:ascii="Times New Roman" w:hAnsi="Times New Roman" w:eastAsia="仿宋" w:cs="Times New Roman"/>
        </w:rPr>
        <w:t>十、一般公共预算财政拨款“三公”经费支出决算表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_Toc85037150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"_Toc85037151" </w:instrText>
      </w:r>
      <w:r>
        <w:rPr>
          <w:rFonts w:hint="default" w:ascii="Times New Roman" w:hAnsi="Times New Roman" w:cs="Times New Roman"/>
        </w:rPr>
        <w:fldChar w:fldCharType="separate"/>
      </w:r>
      <w:r>
        <w:rPr>
          <w:rStyle w:val="15"/>
          <w:rFonts w:hint="default" w:ascii="Times New Roman" w:hAnsi="Times New Roman" w:eastAsia="仿宋" w:cs="Times New Roman"/>
        </w:rPr>
        <w:t>十一、政府性基金预算财政拨款收入支出决算表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_Toc85037151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"_Toc85037152" </w:instrText>
      </w:r>
      <w:r>
        <w:rPr>
          <w:rFonts w:hint="default" w:ascii="Times New Roman" w:hAnsi="Times New Roman" w:cs="Times New Roman"/>
        </w:rPr>
        <w:fldChar w:fldCharType="separate"/>
      </w:r>
      <w:r>
        <w:rPr>
          <w:rStyle w:val="15"/>
          <w:rFonts w:hint="default" w:ascii="Times New Roman" w:hAnsi="Times New Roman" w:eastAsia="仿宋" w:cs="Times New Roman"/>
        </w:rPr>
        <w:t>十二、政府性基金预算财政拨款“三公”经费支出决算表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_Toc85037152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"_Toc85037153" </w:instrText>
      </w:r>
      <w:r>
        <w:rPr>
          <w:rFonts w:hint="default" w:ascii="Times New Roman" w:hAnsi="Times New Roman" w:cs="Times New Roman"/>
        </w:rPr>
        <w:fldChar w:fldCharType="separate"/>
      </w:r>
      <w:r>
        <w:rPr>
          <w:rStyle w:val="15"/>
          <w:rFonts w:hint="default" w:ascii="Times New Roman" w:hAnsi="Times New Roman" w:eastAsia="仿宋" w:cs="Times New Roman"/>
        </w:rPr>
        <w:t>十三、国有资本经营预算财政拨款收入支出决算表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_Toc85037153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2"/>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"_Toc85037154" </w:instrText>
      </w:r>
      <w:r>
        <w:rPr>
          <w:rFonts w:hint="default" w:ascii="Times New Roman" w:hAnsi="Times New Roman" w:cs="Times New Roman"/>
        </w:rPr>
        <w:fldChar w:fldCharType="separate"/>
      </w:r>
      <w:r>
        <w:rPr>
          <w:rStyle w:val="15"/>
          <w:rFonts w:hint="default" w:ascii="Times New Roman" w:hAnsi="Times New Roman" w:eastAsia="仿宋" w:cs="Times New Roman"/>
        </w:rPr>
        <w:t>十四、国有资本经营预算财政拨款支出决算表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_Toc85037154 \h </w:instrText>
      </w:r>
      <w:r>
        <w:rPr>
          <w:rFonts w:hint="default" w:ascii="Times New Roman" w:hAnsi="Times New Roman" w:cs="Times New Roman"/>
        </w:rPr>
        <w:fldChar w:fldCharType="separate"/>
      </w:r>
      <w:r>
        <w:rPr>
          <w:rFonts w:hint="default" w:ascii="Times New Roman" w:hAnsi="Times New Roman" w:cs="Times New Roman"/>
        </w:rPr>
        <w:t>58</w:t>
      </w:r>
      <w:r>
        <w:rPr>
          <w:rFonts w:hint="default" w:ascii="Times New Roman" w:hAnsi="Times New Roman" w:cs="Times New Roman"/>
        </w:rPr>
        <w:fldChar w:fldCharType="end"/>
      </w:r>
      <w:r>
        <w:rPr>
          <w:rFonts w:hint="default" w:ascii="Times New Roman" w:hAnsi="Times New Roman" w:cs="Times New Roman"/>
        </w:rPr>
        <w:fldChar w:fldCharType="end"/>
      </w:r>
    </w:p>
    <w:p>
      <w:pPr>
        <w:widowControl/>
        <w:jc w:val="center"/>
        <w:rPr>
          <w:rFonts w:hint="default" w:ascii="Times New Roman" w:hAnsi="Times New Roman" w:eastAsia="仿宋" w:cs="Times New Roman"/>
          <w:b/>
          <w:sz w:val="24"/>
        </w:rPr>
      </w:pPr>
      <w:r>
        <w:rPr>
          <w:rFonts w:hint="default" w:ascii="Times New Roman" w:hAnsi="Times New Roman" w:cs="Times New Roman"/>
        </w:rPr>
        <w:fldChar w:fldCharType="end"/>
      </w:r>
    </w:p>
    <w:p>
      <w:pPr>
        <w:pStyle w:val="2"/>
        <w:jc w:val="center"/>
        <w:rPr>
          <w:rFonts w:hint="default" w:ascii="Times New Roman" w:hAnsi="Times New Roman" w:eastAsia="黑体" w:cs="Times New Roman"/>
          <w:bCs w:val="0"/>
        </w:rPr>
      </w:pPr>
      <w:bookmarkStart w:id="26" w:name="_Toc85036698"/>
      <w:bookmarkStart w:id="27" w:name="_Toc85037120"/>
      <w:r>
        <w:rPr>
          <w:rFonts w:hint="default" w:ascii="Times New Roman" w:hAnsi="Times New Roman" w:eastAsia="黑体" w:cs="Times New Roman"/>
          <w:b w:val="0"/>
        </w:rPr>
        <w:t>第一部分</w:t>
      </w:r>
      <w:r>
        <w:rPr>
          <w:rStyle w:val="17"/>
          <w:rFonts w:hint="default" w:ascii="Times New Roman" w:hAnsi="Times New Roman" w:eastAsia="黑体" w:cs="Times New Roman"/>
          <w:b w:val="0"/>
          <w:bCs w:val="0"/>
        </w:rPr>
        <w:t>部门概况</w:t>
      </w:r>
      <w:bookmarkEnd w:id="24"/>
      <w:bookmarkEnd w:id="25"/>
      <w:bookmarkEnd w:id="26"/>
      <w:bookmarkEnd w:id="27"/>
    </w:p>
    <w:p>
      <w:pPr>
        <w:pStyle w:val="3"/>
        <w:rPr>
          <w:rStyle w:val="18"/>
          <w:rFonts w:hint="default" w:ascii="Times New Roman" w:hAnsi="Times New Roman" w:eastAsia="仿宋" w:cs="Times New Roman"/>
          <w:b w:val="0"/>
          <w:bCs w:val="0"/>
        </w:rPr>
      </w:pPr>
      <w:bookmarkStart w:id="28" w:name="_Toc15396600"/>
      <w:bookmarkStart w:id="29" w:name="_Toc15377197"/>
      <w:bookmarkStart w:id="30" w:name="_Toc85037121"/>
      <w:bookmarkStart w:id="31" w:name="_Toc85036699"/>
      <w:r>
        <w:rPr>
          <w:rFonts w:hint="default" w:ascii="Times New Roman" w:hAnsi="Times New Roman" w:eastAsia="黑体" w:cs="Times New Roman"/>
          <w:b w:val="0"/>
          <w:color w:val="000000"/>
        </w:rPr>
        <w:t>一、基</w:t>
      </w:r>
      <w:r>
        <w:rPr>
          <w:rStyle w:val="18"/>
          <w:rFonts w:hint="default" w:ascii="Times New Roman" w:hAnsi="Times New Roman" w:eastAsia="黑体" w:cs="Times New Roman"/>
          <w:b w:val="0"/>
          <w:bCs w:val="0"/>
        </w:rPr>
        <w:t>本职能及主要工作</w:t>
      </w:r>
      <w:bookmarkEnd w:id="28"/>
      <w:bookmarkEnd w:id="29"/>
      <w:bookmarkEnd w:id="30"/>
      <w:bookmarkEnd w:id="31"/>
    </w:p>
    <w:p>
      <w:pPr>
        <w:pStyle w:val="5"/>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rPr>
      </w:pPr>
      <w:bookmarkStart w:id="32" w:name="_Toc15378445"/>
      <w:bookmarkStart w:id="33" w:name="_Toc15377198"/>
      <w:r>
        <w:rPr>
          <w:rFonts w:hint="default" w:ascii="Times New Roman" w:hAnsi="Times New Roman" w:eastAsia="仿宋" w:cs="Times New Roman"/>
          <w:bCs/>
          <w:color w:val="000000"/>
          <w:sz w:val="32"/>
          <w:szCs w:val="32"/>
        </w:rPr>
        <w:t>（一）主要职能。</w:t>
      </w:r>
      <w:bookmarkEnd w:id="32"/>
      <w:bookmarkEnd w:id="33"/>
    </w:p>
    <w:p>
      <w:pPr>
        <w:pStyle w:val="5"/>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rPr>
      </w:pPr>
      <w:r>
        <w:rPr>
          <w:rFonts w:hint="default" w:ascii="Times New Roman" w:hAnsi="Times New Roman" w:cs="Times New Roman"/>
          <w:sz w:val="32"/>
          <w:szCs w:val="32"/>
        </w:rPr>
        <w:t>承担广播电视新闻宣传、广播电视节目制作和播出、广播电视事业建设与改革发展研究。</w:t>
      </w:r>
    </w:p>
    <w:p>
      <w:pPr>
        <w:pStyle w:val="5"/>
        <w:adjustRightInd w:val="0"/>
        <w:snapToGrid w:val="0"/>
        <w:spacing w:before="93" w:line="600" w:lineRule="exact"/>
        <w:ind w:firstLine="672" w:firstLineChars="210"/>
        <w:outlineLvl w:val="2"/>
        <w:rPr>
          <w:rFonts w:hint="default" w:ascii="Times New Roman" w:hAnsi="Times New Roman" w:eastAsia="仿宋" w:cs="Times New Roman"/>
          <w:bCs/>
          <w:color w:val="000000"/>
          <w:sz w:val="32"/>
          <w:szCs w:val="32"/>
        </w:rPr>
      </w:pPr>
      <w:bookmarkStart w:id="34" w:name="_Toc15378446"/>
      <w:bookmarkStart w:id="35" w:name="_Toc15377199"/>
      <w:r>
        <w:rPr>
          <w:rFonts w:hint="default" w:ascii="Times New Roman" w:hAnsi="Times New Roman" w:eastAsia="仿宋" w:cs="Times New Roman"/>
          <w:bCs/>
          <w:color w:val="000000"/>
          <w:sz w:val="32"/>
          <w:szCs w:val="32"/>
        </w:rPr>
        <w:t>（二）2020年重点工作完成情况。</w:t>
      </w:r>
      <w:bookmarkEnd w:id="34"/>
      <w:bookmarkEnd w:id="35"/>
    </w:p>
    <w:p>
      <w:pPr>
        <w:tabs>
          <w:tab w:val="left" w:pos="312"/>
        </w:tabs>
        <w:spacing w:line="560" w:lineRule="exact"/>
        <w:ind w:left="21" w:leftChars="10" w:firstLine="800" w:firstLineChars="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b/>
          <w:sz w:val="32"/>
          <w:szCs w:val="32"/>
        </w:rPr>
        <w:t>围绕中心、服务大局，加强主题策划，重点策划</w:t>
      </w:r>
      <w:r>
        <w:rPr>
          <w:rFonts w:hint="default" w:ascii="Times New Roman" w:hAnsi="Times New Roman" w:eastAsia="仿宋_GB2312" w:cs="Times New Roman"/>
          <w:sz w:val="32"/>
          <w:szCs w:val="32"/>
        </w:rPr>
        <w:t>。主要围绕市委、市政府中心工作</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认真做好成渝地区双城经济圈建设、打开城市三把锁、两城建设、脱贫攻坚、疫情防控宣传、攀枝花开发建设55周年、森林草原防灭火、成昆铁路建设和攀钢出铁50周年、 “守纪律、提效能、强 执行、做表率”活动、创建全国文明城市等多项重点报道。主题策划稿件占比超过70%，较去年同期略有上升。截至10月20日，我台共编发电视新闻稿件3708条；编发广播新闻2820条，同步开设广播电视新闻专栏30余个。</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b/>
          <w:sz w:val="32"/>
          <w:szCs w:val="32"/>
        </w:rPr>
        <w:t>进一步完善外宣工作机制，强化外宣力量</w:t>
      </w:r>
      <w:r>
        <w:rPr>
          <w:rFonts w:hint="default" w:ascii="Times New Roman" w:hAnsi="Times New Roman" w:eastAsia="仿宋_GB2312" w:cs="Times New Roman"/>
          <w:sz w:val="32"/>
          <w:szCs w:val="32"/>
        </w:rPr>
        <w:t>。利用中央和省级媒体平台讲好“攀枝花故事”，展示“英雄攀枝花 阳光康养地”的新成就、新形象。在中央、省级媒体的发稿数量有了较大幅度增加。截至10月20日，我台在中央和省级各媒体平台播出广播电视新闻423条次，其中，央视新闻105条次，包括1条新闻联播；川台300条次，其中，四川新闻117条。</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今年初，全台每日近70名编辑、记者、主持人坚守一线，及时推送疫情防控新闻报道。编发了《李松江：每天敲门2000多次 手指破了全然不知》《我们向党组织请愿：为抗击一线守护好“饭盒子”》《感恩党组织 来攀康养老党员捐款助力抗击疫情》《抗击疫情：不办丧事不办酒 我是党员我带头》《记者探访隔离病房 隔离病毒不隔离爱》、《农村防疫专班：每天行走上万步 织密基层防疫网》、《十年积累50多本台账 助力排查与“疫情”抢时间》、《一碗汤圆！暖胃又暖心》、《攀枝花首支驰援湖北医疗队出发》、《视频连线：攀枝花首支驰援湖北医疗队到达武汉》等稿件。</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在疫情防控期间，我台广播电视频率、频道加大科普、科学防疫公益广告宣传力度，期间，电视共播出64条， 13415次；广播共播出19条， 19884次。</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攀枝花开发建设55周年宣传中，我台制作了《攀枝花开发建设55周年暨首届攀枝花英才表彰电视特别节目》，在3月4日进行了广播、电视、新媒体直播，其中，新媒体观看量达到45.5万次。同时，制作电视纪录片《不负国家使命 再赴国家战略》；电视系列纪录片《钢铁是这样炼成的》5集。</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播两个频率推出攀枝花建市55周年特别节目，《历史上的今天》介绍攀枝花的历史；《我为国宝点赞》推荐攀枝花中国三线建设博物馆以及馆藏文物。同时，通过每周《飞跃城市》节目，向全国各地朋友介绍攀枝花，宣传攀枝花。《攀枝花市庆祝建市55周年暨首届“三线文化周”系列活动》《展播建市55年来的优秀原创歌曲》等内容。</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电视频道、广播频率推出《英雄攀枝花阳光康养地纪念攀枝花开发建设55周年》、《传承弘扬三线精神 英雄攀枝花再出发》等公益广告。共播发电视公益广告7条，共3502次；广播公益广告3条，共420次。</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外，今年年初，攀枝花到昆明动车开通，攀枝花进入动车时代。从2019年底我台就开始对此新闻事件进行提前策划，安排布置。在通车当天对通车盛况进行了全媒体直播，仅攀枝花手机台的观看量就超过了20万人次。</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截至</w:t>
      </w:r>
      <w:r>
        <w:rPr>
          <w:rFonts w:hint="default" w:ascii="Times New Roman" w:hAnsi="Times New Roman" w:eastAsia="仿宋_GB2312" w:cs="Times New Roman"/>
          <w:sz w:val="32"/>
          <w:szCs w:val="32"/>
        </w:rPr>
        <w:t>10月20日，我台制作播出完成了《现在开庭》、《阳光检察》、《东区播报》等栏目共129期，节目时长2322分钟。同时完成了制作了电视专题片《与法同行天地宽——攀枝花市“七五”普法巡礼》、《砺剑 致远——攀枝花司法行政系统重组工作纪实》、《党旗漫卷 不负东风》、《破浪》、《花开英雄城 文明审计行——攀枝花市审计局创建文明单位纪实》、《扶贫战场 英雄花开——攀枝花市脱贫攻坚精准扶贫工作巡礼》《初心如磐 使命如炬——攀枝花市“不忘初心 牢记使命”主题教育工作情况总结》等7部，节目时长105分钟。同时，还完成了《政府网市长访谈》、《攀枝花南站开通》《少儿电视春节晚会》、《市委市政府春节团拜会》、《阳光问廉》等节目录制，节目时长15小时。</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2020年，《阳光问廉》 继续坚持“问题导向”、“民生导向”，聚焦老百姓普遍关心的热点、难点问题。</w:t>
      </w:r>
      <w:r>
        <w:rPr>
          <w:rFonts w:hint="eastAsia" w:ascii="Times New Roman" w:hAnsi="Times New Roman" w:eastAsia="仿宋_GB2312" w:cs="Times New Roman"/>
          <w:sz w:val="32"/>
          <w:szCs w:val="32"/>
          <w:lang w:eastAsia="zh-CN"/>
        </w:rPr>
        <w:t>截至</w:t>
      </w:r>
      <w:r>
        <w:rPr>
          <w:rFonts w:hint="default" w:ascii="Times New Roman" w:hAnsi="Times New Roman" w:eastAsia="仿宋_GB2312" w:cs="Times New Roman"/>
          <w:sz w:val="32"/>
          <w:szCs w:val="32"/>
        </w:rPr>
        <w:t>10月底，《阳光问廉》共直播了两期，节目播出后，取得了良好的社会效益。</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2020年，我台先后拍摄制作了《钢铁是这样炼成的》、</w:t>
      </w:r>
      <w:r>
        <w:rPr>
          <w:rFonts w:hint="default" w:ascii="Times New Roman" w:hAnsi="Times New Roman" w:eastAsia="仿宋_GB2312" w:cs="Times New Roman"/>
          <w:sz w:val="32"/>
          <w:szCs w:val="32"/>
        </w:rPr>
        <w:t>《不负国家使命 再赴国家战略</w:t>
      </w:r>
      <w:bookmarkStart w:id="147" w:name="_GoBack"/>
      <w:bookmarkEnd w:id="147"/>
      <w:r>
        <w:rPr>
          <w:rFonts w:hint="default" w:ascii="Times New Roman" w:hAnsi="Times New Roman" w:eastAsia="仿宋_GB2312" w:cs="Times New Roman"/>
          <w:sz w:val="32"/>
          <w:szCs w:val="32"/>
        </w:rPr>
        <w:t>》、《三线建设的成功典范》、《不负国家使命—从三线建设走向新时代的攀枝花》、《英雄攀枝花 阳光康养地—攀枝花市情介绍》、《修复生态屏障保护中华母亲河》、《四季花香—花是一座城 城是一朵花》、《藏在深闺人未识 红宝风光》、《再探马鹿寨》、《阳光酿造的甜蜜—攀枝花芒果》、《白云生处是我家—攀枝花》、《彝乡春来早 啊喇桃花红》等专题片、纪录片、宣传片、形象片23部。同时在多个传统媒体和新媒体平台推出，进一步 展示攀枝花良好城市形象。</w:t>
      </w:r>
    </w:p>
    <w:p>
      <w:pPr>
        <w:ind w:firstLine="640"/>
        <w:rPr>
          <w:rFonts w:hint="default" w:ascii="Times New Roman" w:hAnsi="Times New Roman" w:eastAsia="方正楷体_GBK" w:cs="Times New Roman"/>
          <w:b/>
          <w:sz w:val="32"/>
          <w:szCs w:val="32"/>
        </w:rPr>
      </w:pPr>
      <w:r>
        <w:rPr>
          <w:rFonts w:hint="default" w:ascii="Times New Roman" w:hAnsi="Times New Roman" w:eastAsia="仿宋_GB2312" w:cs="Times New Roman"/>
          <w:b/>
          <w:sz w:val="32"/>
          <w:szCs w:val="32"/>
        </w:rPr>
        <w:t>4．广播节目强化互动，增加了媒体影响力。</w:t>
      </w:r>
      <w:r>
        <w:rPr>
          <w:rFonts w:hint="default" w:ascii="Times New Roman" w:hAnsi="Times New Roman" w:eastAsia="仿宋_GB2312" w:cs="Times New Roman"/>
          <w:sz w:val="32"/>
          <w:szCs w:val="32"/>
        </w:rPr>
        <w:t>2020年，综合广播紧紧围绕市委、市政府的中心工作，开设了抗击疫情宣传、攀枝花开发建设55周年、两城建设、成渝地区双城经济圈建设、康养产业发展城市交通“三把锁”等专栏。制作播出了棚改、公安、交通、食品安全等反映社情民意的民生新闻，截至10月底，共播出专题类稿件200多条，市民热线100多通。广播版《阳光政务—政风行风广播热线》节目，截至10月16日，共播出24期，有市卫健委、市教体局、市医保和各区县人民政府等单位上线，共收集各类问题150余条，对听众提出的问题做到了件件有回馈，及时解决了一批群众生活中的热点、难点问题，获得了群众好评。</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农广播（汽车电台）对节目进行了改版，以服务性、贴近性、互动性为特色，突出城市主流电台的品味，增加了本地服务与娱乐互动性节目，开设了《喜笑颜开》、《音乐闹一点》、《麦芽糖时间》、《下班happy time》、《麦克疯不停》《小音的下午茶》《邓先生的夜间书屋》等节目。为了增强节目的贴近性、互动性策划了《910青年说》、《高考解压舱》和《高考志愿填报指南》等特别节目，邀请嘉宾走进910直播间并通过攀枝花手机台同步直播，其中，《高考解压舱》直播观看量64.7万人次，《910高考志愿填报指南》观看量为32.6万人次，收到了良好的效果。同时针对受众，策划了多档线下活动《910新声见面会》、《清凉定频》等线下活动。</w:t>
      </w:r>
    </w:p>
    <w:p>
      <w:pPr>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5．加强新媒体建设，继续推进媒体融合。</w:t>
      </w:r>
      <w:r>
        <w:rPr>
          <w:rFonts w:hint="default" w:ascii="Times New Roman" w:hAnsi="Times New Roman" w:eastAsia="仿宋_GB2312" w:cs="Times New Roman"/>
          <w:sz w:val="32"/>
          <w:szCs w:val="32"/>
        </w:rPr>
        <w:t>我台致力于新媒体的建设和媒体融合发展，由攀枝花手机台、攀枝花广电传媒网、攀枝花广播电视台微博微信矩阵等传播平台组成的“两微一端”新媒体集群。成立了短视频和直播小组。截至目前，共进行各类大型直播30多场，总点击量超过550万。我台新媒体成为疫情防控新闻报道生力军</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疫情防控初期，新媒体平台每天推送政府权威信息、防疫知识、防控工作开展情况等近20条，“两微一端”新媒体集群关于疫情防控相关报道总点击量达15355万次。大年初一，邀请我市医疗卫生专家做客直播间，回答新冠肺炎相关问题，回应群众关切。疫情防控期间，联合四川卫视进行《抗击新冠肺炎 我们在一起》、《花开天府》等直播活动两次直播点击量全网超70万次。</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截至今年10月，我台新媒体集群用户150.76万户，其中，攀枝花手机台拥有用户66.71万户，微信矩阵拥有用户20万户（自有12万户，承办8万户），微博矩阵拥有用户约33.27万户，抖音直播平台30.78万户。</w:t>
      </w:r>
    </w:p>
    <w:p>
      <w:pPr>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6．创优工作结出硕果。</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度四川新闻奖，我台共报送13件作品参评，6件作品获奖，其中广播新闻专题《高炉锻造出的大国工匠》获一等奖；广播消息《脱贫攻坚怎么干？我市首家造林专业合作社带着贫困户上山去》、电视消息《国内首台完全自主知识产权EB炉在攀建成运行》获二等奖；新媒体报道（网络类）《长图穿越100年后！这里仁和 遇见星空，最想遇见的是你》等3件作品获三等奖。</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今年，对农广播（910汽车电台）的《法网恢恢疏而不漏》、《小汽车的独白》获中国交通广播创优评析二等奖；《攀枝花车管所推出便民新举措》、《交通安全日宣传活动》、《路况宝贝》获中国交通广播创优评析三等奖。</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7．抓好经营创收工作</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台继续强化经营创收工作，加强营销人员业务培训，努力拓展广告营销、活动营销、电子商务、影视制作、艺术培训等经营领域，因疫情，在经营状况惨淡的情况下，今年收入入库约1070万元。同时，我台还严格执行《广告法》等法律法规，基本杜绝了虚假、违法广告。</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公益广告圆满完成上级要求的创卫、创文、防火、防汛、安全、环保、防传销、反诈骗及社会主义核心价值观、时代楷模、两城建设等各项宣传任务。</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8．加强阵地建设，确保广播电视安全播出</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台认真落实安全生产工作责任，大力开展隐患排查整改，强化内部管理，规范安全播出相关制度，强化应急预案和应急演练，落实安全播出主体责任，确保了日常安全播出的任务。两套广播频率累计播出10804小时；两个电视频率累计播出13850小时；发射台播出电视节目41238小时，播出广播节目40485小时，地面数字电视27388小时，无责任事故。</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黑山发射台是攀枝花市唯一的综合发射台，承担着中央、省、市、县（区）60多套广播电视节目的传输发射任务。黑山发射台升级改造项目包括设施设备改造；供电系统扩容改造；铁塔亮化；监控检测系统；防雷接地系统改造；消防和给排水管道改造；生活区环境改造。目前，铁塔亮化工作已完成；设施设备采购、制播系统升级改造、监测监看系统改造、消防供水改造等工程已完成招标，力争今年底完成升级改造工作。</w:t>
      </w:r>
    </w:p>
    <w:p>
      <w:pPr>
        <w:pStyle w:val="3"/>
        <w:rPr>
          <w:rStyle w:val="18"/>
          <w:rFonts w:hint="default" w:ascii="Times New Roman" w:hAnsi="Times New Roman" w:cs="Times New Roman"/>
          <w:b w:val="0"/>
          <w:bCs w:val="0"/>
        </w:rPr>
      </w:pPr>
      <w:bookmarkStart w:id="36" w:name="_Toc15377200"/>
      <w:bookmarkStart w:id="37" w:name="_Toc85037122"/>
      <w:bookmarkStart w:id="38" w:name="_Toc85036700"/>
      <w:bookmarkStart w:id="39" w:name="_Toc15396601"/>
      <w:r>
        <w:rPr>
          <w:rFonts w:hint="default" w:ascii="Times New Roman" w:hAnsi="Times New Roman" w:eastAsia="黑体" w:cs="Times New Roman"/>
          <w:b w:val="0"/>
          <w:color w:val="000000"/>
        </w:rPr>
        <w:t>二、机</w:t>
      </w:r>
      <w:r>
        <w:rPr>
          <w:rStyle w:val="18"/>
          <w:rFonts w:hint="default" w:ascii="Times New Roman" w:hAnsi="Times New Roman" w:eastAsia="黑体" w:cs="Times New Roman"/>
          <w:b w:val="0"/>
          <w:bCs w:val="0"/>
        </w:rPr>
        <w:t>构设置</w:t>
      </w:r>
      <w:bookmarkEnd w:id="36"/>
      <w:bookmarkEnd w:id="37"/>
      <w:bookmarkEnd w:id="38"/>
      <w:bookmarkEnd w:id="39"/>
    </w:p>
    <w:p>
      <w:pPr>
        <w:ind w:firstLine="800" w:firstLineChars="2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市广播电视台下属二级单位0个，其中行政单位0个，参照公务员法管理的事业单位</w:t>
      </w:r>
      <w:r>
        <w:rPr>
          <w:rFonts w:hint="default" w:ascii="Times New Roman" w:hAnsi="Times New Roman" w:eastAsia="仿宋" w:cs="Times New Roman"/>
          <w:bCs/>
          <w:sz w:val="32"/>
          <w:szCs w:val="32"/>
        </w:rPr>
        <w:t>0</w:t>
      </w:r>
      <w:r>
        <w:rPr>
          <w:rFonts w:hint="default" w:ascii="Times New Roman" w:hAnsi="Times New Roman" w:eastAsia="仿宋" w:cs="Times New Roman"/>
          <w:sz w:val="32"/>
          <w:szCs w:val="32"/>
        </w:rPr>
        <w:t>个，其他事业单位0个。</w:t>
      </w:r>
    </w:p>
    <w:p>
      <w:pPr>
        <w:pStyle w:val="5"/>
        <w:adjustRightInd w:val="0"/>
        <w:snapToGrid w:val="0"/>
        <w:spacing w:before="93" w:line="600" w:lineRule="exact"/>
        <w:ind w:firstLine="672" w:firstLineChars="21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纳入</w:t>
      </w:r>
      <w:r>
        <w:rPr>
          <w:rFonts w:hint="default" w:ascii="Times New Roman" w:hAnsi="Times New Roman" w:eastAsia="仿宋" w:cs="Times New Roman"/>
          <w:color w:val="000000"/>
          <w:sz w:val="32"/>
          <w:szCs w:val="32"/>
          <w:lang w:eastAsia="zh-CN"/>
        </w:rPr>
        <w:t>攀枝花市广播电视台</w:t>
      </w:r>
      <w:r>
        <w:rPr>
          <w:rFonts w:hint="default" w:ascii="Times New Roman" w:hAnsi="Times New Roman" w:eastAsia="仿宋" w:cs="Times New Roman"/>
          <w:color w:val="000000"/>
          <w:sz w:val="32"/>
          <w:szCs w:val="32"/>
        </w:rPr>
        <w:t>2020年度部门决算编制范围的二级预算单位</w:t>
      </w:r>
      <w:r>
        <w:rPr>
          <w:rFonts w:hint="default" w:ascii="Times New Roman" w:hAnsi="Times New Roman" w:eastAsia="仿宋" w:cs="Times New Roman"/>
          <w:color w:val="000000"/>
          <w:sz w:val="32"/>
          <w:szCs w:val="32"/>
          <w:lang w:eastAsia="zh-CN"/>
        </w:rPr>
        <w:t>无。</w:t>
      </w:r>
    </w:p>
    <w:p>
      <w:pPr>
        <w:pStyle w:val="2"/>
        <w:ind w:right="440"/>
        <w:jc w:val="right"/>
        <w:rPr>
          <w:rFonts w:hint="default" w:ascii="Times New Roman" w:hAnsi="Times New Roman" w:eastAsia="黑体" w:cs="Times New Roman"/>
          <w:b w:val="0"/>
          <w:bCs w:val="0"/>
        </w:rPr>
      </w:pPr>
      <w:bookmarkStart w:id="40" w:name="_Toc15377204"/>
      <w:bookmarkStart w:id="41" w:name="_Toc15396602"/>
      <w:bookmarkStart w:id="42" w:name="_Toc85037123"/>
      <w:bookmarkStart w:id="43" w:name="_Toc85036701"/>
      <w:r>
        <w:rPr>
          <w:rFonts w:hint="default" w:ascii="Times New Roman" w:hAnsi="Times New Roman" w:eastAsia="黑体" w:cs="Times New Roman"/>
          <w:b w:val="0"/>
          <w:color w:val="000000"/>
        </w:rPr>
        <w:t>第二部分</w:t>
      </w:r>
      <w:r>
        <w:rPr>
          <w:rStyle w:val="17"/>
          <w:rFonts w:hint="default" w:ascii="Times New Roman" w:hAnsi="Times New Roman" w:eastAsia="黑体" w:cs="Times New Roman"/>
          <w:b w:val="0"/>
          <w:bCs w:val="0"/>
        </w:rPr>
        <w:t>2020年度部门决算情况说</w:t>
      </w:r>
      <w:bookmarkEnd w:id="40"/>
      <w:bookmarkEnd w:id="41"/>
      <w:r>
        <w:rPr>
          <w:rStyle w:val="17"/>
          <w:rFonts w:hint="default" w:ascii="Times New Roman" w:hAnsi="Times New Roman" w:eastAsia="黑体" w:cs="Times New Roman"/>
          <w:b w:val="0"/>
          <w:bCs w:val="0"/>
        </w:rPr>
        <w:t>明</w:t>
      </w:r>
      <w:bookmarkEnd w:id="42"/>
      <w:bookmarkEnd w:id="43"/>
    </w:p>
    <w:p>
      <w:pPr>
        <w:pStyle w:val="28"/>
        <w:numPr>
          <w:ilvl w:val="0"/>
          <w:numId w:val="1"/>
        </w:numPr>
        <w:spacing w:line="600" w:lineRule="exact"/>
        <w:ind w:firstLineChars="0"/>
        <w:outlineLvl w:val="1"/>
        <w:rPr>
          <w:rStyle w:val="18"/>
          <w:rFonts w:hint="default" w:ascii="Times New Roman" w:hAnsi="Times New Roman" w:eastAsia="黑体" w:cs="Times New Roman"/>
          <w:b w:val="0"/>
        </w:rPr>
      </w:pPr>
      <w:bookmarkStart w:id="44" w:name="_Toc15377205"/>
      <w:bookmarkStart w:id="45" w:name="_Toc15396603"/>
      <w:bookmarkStart w:id="46" w:name="_Toc85036702"/>
      <w:bookmarkStart w:id="47" w:name="_Toc85037124"/>
      <w:r>
        <w:rPr>
          <w:rFonts w:hint="default" w:ascii="Times New Roman" w:hAnsi="Times New Roman" w:eastAsia="黑体" w:cs="Times New Roman"/>
          <w:color w:val="000000"/>
          <w:sz w:val="32"/>
          <w:szCs w:val="32"/>
        </w:rPr>
        <w:t>收</w:t>
      </w:r>
      <w:r>
        <w:rPr>
          <w:rStyle w:val="18"/>
          <w:rFonts w:hint="default" w:ascii="Times New Roman" w:hAnsi="Times New Roman" w:eastAsia="黑体" w:cs="Times New Roman"/>
          <w:b w:val="0"/>
        </w:rPr>
        <w:t>入支出决算总体情况说明</w:t>
      </w:r>
      <w:bookmarkEnd w:id="44"/>
      <w:bookmarkEnd w:id="45"/>
      <w:bookmarkEnd w:id="46"/>
      <w:bookmarkEnd w:id="47"/>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2020年度收、支总计</w:t>
      </w:r>
      <w:r>
        <w:rPr>
          <w:rFonts w:hint="eastAsia" w:eastAsia="仿宋" w:cs="Times New Roman"/>
          <w:color w:val="000000"/>
          <w:sz w:val="32"/>
          <w:szCs w:val="32"/>
          <w:lang w:val="en-US" w:eastAsia="zh-CN"/>
        </w:rPr>
        <w:t>4992.08</w:t>
      </w:r>
      <w:r>
        <w:rPr>
          <w:rFonts w:hint="default" w:ascii="Times New Roman" w:hAnsi="Times New Roman" w:eastAsia="仿宋" w:cs="Times New Roman"/>
          <w:color w:val="000000"/>
          <w:sz w:val="32"/>
          <w:szCs w:val="32"/>
        </w:rPr>
        <w:t>万元。与2019年相比，收入总计减少153.42万元，下降2.98%；支出总计减少</w:t>
      </w:r>
      <w:r>
        <w:rPr>
          <w:rFonts w:hint="eastAsia" w:eastAsia="仿宋" w:cs="Times New Roman"/>
          <w:color w:val="000000"/>
          <w:sz w:val="32"/>
          <w:szCs w:val="32"/>
          <w:lang w:val="en-US" w:eastAsia="zh-CN"/>
        </w:rPr>
        <w:t>202.42</w:t>
      </w:r>
      <w:r>
        <w:rPr>
          <w:rFonts w:hint="default" w:ascii="Times New Roman" w:hAnsi="Times New Roman" w:eastAsia="仿宋" w:cs="Times New Roman"/>
          <w:color w:val="000000"/>
          <w:sz w:val="32"/>
          <w:szCs w:val="32"/>
        </w:rPr>
        <w:t>万元，下降3.9</w:t>
      </w:r>
      <w:r>
        <w:rPr>
          <w:rFonts w:hint="eastAsia" w:eastAsia="仿宋" w:cs="Times New Roman"/>
          <w:color w:val="000000"/>
          <w:sz w:val="32"/>
          <w:szCs w:val="32"/>
          <w:lang w:val="en-US" w:eastAsia="zh-CN"/>
        </w:rPr>
        <w:t>0</w:t>
      </w:r>
      <w:r>
        <w:rPr>
          <w:rFonts w:hint="default" w:ascii="Times New Roman" w:hAnsi="Times New Roman" w:eastAsia="仿宋" w:cs="Times New Roman"/>
          <w:color w:val="000000"/>
          <w:sz w:val="32"/>
          <w:szCs w:val="32"/>
        </w:rPr>
        <w:t>%。主要变动原因是项目支出减少。</w:t>
      </w:r>
    </w:p>
    <w:p>
      <w:pPr>
        <w:spacing w:line="600" w:lineRule="exact"/>
        <w:ind w:firstLine="420" w:firstLineChars="200"/>
        <w:jc w:val="center"/>
        <w:rPr>
          <w:rFonts w:hint="default" w:ascii="Times New Roman" w:hAnsi="Times New Roman" w:eastAsia="仿宋" w:cs="Times New Roman"/>
          <w:color w:val="000000"/>
          <w:sz w:val="32"/>
          <w:szCs w:val="32"/>
        </w:rPr>
      </w:pPr>
      <w:r>
        <w:drawing>
          <wp:anchor distT="0" distB="0" distL="114300" distR="114300" simplePos="0" relativeHeight="251664384" behindDoc="1" locked="0" layoutInCell="1" allowOverlap="1">
            <wp:simplePos x="0" y="0"/>
            <wp:positionH relativeFrom="column">
              <wp:posOffset>743585</wp:posOffset>
            </wp:positionH>
            <wp:positionV relativeFrom="paragraph">
              <wp:posOffset>46990</wp:posOffset>
            </wp:positionV>
            <wp:extent cx="4160520" cy="2926080"/>
            <wp:effectExtent l="4445" t="4445" r="10795" b="10795"/>
            <wp:wrapTight wrapText="bothSides">
              <wp:wrapPolygon>
                <wp:start x="-23" y="-33"/>
                <wp:lineTo x="-23" y="21567"/>
                <wp:lineTo x="21577" y="21567"/>
                <wp:lineTo x="21577" y="-33"/>
                <wp:lineTo x="-23" y="-33"/>
              </wp:wrapPolygon>
            </wp:wrapTight>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default" w:ascii="Times New Roman" w:hAnsi="Times New Roman" w:eastAsia="仿宋" w:cs="Times New Roman"/>
          <w:color w:val="000000"/>
          <w:sz w:val="32"/>
          <w:szCs w:val="32"/>
        </w:rPr>
        <w:t>（图1：收、支决算总计变动情况图）</w:t>
      </w:r>
    </w:p>
    <w:p>
      <w:pPr>
        <w:pStyle w:val="28"/>
        <w:numPr>
          <w:ilvl w:val="0"/>
          <w:numId w:val="1"/>
        </w:numPr>
        <w:spacing w:line="600" w:lineRule="exact"/>
        <w:ind w:firstLineChars="0"/>
        <w:outlineLvl w:val="1"/>
        <w:rPr>
          <w:rStyle w:val="18"/>
          <w:rFonts w:hint="default" w:ascii="Times New Roman" w:hAnsi="Times New Roman" w:eastAsia="黑体" w:cs="Times New Roman"/>
          <w:b w:val="0"/>
        </w:rPr>
      </w:pPr>
      <w:bookmarkStart w:id="48" w:name="_Toc85037125"/>
      <w:bookmarkStart w:id="49" w:name="_Toc85036703"/>
      <w:r>
        <w:rPr>
          <w:rFonts w:hint="default" w:ascii="Times New Roman" w:hAnsi="Times New Roman" w:eastAsia="黑体" w:cs="Times New Roman"/>
          <w:color w:val="000000"/>
          <w:sz w:val="32"/>
          <w:szCs w:val="32"/>
        </w:rPr>
        <w:t>收</w:t>
      </w:r>
      <w:r>
        <w:rPr>
          <w:rStyle w:val="18"/>
          <w:rFonts w:hint="default" w:ascii="Times New Roman" w:hAnsi="Times New Roman" w:eastAsia="黑体" w:cs="Times New Roman"/>
          <w:b w:val="0"/>
        </w:rPr>
        <w:t>入决算情况说明</w:t>
      </w:r>
      <w:bookmarkEnd w:id="48"/>
      <w:bookmarkEnd w:id="49"/>
    </w:p>
    <w:p>
      <w:pPr>
        <w:spacing w:line="600" w:lineRule="exact"/>
        <w:ind w:firstLine="640" w:firstLineChars="200"/>
        <w:outlineLvl w:val="1"/>
        <w:rPr>
          <w:rFonts w:hint="default" w:ascii="Times New Roman" w:hAnsi="Times New Roman" w:eastAsia="仿宋" w:cs="Times New Roman"/>
          <w:color w:val="000000"/>
          <w:sz w:val="32"/>
          <w:szCs w:val="32"/>
        </w:rPr>
      </w:pPr>
      <w:bookmarkStart w:id="50" w:name="_Toc85037126"/>
      <w:bookmarkStart w:id="51" w:name="_Toc85036704"/>
      <w:r>
        <w:rPr>
          <w:rFonts w:hint="default" w:ascii="Times New Roman" w:hAnsi="Times New Roman" w:eastAsia="仿宋" w:cs="Times New Roman"/>
          <w:color w:val="000000"/>
          <w:sz w:val="32"/>
          <w:szCs w:val="32"/>
        </w:rPr>
        <w:t>2020年本年收入合计</w:t>
      </w:r>
      <w:r>
        <w:rPr>
          <w:rFonts w:hint="default" w:ascii="Times New Roman" w:hAnsi="Times New Roman" w:eastAsia="仿宋" w:cs="Times New Roman"/>
          <w:color w:val="000000"/>
          <w:sz w:val="32"/>
          <w:szCs w:val="32"/>
          <w:highlight w:val="none"/>
        </w:rPr>
        <w:t>49</w:t>
      </w:r>
      <w:r>
        <w:rPr>
          <w:rFonts w:hint="eastAsia" w:eastAsia="仿宋" w:cs="Times New Roman"/>
          <w:color w:val="000000"/>
          <w:sz w:val="32"/>
          <w:szCs w:val="32"/>
          <w:highlight w:val="none"/>
          <w:lang w:val="en-US" w:eastAsia="zh-CN"/>
        </w:rPr>
        <w:t>2</w:t>
      </w:r>
      <w:r>
        <w:rPr>
          <w:rFonts w:hint="default" w:ascii="Times New Roman" w:hAnsi="Times New Roman" w:eastAsia="仿宋" w:cs="Times New Roman"/>
          <w:color w:val="000000"/>
          <w:sz w:val="32"/>
          <w:szCs w:val="32"/>
          <w:highlight w:val="none"/>
        </w:rPr>
        <w:t>2.08万元，其中：一般公共预算财政拨款收入3</w:t>
      </w:r>
      <w:r>
        <w:rPr>
          <w:rFonts w:hint="eastAsia" w:eastAsia="仿宋" w:cs="Times New Roman"/>
          <w:color w:val="000000"/>
          <w:sz w:val="32"/>
          <w:szCs w:val="32"/>
          <w:highlight w:val="none"/>
          <w:lang w:val="en-US" w:eastAsia="zh-CN"/>
        </w:rPr>
        <w:t>49</w:t>
      </w:r>
      <w:r>
        <w:rPr>
          <w:rFonts w:hint="default" w:ascii="Times New Roman" w:hAnsi="Times New Roman" w:eastAsia="仿宋" w:cs="Times New Roman"/>
          <w:color w:val="000000"/>
          <w:sz w:val="32"/>
          <w:szCs w:val="32"/>
          <w:highlight w:val="none"/>
        </w:rPr>
        <w:t>9.06万元，占7</w:t>
      </w:r>
      <w:r>
        <w:rPr>
          <w:rFonts w:hint="eastAsia" w:eastAsia="仿宋" w:cs="Times New Roman"/>
          <w:color w:val="000000"/>
          <w:sz w:val="32"/>
          <w:szCs w:val="32"/>
          <w:highlight w:val="none"/>
          <w:lang w:val="en-US" w:eastAsia="zh-CN"/>
        </w:rPr>
        <w:t>1</w:t>
      </w:r>
      <w:r>
        <w:rPr>
          <w:rFonts w:hint="default" w:ascii="Times New Roman" w:hAnsi="Times New Roman" w:eastAsia="仿宋" w:cs="Times New Roman"/>
          <w:color w:val="000000"/>
          <w:sz w:val="32"/>
          <w:szCs w:val="32"/>
          <w:highlight w:val="none"/>
        </w:rPr>
        <w:t>.</w:t>
      </w:r>
      <w:r>
        <w:rPr>
          <w:rFonts w:hint="eastAsia" w:eastAsia="仿宋" w:cs="Times New Roman"/>
          <w:color w:val="000000"/>
          <w:sz w:val="32"/>
          <w:szCs w:val="32"/>
          <w:highlight w:val="none"/>
          <w:lang w:val="en-US" w:eastAsia="zh-CN"/>
        </w:rPr>
        <w:t>09</w:t>
      </w:r>
      <w:r>
        <w:rPr>
          <w:rFonts w:hint="default" w:ascii="Times New Roman" w:hAnsi="Times New Roman" w:eastAsia="仿宋" w:cs="Times New Roman"/>
          <w:color w:val="000000"/>
          <w:sz w:val="32"/>
          <w:szCs w:val="32"/>
          <w:highlight w:val="none"/>
        </w:rPr>
        <w:t>%；政府性基金预算财政拨款收入1423.02万元，占28.</w:t>
      </w:r>
      <w:r>
        <w:rPr>
          <w:rFonts w:hint="eastAsia" w:eastAsia="仿宋" w:cs="Times New Roman"/>
          <w:color w:val="000000"/>
          <w:sz w:val="32"/>
          <w:szCs w:val="32"/>
          <w:highlight w:val="none"/>
          <w:lang w:val="en-US" w:eastAsia="zh-CN"/>
        </w:rPr>
        <w:t>91</w:t>
      </w:r>
      <w:r>
        <w:rPr>
          <w:rFonts w:hint="default" w:ascii="Times New Roman" w:hAnsi="Times New Roman" w:eastAsia="仿宋" w:cs="Times New Roman"/>
          <w:color w:val="000000"/>
          <w:sz w:val="32"/>
          <w:szCs w:val="32"/>
          <w:highlight w:val="none"/>
        </w:rPr>
        <w:t>%</w:t>
      </w:r>
      <w:r>
        <w:rPr>
          <w:rFonts w:hint="default" w:ascii="Times New Roman" w:hAnsi="Times New Roman" w:eastAsia="仿宋" w:cs="Times New Roman"/>
          <w:color w:val="000000"/>
          <w:sz w:val="32"/>
          <w:szCs w:val="32"/>
        </w:rPr>
        <w:t>；上级补助收入0万元，占0%；事业收入0万元，占0%；经营收入0万元，占0%；附属单位上缴收入0万元，占0%；其他收入0万元，占0%。</w:t>
      </w:r>
      <w:bookmarkEnd w:id="50"/>
      <w:bookmarkEnd w:id="51"/>
    </w:p>
    <w:p>
      <w:pPr>
        <w:spacing w:line="600" w:lineRule="exact"/>
        <w:jc w:val="left"/>
        <w:rPr>
          <w:rFonts w:hint="default" w:ascii="Times New Roman" w:hAnsi="Times New Roman" w:eastAsia="仿宋_GB2312" w:cs="Times New Roman"/>
          <w:color w:val="000000"/>
          <w:sz w:val="32"/>
          <w:szCs w:val="32"/>
        </w:rPr>
      </w:pPr>
      <w:bookmarkStart w:id="52" w:name="_Toc85037127"/>
      <w:bookmarkStart w:id="53" w:name="_Toc85036705"/>
      <w:r>
        <w:rPr>
          <w:rFonts w:hint="default" w:ascii="Times New Roman" w:hAnsi="Times New Roman" w:cs="Times New Roman"/>
        </w:rPr>
        <w:drawing>
          <wp:anchor distT="0" distB="0" distL="114300" distR="114300" simplePos="0" relativeHeight="251659264" behindDoc="1" locked="0" layoutInCell="1" allowOverlap="1">
            <wp:simplePos x="0" y="0"/>
            <wp:positionH relativeFrom="column">
              <wp:posOffset>419100</wp:posOffset>
            </wp:positionH>
            <wp:positionV relativeFrom="paragraph">
              <wp:posOffset>542925</wp:posOffset>
            </wp:positionV>
            <wp:extent cx="4572000" cy="2743200"/>
            <wp:effectExtent l="0" t="0" r="19050" b="19050"/>
            <wp:wrapThrough wrapText="bothSides">
              <wp:wrapPolygon>
                <wp:start x="0" y="0"/>
                <wp:lineTo x="0" y="21600"/>
                <wp:lineTo x="21600" y="21600"/>
                <wp:lineTo x="21600" y="0"/>
                <wp:lineTo x="0" y="0"/>
              </wp:wrapPolygon>
            </wp:wrapThrough>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End w:id="52"/>
      <w:bookmarkEnd w:id="53"/>
    </w:p>
    <w:p>
      <w:pPr>
        <w:spacing w:line="600" w:lineRule="exact"/>
        <w:ind w:firstLine="640" w:firstLineChars="200"/>
        <w:outlineLvl w:val="1"/>
        <w:rPr>
          <w:rFonts w:hint="default" w:ascii="Times New Roman" w:hAnsi="Times New Roman" w:eastAsia="仿宋" w:cs="Times New Roman"/>
          <w:color w:val="000000"/>
          <w:sz w:val="32"/>
          <w:szCs w:val="32"/>
        </w:rPr>
      </w:pPr>
    </w:p>
    <w:p>
      <w:pPr>
        <w:spacing w:line="600" w:lineRule="exact"/>
        <w:ind w:firstLine="640" w:firstLineChars="200"/>
        <w:outlineLvl w:val="1"/>
        <w:rPr>
          <w:rFonts w:hint="default" w:ascii="Times New Roman" w:hAnsi="Times New Roman" w:eastAsia="仿宋" w:cs="Times New Roman"/>
          <w:color w:val="000000"/>
          <w:sz w:val="32"/>
          <w:szCs w:val="32"/>
        </w:rPr>
      </w:pPr>
    </w:p>
    <w:p>
      <w:pPr>
        <w:spacing w:line="600" w:lineRule="exact"/>
        <w:ind w:firstLine="640" w:firstLineChars="200"/>
        <w:outlineLvl w:val="1"/>
        <w:rPr>
          <w:rFonts w:hint="default" w:ascii="Times New Roman" w:hAnsi="Times New Roman" w:eastAsia="仿宋" w:cs="Times New Roman"/>
          <w:color w:val="000000"/>
          <w:sz w:val="32"/>
          <w:szCs w:val="32"/>
        </w:rPr>
      </w:pPr>
    </w:p>
    <w:p>
      <w:pPr>
        <w:spacing w:line="600" w:lineRule="exact"/>
        <w:ind w:firstLine="640" w:firstLineChars="200"/>
        <w:outlineLvl w:val="1"/>
        <w:rPr>
          <w:rFonts w:hint="default" w:ascii="Times New Roman" w:hAnsi="Times New Roman" w:eastAsia="仿宋" w:cs="Times New Roman"/>
          <w:color w:val="000000"/>
          <w:sz w:val="32"/>
          <w:szCs w:val="32"/>
        </w:rPr>
      </w:pPr>
    </w:p>
    <w:p>
      <w:pPr>
        <w:spacing w:line="600" w:lineRule="exact"/>
        <w:ind w:firstLine="640" w:firstLineChars="200"/>
        <w:outlineLvl w:val="1"/>
        <w:rPr>
          <w:rFonts w:hint="default" w:ascii="Times New Roman" w:hAnsi="Times New Roman" w:eastAsia="仿宋" w:cs="Times New Roman"/>
          <w:color w:val="000000"/>
          <w:sz w:val="32"/>
          <w:szCs w:val="32"/>
        </w:rPr>
      </w:pPr>
    </w:p>
    <w:p>
      <w:pPr>
        <w:spacing w:line="600" w:lineRule="exact"/>
        <w:outlineLvl w:val="1"/>
        <w:rPr>
          <w:rFonts w:hint="default" w:ascii="Times New Roman" w:hAnsi="Times New Roman" w:eastAsia="仿宋" w:cs="Times New Roman"/>
          <w:color w:val="000000"/>
          <w:sz w:val="32"/>
          <w:szCs w:val="32"/>
        </w:rPr>
      </w:pPr>
    </w:p>
    <w:p>
      <w:pPr>
        <w:spacing w:line="600" w:lineRule="exact"/>
        <w:ind w:firstLine="640" w:firstLineChars="200"/>
        <w:outlineLvl w:val="1"/>
        <w:rPr>
          <w:rFonts w:hint="default" w:ascii="Times New Roman" w:hAnsi="Times New Roman" w:eastAsia="仿宋" w:cs="Times New Roman"/>
          <w:color w:val="000000"/>
          <w:sz w:val="32"/>
          <w:szCs w:val="32"/>
        </w:rPr>
      </w:pPr>
    </w:p>
    <w:p>
      <w:pPr>
        <w:spacing w:line="600" w:lineRule="exact"/>
        <w:ind w:firstLine="1280" w:firstLineChars="4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（图2：收入决算结构图）（饼状图）</w:t>
      </w:r>
    </w:p>
    <w:p>
      <w:pPr>
        <w:spacing w:line="600" w:lineRule="exact"/>
        <w:ind w:firstLine="640" w:firstLineChars="200"/>
        <w:rPr>
          <w:rFonts w:hint="default" w:ascii="Times New Roman" w:hAnsi="Times New Roman" w:eastAsia="仿宋_GB2312" w:cs="Times New Roman"/>
          <w:color w:val="FF0000"/>
          <w:sz w:val="32"/>
          <w:szCs w:val="32"/>
        </w:rPr>
      </w:pPr>
    </w:p>
    <w:p>
      <w:pPr>
        <w:pStyle w:val="28"/>
        <w:numPr>
          <w:ilvl w:val="0"/>
          <w:numId w:val="1"/>
        </w:numPr>
        <w:spacing w:line="600" w:lineRule="exact"/>
        <w:ind w:firstLineChars="0"/>
        <w:outlineLvl w:val="1"/>
        <w:rPr>
          <w:rStyle w:val="18"/>
          <w:rFonts w:hint="default" w:ascii="Times New Roman" w:hAnsi="Times New Roman" w:eastAsia="黑体" w:cs="Times New Roman"/>
          <w:b w:val="0"/>
        </w:rPr>
      </w:pPr>
      <w:bookmarkStart w:id="54" w:name="_Toc15377207"/>
      <w:bookmarkStart w:id="55" w:name="_Toc85037128"/>
      <w:bookmarkStart w:id="56" w:name="_Toc15396605"/>
      <w:bookmarkStart w:id="57" w:name="_Toc85036706"/>
      <w:r>
        <w:rPr>
          <w:rFonts w:hint="default" w:ascii="Times New Roman" w:hAnsi="Times New Roman" w:eastAsia="黑体" w:cs="Times New Roman"/>
          <w:color w:val="000000"/>
          <w:sz w:val="32"/>
          <w:szCs w:val="32"/>
        </w:rPr>
        <w:t>支</w:t>
      </w:r>
      <w:r>
        <w:rPr>
          <w:rStyle w:val="18"/>
          <w:rFonts w:hint="default" w:ascii="Times New Roman" w:hAnsi="Times New Roman" w:eastAsia="黑体" w:cs="Times New Roman"/>
          <w:b w:val="0"/>
        </w:rPr>
        <w:t>出决算情况说明</w:t>
      </w:r>
      <w:bookmarkEnd w:id="54"/>
      <w:bookmarkEnd w:id="55"/>
      <w:bookmarkEnd w:id="56"/>
      <w:bookmarkEnd w:id="57"/>
    </w:p>
    <w:p>
      <w:pPr>
        <w:spacing w:line="600" w:lineRule="exact"/>
        <w:ind w:firstLine="640" w:firstLineChars="200"/>
        <w:outlineLvl w:val="1"/>
        <w:rPr>
          <w:rFonts w:hint="default" w:ascii="Times New Roman" w:hAnsi="Times New Roman" w:eastAsia="仿宋" w:cs="Times New Roman"/>
          <w:color w:val="000000"/>
          <w:sz w:val="32"/>
          <w:szCs w:val="32"/>
        </w:rPr>
      </w:pPr>
      <w:bookmarkStart w:id="58" w:name="_Toc85036707"/>
      <w:bookmarkStart w:id="59" w:name="_Toc85037129"/>
      <w:r>
        <w:rPr>
          <w:rFonts w:hint="default" w:ascii="Times New Roman" w:hAnsi="Times New Roman" w:eastAsia="仿宋" w:cs="Times New Roman"/>
          <w:color w:val="000000"/>
          <w:sz w:val="32"/>
          <w:szCs w:val="32"/>
        </w:rPr>
        <w:t>2020年本年支出合计</w:t>
      </w:r>
      <w:r>
        <w:rPr>
          <w:rFonts w:hint="default" w:ascii="Times New Roman" w:hAnsi="Times New Roman" w:eastAsia="仿宋" w:cs="Times New Roman"/>
          <w:color w:val="000000"/>
          <w:sz w:val="32"/>
          <w:szCs w:val="32"/>
          <w:highlight w:val="none"/>
        </w:rPr>
        <w:t>4987.2</w:t>
      </w:r>
      <w:r>
        <w:rPr>
          <w:rFonts w:hint="eastAsia" w:eastAsia="仿宋" w:cs="Times New Roman"/>
          <w:color w:val="000000"/>
          <w:sz w:val="32"/>
          <w:szCs w:val="32"/>
          <w:highlight w:val="none"/>
          <w:lang w:val="en-US" w:eastAsia="zh-CN"/>
        </w:rPr>
        <w:t>7</w:t>
      </w:r>
      <w:r>
        <w:rPr>
          <w:rFonts w:hint="default" w:ascii="Times New Roman" w:hAnsi="Times New Roman" w:eastAsia="仿宋" w:cs="Times New Roman"/>
          <w:color w:val="000000"/>
          <w:sz w:val="32"/>
          <w:szCs w:val="32"/>
          <w:highlight w:val="none"/>
        </w:rPr>
        <w:t>万元，其中：基本支出2647.4万元，占53.08%；项目支出2339.8</w:t>
      </w:r>
      <w:r>
        <w:rPr>
          <w:rFonts w:hint="eastAsia" w:eastAsia="仿宋" w:cs="Times New Roman"/>
          <w:color w:val="000000"/>
          <w:sz w:val="32"/>
          <w:szCs w:val="32"/>
          <w:highlight w:val="none"/>
          <w:lang w:val="en-US" w:eastAsia="zh-CN"/>
        </w:rPr>
        <w:t>7</w:t>
      </w:r>
      <w:r>
        <w:rPr>
          <w:rFonts w:hint="default" w:ascii="Times New Roman" w:hAnsi="Times New Roman" w:eastAsia="仿宋" w:cs="Times New Roman"/>
          <w:color w:val="000000"/>
          <w:sz w:val="32"/>
          <w:szCs w:val="32"/>
        </w:rPr>
        <w:t>万元，占46.92%；上缴上级支出0万元，占0%；经营支出0万元，占0%；对附属单位补助支出0万元，占0%。</w:t>
      </w:r>
      <w:bookmarkEnd w:id="58"/>
      <w:bookmarkEnd w:id="59"/>
    </w:p>
    <w:p>
      <w:pPr>
        <w:spacing w:line="600" w:lineRule="exact"/>
        <w:ind w:firstLine="420" w:firstLineChars="200"/>
        <w:outlineLvl w:val="1"/>
        <w:rPr>
          <w:rFonts w:hint="default" w:ascii="Times New Roman" w:hAnsi="Times New Roman" w:eastAsia="仿宋" w:cs="Times New Roman"/>
          <w:color w:val="000000"/>
          <w:sz w:val="32"/>
          <w:szCs w:val="32"/>
        </w:rPr>
      </w:pPr>
      <w:bookmarkStart w:id="60" w:name="_Toc85036708"/>
      <w:bookmarkStart w:id="61" w:name="_Toc85037130"/>
      <w:r>
        <w:rPr>
          <w:rFonts w:hint="default" w:ascii="Times New Roman" w:hAnsi="Times New Roman" w:cs="Times New Roman"/>
        </w:rPr>
        <w:drawing>
          <wp:anchor distT="0" distB="0" distL="114300" distR="114300" simplePos="0" relativeHeight="251660288" behindDoc="1" locked="0" layoutInCell="1" allowOverlap="1">
            <wp:simplePos x="0" y="0"/>
            <wp:positionH relativeFrom="column">
              <wp:posOffset>276225</wp:posOffset>
            </wp:positionH>
            <wp:positionV relativeFrom="paragraph">
              <wp:posOffset>-9525</wp:posOffset>
            </wp:positionV>
            <wp:extent cx="4686300" cy="2857500"/>
            <wp:effectExtent l="0" t="0" r="19050" b="19050"/>
            <wp:wrapTight wrapText="bothSides">
              <wp:wrapPolygon>
                <wp:start x="0" y="0"/>
                <wp:lineTo x="0" y="21600"/>
                <wp:lineTo x="21600" y="21600"/>
                <wp:lineTo x="21600" y="0"/>
                <wp:lineTo x="0" y="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bookmarkEnd w:id="60"/>
      <w:bookmarkEnd w:id="61"/>
    </w:p>
    <w:p>
      <w:pPr>
        <w:spacing w:line="600" w:lineRule="exact"/>
        <w:ind w:firstLine="640" w:firstLineChars="200"/>
        <w:outlineLvl w:val="1"/>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b/>
          <w:color w:val="FF0000"/>
          <w:sz w:val="32"/>
          <w:szCs w:val="32"/>
        </w:rPr>
      </w:pPr>
    </w:p>
    <w:p>
      <w:pPr>
        <w:spacing w:line="600" w:lineRule="exact"/>
        <w:ind w:firstLine="640"/>
        <w:rPr>
          <w:rFonts w:hint="default" w:ascii="Times New Roman" w:hAnsi="Times New Roman" w:eastAsia="仿宋" w:cs="Times New Roman"/>
          <w:b/>
          <w:color w:val="FF0000"/>
          <w:sz w:val="32"/>
          <w:szCs w:val="32"/>
        </w:rPr>
      </w:pPr>
    </w:p>
    <w:p>
      <w:pPr>
        <w:spacing w:line="600" w:lineRule="exact"/>
        <w:ind w:firstLine="640"/>
        <w:rPr>
          <w:rFonts w:hint="default" w:ascii="Times New Roman" w:hAnsi="Times New Roman" w:eastAsia="仿宋" w:cs="Times New Roman"/>
          <w:color w:val="000000"/>
          <w:sz w:val="32"/>
          <w:szCs w:val="32"/>
          <w:shd w:val="pct10" w:color="auto" w:fill="FFFFFF"/>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（图3：支出决算结构图）（饼状图）</w:t>
      </w:r>
    </w:p>
    <w:p>
      <w:pPr>
        <w:spacing w:line="600" w:lineRule="exact"/>
        <w:ind w:firstLine="640" w:firstLineChars="200"/>
        <w:rPr>
          <w:rFonts w:hint="default" w:ascii="Times New Roman" w:hAnsi="Times New Roman" w:eastAsia="仿宋_GB2312" w:cs="Times New Roman"/>
          <w:color w:val="FF0000"/>
          <w:sz w:val="32"/>
          <w:szCs w:val="32"/>
        </w:rPr>
      </w:pPr>
    </w:p>
    <w:p>
      <w:pPr>
        <w:spacing w:line="600" w:lineRule="exact"/>
        <w:ind w:firstLine="640" w:firstLineChars="200"/>
        <w:outlineLvl w:val="1"/>
        <w:rPr>
          <w:rStyle w:val="18"/>
          <w:rFonts w:hint="default" w:ascii="Times New Roman" w:hAnsi="Times New Roman" w:eastAsia="黑体" w:cs="Times New Roman"/>
          <w:b w:val="0"/>
        </w:rPr>
      </w:pPr>
      <w:bookmarkStart w:id="62" w:name="_Toc15396606"/>
      <w:bookmarkStart w:id="63" w:name="_Toc85037131"/>
      <w:bookmarkStart w:id="64" w:name="_Toc15377208"/>
      <w:bookmarkStart w:id="65" w:name="_Toc85036709"/>
      <w:r>
        <w:rPr>
          <w:rFonts w:hint="default" w:ascii="Times New Roman" w:hAnsi="Times New Roman" w:eastAsia="黑体" w:cs="Times New Roman"/>
          <w:color w:val="000000"/>
          <w:sz w:val="32"/>
          <w:szCs w:val="32"/>
        </w:rPr>
        <w:t>四、财</w:t>
      </w:r>
      <w:r>
        <w:rPr>
          <w:rStyle w:val="18"/>
          <w:rFonts w:hint="default" w:ascii="Times New Roman" w:hAnsi="Times New Roman" w:eastAsia="黑体" w:cs="Times New Roman"/>
          <w:b w:val="0"/>
        </w:rPr>
        <w:t>政拨款收入支出决算总体情况说明</w:t>
      </w:r>
      <w:bookmarkEnd w:id="62"/>
      <w:bookmarkEnd w:id="63"/>
      <w:bookmarkEnd w:id="64"/>
      <w:bookmarkEnd w:id="65"/>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2020年度收、支总计</w:t>
      </w:r>
      <w:r>
        <w:rPr>
          <w:rFonts w:hint="eastAsia" w:eastAsia="仿宋" w:cs="Times New Roman"/>
          <w:color w:val="000000"/>
          <w:sz w:val="32"/>
          <w:szCs w:val="32"/>
          <w:highlight w:val="none"/>
          <w:lang w:val="en-US" w:eastAsia="zh-CN"/>
        </w:rPr>
        <w:t>4992.08</w:t>
      </w:r>
      <w:r>
        <w:rPr>
          <w:rFonts w:hint="default" w:ascii="Times New Roman" w:hAnsi="Times New Roman" w:eastAsia="仿宋" w:cs="Times New Roman"/>
          <w:color w:val="000000"/>
          <w:sz w:val="32"/>
          <w:szCs w:val="32"/>
        </w:rPr>
        <w:t>万元。与2019年相比，收入总计减少153.42万元，下降2.98%；支出总计减少</w:t>
      </w:r>
      <w:r>
        <w:rPr>
          <w:rFonts w:hint="eastAsia" w:eastAsia="仿宋" w:cs="Times New Roman"/>
          <w:color w:val="000000"/>
          <w:sz w:val="32"/>
          <w:szCs w:val="32"/>
          <w:lang w:val="en-US" w:eastAsia="zh-CN"/>
        </w:rPr>
        <w:t>202.42</w:t>
      </w:r>
      <w:r>
        <w:rPr>
          <w:rFonts w:hint="default" w:ascii="Times New Roman" w:hAnsi="Times New Roman" w:eastAsia="仿宋" w:cs="Times New Roman"/>
          <w:color w:val="000000"/>
          <w:sz w:val="32"/>
          <w:szCs w:val="32"/>
        </w:rPr>
        <w:t>万元，下降3.9</w:t>
      </w:r>
      <w:r>
        <w:rPr>
          <w:rFonts w:hint="eastAsia" w:eastAsia="仿宋" w:cs="Times New Roman"/>
          <w:color w:val="000000"/>
          <w:sz w:val="32"/>
          <w:szCs w:val="32"/>
          <w:lang w:val="en-US" w:eastAsia="zh-CN"/>
        </w:rPr>
        <w:t>0</w:t>
      </w:r>
      <w:r>
        <w:rPr>
          <w:rFonts w:hint="default" w:ascii="Times New Roman" w:hAnsi="Times New Roman" w:eastAsia="仿宋" w:cs="Times New Roman"/>
          <w:color w:val="000000"/>
          <w:sz w:val="32"/>
          <w:szCs w:val="32"/>
        </w:rPr>
        <w:t>%。主要变动原因是项目支出减少。</w:t>
      </w:r>
    </w:p>
    <w:p>
      <w:pPr>
        <w:spacing w:line="600" w:lineRule="exact"/>
        <w:ind w:firstLine="420" w:firstLineChars="200"/>
        <w:rPr>
          <w:rFonts w:hint="default" w:ascii="Times New Roman" w:hAnsi="Times New Roman" w:eastAsia="仿宋" w:cs="Times New Roman"/>
          <w:color w:val="000000"/>
          <w:sz w:val="32"/>
          <w:szCs w:val="32"/>
        </w:rPr>
      </w:pPr>
      <w:r>
        <w:drawing>
          <wp:anchor distT="0" distB="0" distL="114300" distR="114300" simplePos="0" relativeHeight="251665408" behindDoc="1" locked="0" layoutInCell="1" allowOverlap="1">
            <wp:simplePos x="0" y="0"/>
            <wp:positionH relativeFrom="column">
              <wp:posOffset>354965</wp:posOffset>
            </wp:positionH>
            <wp:positionV relativeFrom="paragraph">
              <wp:posOffset>28575</wp:posOffset>
            </wp:positionV>
            <wp:extent cx="4160520" cy="2926080"/>
            <wp:effectExtent l="4445" t="4445" r="10795" b="10795"/>
            <wp:wrapTight wrapText="bothSides">
              <wp:wrapPolygon>
                <wp:start x="-23" y="-33"/>
                <wp:lineTo x="-23" y="21567"/>
                <wp:lineTo x="21577" y="21567"/>
                <wp:lineTo x="21577" y="-33"/>
                <wp:lineTo x="-23" y="-33"/>
              </wp:wrapPolygon>
            </wp:wrapTight>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default" w:ascii="Times New Roman" w:hAnsi="Times New Roman" w:eastAsia="仿宋" w:cs="Times New Roman"/>
          <w:color w:val="000000"/>
          <w:sz w:val="32"/>
          <w:szCs w:val="32"/>
        </w:rPr>
        <w:t>（图4：财政拨款收、支决算总计变动情况）（柱状图）</w:t>
      </w:r>
    </w:p>
    <w:p>
      <w:pPr>
        <w:spacing w:line="600" w:lineRule="exact"/>
        <w:ind w:firstLine="640" w:firstLineChars="200"/>
        <w:outlineLvl w:val="1"/>
        <w:rPr>
          <w:rStyle w:val="18"/>
          <w:rFonts w:hint="default" w:ascii="Times New Roman" w:hAnsi="Times New Roman" w:eastAsia="黑体" w:cs="Times New Roman"/>
          <w:b w:val="0"/>
        </w:rPr>
      </w:pPr>
      <w:bookmarkStart w:id="66" w:name="_Toc85036710"/>
      <w:bookmarkStart w:id="67" w:name="_Toc85037132"/>
      <w:r>
        <w:rPr>
          <w:rFonts w:hint="default" w:ascii="Times New Roman" w:hAnsi="Times New Roman" w:eastAsia="黑体" w:cs="Times New Roman"/>
          <w:color w:val="000000"/>
          <w:sz w:val="32"/>
          <w:szCs w:val="32"/>
        </w:rPr>
        <w:t>五、</w:t>
      </w:r>
      <w:r>
        <w:rPr>
          <w:rFonts w:hint="default" w:ascii="Times New Roman" w:hAnsi="Times New Roman" w:eastAsia="黑体" w:cs="Times New Roman"/>
          <w:b/>
          <w:color w:val="000000"/>
          <w:sz w:val="32"/>
          <w:szCs w:val="32"/>
        </w:rPr>
        <w:t>一</w:t>
      </w:r>
      <w:r>
        <w:rPr>
          <w:rStyle w:val="18"/>
          <w:rFonts w:hint="default" w:ascii="Times New Roman" w:hAnsi="Times New Roman" w:eastAsia="黑体" w:cs="Times New Roman"/>
          <w:b w:val="0"/>
        </w:rPr>
        <w:t>般公共预算财政拨款支出决算情况说明</w:t>
      </w:r>
      <w:bookmarkEnd w:id="66"/>
      <w:bookmarkEnd w:id="67"/>
    </w:p>
    <w:p>
      <w:pPr>
        <w:spacing w:line="600" w:lineRule="exact"/>
        <w:ind w:firstLine="640" w:firstLineChars="200"/>
        <w:outlineLvl w:val="1"/>
        <w:rPr>
          <w:rStyle w:val="18"/>
          <w:rFonts w:hint="default" w:ascii="Times New Roman" w:hAnsi="Times New Roman" w:eastAsia="黑体" w:cs="Times New Roman"/>
          <w:b w:val="0"/>
        </w:rPr>
      </w:pPr>
    </w:p>
    <w:p>
      <w:pPr>
        <w:spacing w:line="600" w:lineRule="exact"/>
        <w:ind w:firstLine="643" w:firstLineChars="200"/>
        <w:outlineLvl w:val="2"/>
        <w:rPr>
          <w:rFonts w:hint="default" w:ascii="Times New Roman" w:hAnsi="Times New Roman" w:eastAsia="仿宋" w:cs="Times New Roman"/>
          <w:b/>
          <w:color w:val="000000"/>
          <w:sz w:val="32"/>
          <w:szCs w:val="32"/>
        </w:rPr>
      </w:pPr>
      <w:r>
        <w:rPr>
          <w:rFonts w:hint="default" w:ascii="Times New Roman" w:hAnsi="Times New Roman" w:eastAsia="仿宋" w:cs="Times New Roman"/>
          <w:b/>
          <w:color w:val="000000"/>
          <w:sz w:val="32"/>
          <w:szCs w:val="32"/>
        </w:rPr>
        <w:t>（一）一般公共预算财政拨款支出决算总体情况</w:t>
      </w: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2020年一般公共预算财政拨款支出3564.24万元，占本年支出合计的71.47%。与2019年相比，一般公共预算财政拨款减少1493.26万元，下降29.43%。主要变动原因是日常公用经费预算压缩、项目支出减少。</w:t>
      </w:r>
    </w:p>
    <w:p>
      <w:pPr>
        <w:spacing w:line="600" w:lineRule="exact"/>
        <w:ind w:firstLine="420" w:firstLineChars="200"/>
        <w:rPr>
          <w:rFonts w:hint="default" w:ascii="Times New Roman" w:hAnsi="Times New Roman" w:eastAsia="仿宋" w:cs="Times New Roman"/>
          <w:color w:val="000000"/>
          <w:sz w:val="32"/>
          <w:szCs w:val="32"/>
        </w:rPr>
      </w:pPr>
      <w:r>
        <w:rPr>
          <w:rFonts w:hint="default" w:ascii="Times New Roman" w:hAnsi="Times New Roman" w:cs="Times New Roman"/>
        </w:rPr>
        <w:drawing>
          <wp:anchor distT="0" distB="0" distL="114300" distR="114300" simplePos="0" relativeHeight="251661312" behindDoc="1" locked="0" layoutInCell="1" allowOverlap="1">
            <wp:simplePos x="0" y="0"/>
            <wp:positionH relativeFrom="column">
              <wp:posOffset>323850</wp:posOffset>
            </wp:positionH>
            <wp:positionV relativeFrom="paragraph">
              <wp:posOffset>114300</wp:posOffset>
            </wp:positionV>
            <wp:extent cx="4572000" cy="3009900"/>
            <wp:effectExtent l="0" t="0" r="19050" b="1905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（图5：一般公共预算财政拨款支出决算变动情况）（柱状图）</w:t>
      </w: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3" w:firstLineChars="200"/>
        <w:outlineLvl w:val="2"/>
        <w:rPr>
          <w:rFonts w:hint="default" w:ascii="Times New Roman" w:hAnsi="Times New Roman" w:eastAsia="仿宋" w:cs="Times New Roman"/>
          <w:b/>
          <w:color w:val="000000"/>
          <w:sz w:val="32"/>
          <w:szCs w:val="32"/>
        </w:rPr>
      </w:pPr>
      <w:bookmarkStart w:id="68" w:name="_Toc15377211"/>
      <w:r>
        <w:rPr>
          <w:rFonts w:hint="default" w:ascii="Times New Roman" w:hAnsi="Times New Roman" w:eastAsia="仿宋" w:cs="Times New Roman"/>
          <w:b/>
          <w:color w:val="000000"/>
          <w:sz w:val="32"/>
          <w:szCs w:val="32"/>
        </w:rPr>
        <w:t>（二）一般公共预算财政拨款支出决算结构情况</w:t>
      </w:r>
      <w:bookmarkEnd w:id="68"/>
    </w:p>
    <w:p>
      <w:pPr>
        <w:spacing w:line="600" w:lineRule="exact"/>
        <w:ind w:firstLine="640"/>
        <w:rPr>
          <w:rFonts w:hint="default" w:ascii="Times New Roman" w:hAnsi="Times New Roman" w:eastAsia="仿宋" w:cs="Times New Roman"/>
          <w:b/>
          <w:color w:val="000000"/>
          <w:sz w:val="32"/>
          <w:szCs w:val="32"/>
        </w:rPr>
      </w:pPr>
      <w:r>
        <w:rPr>
          <w:rFonts w:hint="default" w:ascii="Times New Roman" w:hAnsi="Times New Roman" w:eastAsia="仿宋" w:cs="Times New Roman"/>
          <w:color w:val="000000"/>
          <w:sz w:val="32"/>
          <w:szCs w:val="32"/>
        </w:rPr>
        <w:t>2020年一般公共预算财政拨款支出3564.24万元，主要用于以下方面</w:t>
      </w:r>
      <w:r>
        <w:rPr>
          <w:rFonts w:hint="eastAsia" w:eastAsia="仿宋" w:cs="Times New Roman"/>
          <w:color w:val="000000"/>
          <w:sz w:val="32"/>
          <w:szCs w:val="32"/>
          <w:lang w:eastAsia="zh-CN"/>
        </w:rPr>
        <w:t>：</w:t>
      </w:r>
      <w:r>
        <w:rPr>
          <w:rFonts w:hint="default" w:ascii="Times New Roman" w:hAnsi="Times New Roman" w:eastAsia="仿宋" w:cs="Times New Roman"/>
          <w:b/>
          <w:color w:val="000000"/>
          <w:sz w:val="32"/>
          <w:szCs w:val="32"/>
        </w:rPr>
        <w:t>一般公共服务（类）</w:t>
      </w:r>
      <w:r>
        <w:rPr>
          <w:rFonts w:hint="default" w:ascii="Times New Roman" w:hAnsi="Times New Roman" w:eastAsia="仿宋" w:cs="Times New Roman"/>
          <w:color w:val="000000"/>
          <w:sz w:val="32"/>
          <w:szCs w:val="32"/>
        </w:rPr>
        <w:t>支出7.97万元，占0.24%；</w:t>
      </w:r>
      <w:r>
        <w:rPr>
          <w:rFonts w:hint="default" w:ascii="Times New Roman" w:hAnsi="Times New Roman" w:eastAsia="仿宋" w:cs="Times New Roman"/>
          <w:b/>
          <w:color w:val="000000"/>
          <w:sz w:val="32"/>
          <w:szCs w:val="32"/>
        </w:rPr>
        <w:t>教育支出（类）</w:t>
      </w:r>
      <w:r>
        <w:rPr>
          <w:rFonts w:hint="default" w:ascii="Times New Roman" w:hAnsi="Times New Roman" w:eastAsia="仿宋" w:cs="Times New Roman"/>
          <w:color w:val="000000"/>
          <w:sz w:val="32"/>
          <w:szCs w:val="32"/>
        </w:rPr>
        <w:t>0万元，占0%；</w:t>
      </w:r>
      <w:r>
        <w:rPr>
          <w:rFonts w:hint="default" w:ascii="Times New Roman" w:hAnsi="Times New Roman" w:eastAsia="仿宋" w:cs="Times New Roman"/>
          <w:b/>
          <w:color w:val="000000"/>
          <w:sz w:val="32"/>
          <w:szCs w:val="32"/>
        </w:rPr>
        <w:t>科学技术（类）</w:t>
      </w:r>
      <w:r>
        <w:rPr>
          <w:rFonts w:hint="default" w:ascii="Times New Roman" w:hAnsi="Times New Roman" w:eastAsia="仿宋" w:cs="Times New Roman"/>
          <w:color w:val="000000"/>
          <w:sz w:val="32"/>
          <w:szCs w:val="32"/>
        </w:rPr>
        <w:t>支出0万元，占0%；</w:t>
      </w:r>
      <w:r>
        <w:rPr>
          <w:rFonts w:hint="default" w:ascii="Times New Roman" w:hAnsi="Times New Roman" w:eastAsia="仿宋" w:cs="Times New Roman"/>
          <w:b/>
          <w:bCs/>
          <w:color w:val="000000"/>
          <w:sz w:val="32"/>
          <w:szCs w:val="32"/>
        </w:rPr>
        <w:t>文化旅游体育与传媒（类）支出1052.72万元，占29.63%</w:t>
      </w:r>
      <w:r>
        <w:rPr>
          <w:rFonts w:hint="default" w:ascii="Times New Roman" w:hAnsi="Times New Roman" w:eastAsia="仿宋" w:cs="Times New Roman"/>
          <w:color w:val="000000"/>
          <w:sz w:val="32"/>
          <w:szCs w:val="32"/>
        </w:rPr>
        <w:t>；</w:t>
      </w:r>
      <w:r>
        <w:rPr>
          <w:rFonts w:hint="default" w:ascii="Times New Roman" w:hAnsi="Times New Roman" w:eastAsia="仿宋" w:cs="Times New Roman"/>
          <w:b/>
          <w:color w:val="000000"/>
          <w:sz w:val="32"/>
          <w:szCs w:val="32"/>
        </w:rPr>
        <w:t>社会保障和就业（类）</w:t>
      </w:r>
      <w:r>
        <w:rPr>
          <w:rFonts w:hint="default" w:ascii="Times New Roman" w:hAnsi="Times New Roman" w:eastAsia="仿宋" w:cs="Times New Roman"/>
          <w:color w:val="000000"/>
          <w:sz w:val="32"/>
          <w:szCs w:val="32"/>
        </w:rPr>
        <w:t>支出201.06万元，占*5.63%；</w:t>
      </w:r>
      <w:r>
        <w:rPr>
          <w:rFonts w:hint="default" w:ascii="Times New Roman" w:hAnsi="Times New Roman" w:eastAsia="仿宋" w:cs="Times New Roman"/>
          <w:b/>
          <w:bCs/>
          <w:color w:val="000000"/>
          <w:sz w:val="32"/>
          <w:szCs w:val="32"/>
        </w:rPr>
        <w:t>卫生健康支出</w:t>
      </w:r>
      <w:r>
        <w:rPr>
          <w:rFonts w:hint="default" w:ascii="Times New Roman" w:hAnsi="Times New Roman" w:eastAsia="仿宋" w:cs="Times New Roman"/>
          <w:color w:val="000000"/>
          <w:sz w:val="32"/>
          <w:szCs w:val="32"/>
        </w:rPr>
        <w:t>0万元，占0%；</w:t>
      </w:r>
      <w:r>
        <w:rPr>
          <w:rFonts w:hint="default" w:ascii="Times New Roman" w:hAnsi="Times New Roman" w:eastAsia="仿宋" w:cs="Times New Roman"/>
          <w:b/>
          <w:color w:val="000000"/>
          <w:sz w:val="32"/>
          <w:szCs w:val="32"/>
        </w:rPr>
        <w:t>住房保障支出</w:t>
      </w:r>
      <w:r>
        <w:rPr>
          <w:rFonts w:hint="default" w:ascii="Times New Roman" w:hAnsi="Times New Roman" w:eastAsia="仿宋" w:cs="Times New Roman"/>
          <w:color w:val="000000"/>
          <w:sz w:val="32"/>
          <w:szCs w:val="32"/>
        </w:rPr>
        <w:t>185.55万元，占5.20%；</w:t>
      </w:r>
      <w:r>
        <w:rPr>
          <w:rFonts w:hint="default" w:ascii="Times New Roman" w:hAnsi="Times New Roman" w:eastAsia="仿宋" w:cs="Times New Roman"/>
          <w:b/>
          <w:bCs/>
          <w:color w:val="000000"/>
          <w:sz w:val="32"/>
          <w:szCs w:val="32"/>
        </w:rPr>
        <w:t>农林水（类）</w:t>
      </w:r>
      <w:r>
        <w:rPr>
          <w:rFonts w:hint="default" w:ascii="Times New Roman" w:hAnsi="Times New Roman" w:eastAsia="仿宋" w:cs="Times New Roman"/>
          <w:color w:val="000000"/>
          <w:sz w:val="32"/>
          <w:szCs w:val="32"/>
        </w:rPr>
        <w:t>支出45.00万元，占1.26%；</w:t>
      </w:r>
      <w:r>
        <w:rPr>
          <w:rFonts w:hint="default" w:ascii="Times New Roman" w:hAnsi="Times New Roman" w:eastAsia="仿宋" w:cs="Times New Roman"/>
          <w:b/>
          <w:color w:val="000000"/>
          <w:sz w:val="32"/>
          <w:szCs w:val="32"/>
        </w:rPr>
        <w:t>公共安全（类）</w:t>
      </w:r>
      <w:r>
        <w:rPr>
          <w:rFonts w:hint="default" w:ascii="Times New Roman" w:hAnsi="Times New Roman" w:eastAsia="仿宋" w:cs="Times New Roman"/>
          <w:color w:val="000000"/>
          <w:sz w:val="32"/>
          <w:szCs w:val="32"/>
        </w:rPr>
        <w:t>支出85.00万元，占2.38%</w:t>
      </w:r>
      <w:r>
        <w:rPr>
          <w:rFonts w:hint="default" w:ascii="Times New Roman" w:hAnsi="Times New Roman" w:eastAsia="仿宋" w:cs="Times New Roman"/>
          <w:b/>
          <w:color w:val="000000"/>
          <w:sz w:val="32"/>
          <w:szCs w:val="32"/>
        </w:rPr>
        <w:t>。</w:t>
      </w:r>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cs="Times New Roman"/>
        </w:rPr>
        <w:drawing>
          <wp:anchor distT="0" distB="0" distL="114300" distR="114300" simplePos="0" relativeHeight="251662336" behindDoc="1" locked="0" layoutInCell="1" allowOverlap="1">
            <wp:simplePos x="0" y="0"/>
            <wp:positionH relativeFrom="column">
              <wp:posOffset>361950</wp:posOffset>
            </wp:positionH>
            <wp:positionV relativeFrom="paragraph">
              <wp:posOffset>90805</wp:posOffset>
            </wp:positionV>
            <wp:extent cx="4572000" cy="2928620"/>
            <wp:effectExtent l="0" t="0" r="19050" b="24130"/>
            <wp:wrapTight wrapText="bothSides">
              <wp:wrapPolygon>
                <wp:start x="0" y="0"/>
                <wp:lineTo x="0" y="21637"/>
                <wp:lineTo x="21600" y="21637"/>
                <wp:lineTo x="21600" y="0"/>
                <wp:lineTo x="0" y="0"/>
              </wp:wrapPolygon>
            </wp:wrapTight>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rPr>
          <w:rFonts w:hint="default" w:ascii="Times New Roman" w:hAnsi="Times New Roman" w:eastAsia="仿宋" w:cs="Times New Roman"/>
          <w:color w:val="000000"/>
          <w:sz w:val="32"/>
          <w:szCs w:val="32"/>
        </w:rPr>
      </w:pPr>
    </w:p>
    <w:p>
      <w:pPr>
        <w:spacing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（图6：一般公共预算财政拨款支出决算结构）（饼状图）</w:t>
      </w:r>
    </w:p>
    <w:p>
      <w:pPr>
        <w:spacing w:line="600" w:lineRule="exact"/>
        <w:ind w:firstLine="640" w:firstLineChars="200"/>
        <w:rPr>
          <w:rFonts w:hint="default" w:ascii="Times New Roman" w:hAnsi="Times New Roman" w:eastAsia="仿宋" w:cs="Times New Roman"/>
          <w:color w:val="000000"/>
          <w:sz w:val="32"/>
          <w:szCs w:val="32"/>
        </w:rPr>
      </w:pPr>
    </w:p>
    <w:p>
      <w:pPr>
        <w:spacing w:line="600" w:lineRule="exact"/>
        <w:ind w:firstLine="643" w:firstLineChars="200"/>
        <w:outlineLvl w:val="2"/>
        <w:rPr>
          <w:rFonts w:hint="default" w:ascii="Times New Roman" w:hAnsi="Times New Roman" w:eastAsia="仿宋" w:cs="Times New Roman"/>
          <w:b/>
          <w:color w:val="000000"/>
          <w:sz w:val="32"/>
          <w:szCs w:val="32"/>
        </w:rPr>
      </w:pPr>
      <w:bookmarkStart w:id="69" w:name="_Toc15377212"/>
      <w:r>
        <w:rPr>
          <w:rFonts w:hint="default" w:ascii="Times New Roman" w:hAnsi="Times New Roman" w:eastAsia="仿宋" w:cs="Times New Roman"/>
          <w:b/>
          <w:color w:val="000000"/>
          <w:sz w:val="32"/>
          <w:szCs w:val="32"/>
        </w:rPr>
        <w:t>（三）一般公共预算财政拨款支出决算具体情况</w:t>
      </w:r>
      <w:bookmarkEnd w:id="69"/>
    </w:p>
    <w:p>
      <w:pPr>
        <w:spacing w:line="600" w:lineRule="exact"/>
        <w:ind w:firstLine="643" w:firstLineChars="200"/>
        <w:outlineLvl w:val="2"/>
        <w:rPr>
          <w:rFonts w:hint="default" w:ascii="Times New Roman" w:hAnsi="Times New Roman" w:eastAsia="仿宋" w:cs="Times New Roman"/>
          <w:color w:val="FF0000"/>
          <w:sz w:val="32"/>
          <w:szCs w:val="32"/>
        </w:rPr>
      </w:pPr>
      <w:r>
        <w:rPr>
          <w:rFonts w:hint="default" w:ascii="Times New Roman" w:hAnsi="Times New Roman" w:eastAsia="仿宋" w:cs="Times New Roman"/>
          <w:b/>
          <w:color w:val="000000"/>
          <w:sz w:val="32"/>
          <w:szCs w:val="32"/>
        </w:rPr>
        <w:t>2020年一般公共预算支出决算数为3564.24万元</w:t>
      </w:r>
      <w:r>
        <w:rPr>
          <w:rFonts w:hint="default" w:ascii="Times New Roman" w:hAnsi="Times New Roman" w:eastAsia="仿宋" w:cs="Times New Roman"/>
          <w:color w:val="000000"/>
          <w:sz w:val="32"/>
          <w:szCs w:val="32"/>
        </w:rPr>
        <w:t>，</w:t>
      </w:r>
      <w:r>
        <w:rPr>
          <w:rStyle w:val="14"/>
          <w:rFonts w:hint="default" w:ascii="Times New Roman" w:hAnsi="Times New Roman" w:eastAsia="仿宋" w:cs="Times New Roman"/>
          <w:bCs/>
          <w:color w:val="000000"/>
          <w:sz w:val="32"/>
          <w:szCs w:val="32"/>
        </w:rPr>
        <w:t>完成预算99.87%。其中：</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1</w:t>
      </w:r>
      <w:r>
        <w:rPr>
          <w:rFonts w:hint="default" w:ascii="Times New Roman" w:hAnsi="Times New Roman" w:cs="Times New Roman"/>
          <w:b/>
          <w:bCs/>
          <w:sz w:val="32"/>
          <w:szCs w:val="32"/>
        </w:rPr>
        <w:t>．</w:t>
      </w:r>
      <w:r>
        <w:rPr>
          <w:rStyle w:val="14"/>
          <w:rFonts w:hint="default" w:ascii="Times New Roman" w:hAnsi="Times New Roman" w:eastAsia="仿宋" w:cs="Times New Roman"/>
          <w:bCs/>
          <w:sz w:val="32"/>
          <w:szCs w:val="32"/>
        </w:rPr>
        <w:t>一般公共服务（类）人力资源事务（款）其他人力资源事务支出（项）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支出决算为3.60万元，完成预算100%。</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2</w:t>
      </w:r>
      <w:r>
        <w:rPr>
          <w:rFonts w:hint="default" w:ascii="Times New Roman" w:hAnsi="Times New Roman" w:cs="Times New Roman"/>
          <w:b/>
          <w:bCs/>
          <w:sz w:val="32"/>
          <w:szCs w:val="32"/>
        </w:rPr>
        <w:t>．</w:t>
      </w:r>
      <w:r>
        <w:rPr>
          <w:rStyle w:val="14"/>
          <w:rFonts w:hint="default" w:ascii="Times New Roman" w:hAnsi="Times New Roman" w:eastAsia="仿宋" w:cs="Times New Roman"/>
          <w:bCs/>
          <w:sz w:val="32"/>
          <w:szCs w:val="32"/>
        </w:rPr>
        <w:t>一般公共服务（类）组织事务（款）其他组织事务支出（项）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支出决算为4.37万元，完成预算100%。</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3</w:t>
      </w:r>
      <w:r>
        <w:rPr>
          <w:rFonts w:hint="default" w:ascii="Times New Roman" w:hAnsi="Times New Roman" w:cs="Times New Roman"/>
          <w:b/>
          <w:bCs/>
          <w:sz w:val="32"/>
          <w:szCs w:val="32"/>
        </w:rPr>
        <w:t>．</w:t>
      </w:r>
      <w:r>
        <w:rPr>
          <w:rFonts w:hint="default" w:ascii="Times New Roman" w:hAnsi="Times New Roman" w:eastAsia="仿宋" w:cs="Times New Roman"/>
          <w:b/>
          <w:sz w:val="32"/>
          <w:szCs w:val="32"/>
        </w:rPr>
        <w:t>公共安全</w:t>
      </w:r>
      <w:r>
        <w:rPr>
          <w:rStyle w:val="14"/>
          <w:rFonts w:hint="default" w:ascii="Times New Roman" w:hAnsi="Times New Roman" w:eastAsia="仿宋" w:cs="Times New Roman"/>
          <w:bCs/>
          <w:sz w:val="32"/>
          <w:szCs w:val="32"/>
        </w:rPr>
        <w:t>（类）其他公共安全支出（款）其他公共安全支出（项）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支出决算为85.00万元，完成预算100%。</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4</w:t>
      </w:r>
      <w:r>
        <w:rPr>
          <w:rFonts w:hint="default" w:ascii="Times New Roman" w:hAnsi="Times New Roman" w:cs="Times New Roman"/>
          <w:b/>
          <w:bCs/>
          <w:sz w:val="32"/>
          <w:szCs w:val="32"/>
        </w:rPr>
        <w:t>．</w:t>
      </w:r>
      <w:r>
        <w:rPr>
          <w:rStyle w:val="14"/>
          <w:rFonts w:hint="default" w:ascii="Times New Roman" w:hAnsi="Times New Roman" w:eastAsia="仿宋" w:cs="Times New Roman"/>
          <w:bCs/>
          <w:sz w:val="32"/>
          <w:szCs w:val="32"/>
        </w:rPr>
        <w:t>文化旅游体育与传媒（类）文化和旅游（款）其他文化和旅游支出（项）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支出决算为29.7万元，完成预算100%</w:t>
      </w:r>
      <w:r>
        <w:rPr>
          <w:rStyle w:val="14"/>
          <w:rFonts w:hint="default" w:ascii="Times New Roman" w:hAnsi="Times New Roman" w:eastAsia="仿宋" w:cs="Times New Roman"/>
          <w:bCs/>
          <w:sz w:val="32"/>
          <w:szCs w:val="32"/>
        </w:rPr>
        <w:t>。</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5</w:t>
      </w:r>
      <w:r>
        <w:rPr>
          <w:rFonts w:hint="default" w:ascii="Times New Roman" w:hAnsi="Times New Roman" w:cs="Times New Roman"/>
          <w:b/>
          <w:bCs/>
          <w:sz w:val="32"/>
          <w:szCs w:val="32"/>
        </w:rPr>
        <w:t>．</w:t>
      </w:r>
      <w:r>
        <w:rPr>
          <w:rStyle w:val="14"/>
          <w:rFonts w:hint="default" w:ascii="Times New Roman" w:hAnsi="Times New Roman" w:eastAsia="仿宋" w:cs="Times New Roman"/>
          <w:bCs/>
          <w:sz w:val="32"/>
          <w:szCs w:val="32"/>
        </w:rPr>
        <w:t>文化旅游体育与传媒（类）广播电视（款）广播（项）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支出决算为2252.81万元，完成预算100%。</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6</w:t>
      </w:r>
      <w:r>
        <w:rPr>
          <w:rFonts w:hint="default" w:ascii="Times New Roman" w:hAnsi="Times New Roman" w:cs="Times New Roman"/>
          <w:b/>
          <w:bCs/>
          <w:sz w:val="32"/>
          <w:szCs w:val="32"/>
        </w:rPr>
        <w:t>．</w:t>
      </w:r>
      <w:r>
        <w:rPr>
          <w:rStyle w:val="14"/>
          <w:rFonts w:hint="default" w:ascii="Times New Roman" w:hAnsi="Times New Roman" w:eastAsia="仿宋" w:cs="Times New Roman"/>
          <w:bCs/>
          <w:sz w:val="32"/>
          <w:szCs w:val="32"/>
        </w:rPr>
        <w:t>文化旅游体育与传媒（类）广播电视（款）电视（项）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支出决算为67.30万元，完成预算100%。</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7</w:t>
      </w:r>
      <w:r>
        <w:rPr>
          <w:rFonts w:hint="default" w:ascii="Times New Roman" w:hAnsi="Times New Roman" w:cs="Times New Roman"/>
          <w:b/>
          <w:bCs/>
          <w:sz w:val="32"/>
          <w:szCs w:val="32"/>
        </w:rPr>
        <w:t>．</w:t>
      </w:r>
      <w:r>
        <w:rPr>
          <w:rStyle w:val="14"/>
          <w:rFonts w:hint="default" w:ascii="Times New Roman" w:hAnsi="Times New Roman" w:eastAsia="仿宋" w:cs="Times New Roman"/>
          <w:bCs/>
          <w:sz w:val="32"/>
          <w:szCs w:val="32"/>
        </w:rPr>
        <w:t>文化旅游体育与传媒（类）广播电视（款）其他广播电视支出（项）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支出决算为96.05万元，完成预算100%。</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8</w:t>
      </w:r>
      <w:r>
        <w:rPr>
          <w:rFonts w:hint="default" w:ascii="Times New Roman" w:hAnsi="Times New Roman" w:cs="Times New Roman"/>
          <w:bCs/>
          <w:sz w:val="32"/>
          <w:szCs w:val="32"/>
        </w:rPr>
        <w:t>．</w:t>
      </w:r>
      <w:r>
        <w:rPr>
          <w:rStyle w:val="14"/>
          <w:rFonts w:hint="default" w:ascii="Times New Roman" w:hAnsi="Times New Roman" w:eastAsia="仿宋" w:cs="Times New Roman"/>
          <w:bCs/>
          <w:sz w:val="32"/>
          <w:szCs w:val="32"/>
        </w:rPr>
        <w:t>文化旅游体育与传媒（类）其他文化旅游体育与传媒支出（款）宣传文化发展专项支出（项）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支出决算为7万元，完成预算100%。</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9</w:t>
      </w:r>
      <w:r>
        <w:rPr>
          <w:rFonts w:hint="default" w:ascii="Times New Roman" w:hAnsi="Times New Roman" w:cs="Times New Roman"/>
          <w:bCs/>
          <w:sz w:val="32"/>
          <w:szCs w:val="32"/>
        </w:rPr>
        <w:t>．</w:t>
      </w:r>
      <w:r>
        <w:rPr>
          <w:rStyle w:val="14"/>
          <w:rFonts w:hint="default" w:ascii="Times New Roman" w:hAnsi="Times New Roman" w:eastAsia="仿宋" w:cs="Times New Roman"/>
          <w:bCs/>
          <w:sz w:val="32"/>
          <w:szCs w:val="32"/>
        </w:rPr>
        <w:t>文化旅游体育与传媒（类）其他文化旅游体育与传媒支出（款）其他文化旅游体育与传媒支出（项）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支出决算为22.88万元，完成预算100%。</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10</w:t>
      </w:r>
      <w:r>
        <w:rPr>
          <w:rFonts w:hint="default" w:ascii="Times New Roman" w:hAnsi="Times New Roman" w:cs="Times New Roman"/>
          <w:b/>
          <w:bCs/>
          <w:sz w:val="32"/>
          <w:szCs w:val="32"/>
        </w:rPr>
        <w:t>．</w:t>
      </w:r>
      <w:r>
        <w:rPr>
          <w:rStyle w:val="14"/>
          <w:rFonts w:hint="default" w:ascii="Times New Roman" w:hAnsi="Times New Roman" w:eastAsia="仿宋" w:cs="Times New Roman"/>
          <w:bCs/>
          <w:sz w:val="32"/>
          <w:szCs w:val="32"/>
        </w:rPr>
        <w:t>社会保障和就业（类）行政事业单位养老支出（款）机关事业单位基本养老保险缴费支出（项）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支出决算为201.06万元，完成预算100%。</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11</w:t>
      </w:r>
      <w:r>
        <w:rPr>
          <w:rFonts w:hint="default" w:ascii="Times New Roman" w:hAnsi="Times New Roman" w:cs="Times New Roman"/>
          <w:b/>
          <w:bCs/>
          <w:sz w:val="32"/>
          <w:szCs w:val="32"/>
        </w:rPr>
        <w:t>．</w:t>
      </w:r>
      <w:r>
        <w:rPr>
          <w:rStyle w:val="14"/>
          <w:rFonts w:hint="default" w:ascii="Times New Roman" w:hAnsi="Times New Roman" w:eastAsia="仿宋" w:cs="Times New Roman"/>
          <w:bCs/>
          <w:sz w:val="32"/>
          <w:szCs w:val="32"/>
        </w:rPr>
        <w:t>社会保障和就业（类）抚恤（款）死亡抚恤（项）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支出决算为0万元，完成预算0%，决算数小于预算数的主要原因是攀枝花市广播电视台4.69万元的死亡职工抚恤费</w:t>
      </w:r>
      <w:r>
        <w:rPr>
          <w:rFonts w:hint="default" w:ascii="Times New Roman" w:hAnsi="Times New Roman" w:cs="Times New Roman"/>
          <w:sz w:val="32"/>
          <w:szCs w:val="32"/>
        </w:rPr>
        <w:t>指标下达较晚，当年未能支付给个人</w:t>
      </w:r>
      <w:r>
        <w:rPr>
          <w:rStyle w:val="14"/>
          <w:rFonts w:hint="default" w:ascii="Times New Roman" w:hAnsi="Times New Roman" w:eastAsia="仿宋" w:cs="Times New Roman"/>
          <w:b w:val="0"/>
          <w:bCs/>
          <w:sz w:val="32"/>
          <w:szCs w:val="32"/>
        </w:rPr>
        <w:t>。</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12</w:t>
      </w:r>
      <w:r>
        <w:rPr>
          <w:rFonts w:hint="default" w:ascii="Times New Roman" w:hAnsi="Times New Roman" w:cs="Times New Roman"/>
          <w:b/>
          <w:bCs/>
          <w:sz w:val="32"/>
          <w:szCs w:val="32"/>
        </w:rPr>
        <w:t>．</w:t>
      </w:r>
      <w:r>
        <w:rPr>
          <w:rStyle w:val="14"/>
          <w:rFonts w:hint="default" w:ascii="Times New Roman" w:hAnsi="Times New Roman" w:eastAsia="仿宋" w:cs="Times New Roman"/>
          <w:bCs/>
          <w:sz w:val="32"/>
          <w:szCs w:val="32"/>
        </w:rPr>
        <w:t>城乡社区（类）城乡社区公共设施（款）其他城乡社区公共设施支出（项）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支出决算为563.92万元，完成预算100%。</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13</w:t>
      </w:r>
      <w:r>
        <w:rPr>
          <w:rFonts w:hint="default" w:ascii="Times New Roman" w:hAnsi="Times New Roman" w:cs="Times New Roman"/>
          <w:b/>
          <w:bCs/>
          <w:sz w:val="32"/>
          <w:szCs w:val="32"/>
        </w:rPr>
        <w:t>．</w:t>
      </w:r>
      <w:r>
        <w:rPr>
          <w:rStyle w:val="14"/>
          <w:rFonts w:hint="default" w:ascii="Times New Roman" w:hAnsi="Times New Roman" w:eastAsia="仿宋" w:cs="Times New Roman"/>
          <w:bCs/>
          <w:sz w:val="32"/>
          <w:szCs w:val="32"/>
        </w:rPr>
        <w:t>农林水（类）扶贫（款）其他扶贫支出（项）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支出决算为45.00万元，完成预算100%。</w:t>
      </w:r>
    </w:p>
    <w:p>
      <w:pPr>
        <w:spacing w:line="600" w:lineRule="exact"/>
        <w:ind w:firstLine="643" w:firstLineChars="200"/>
        <w:rPr>
          <w:rStyle w:val="14"/>
          <w:rFonts w:hint="default" w:ascii="Times New Roman" w:hAnsi="Times New Roman" w:eastAsia="仿宋" w:cs="Times New Roman"/>
          <w:b w:val="0"/>
          <w:bCs/>
          <w:sz w:val="32"/>
          <w:szCs w:val="32"/>
        </w:rPr>
      </w:pPr>
      <w:r>
        <w:rPr>
          <w:rStyle w:val="14"/>
          <w:rFonts w:hint="default" w:ascii="Times New Roman" w:hAnsi="Times New Roman" w:eastAsia="仿宋" w:cs="Times New Roman"/>
          <w:bCs/>
          <w:sz w:val="32"/>
          <w:szCs w:val="32"/>
        </w:rPr>
        <w:t>14</w:t>
      </w:r>
      <w:r>
        <w:rPr>
          <w:rFonts w:hint="default" w:ascii="Times New Roman" w:hAnsi="Times New Roman" w:cs="Times New Roman"/>
          <w:b/>
          <w:bCs/>
          <w:sz w:val="32"/>
          <w:szCs w:val="32"/>
        </w:rPr>
        <w:t>．</w:t>
      </w:r>
      <w:r>
        <w:rPr>
          <w:rStyle w:val="14"/>
          <w:rFonts w:hint="default" w:ascii="Times New Roman" w:hAnsi="Times New Roman" w:eastAsia="仿宋" w:cs="Times New Roman"/>
          <w:bCs/>
          <w:sz w:val="32"/>
          <w:szCs w:val="32"/>
        </w:rPr>
        <w:t>住房保障支出（类）住房改革支出（款）住房公积金（项）</w:t>
      </w:r>
      <w:r>
        <w:rPr>
          <w:rStyle w:val="14"/>
          <w:rFonts w:hint="eastAsia" w:eastAsia="仿宋" w:cs="Times New Roman"/>
          <w:bCs/>
          <w:sz w:val="32"/>
          <w:szCs w:val="32"/>
          <w:lang w:eastAsia="zh-CN"/>
        </w:rPr>
        <w:t>：</w:t>
      </w:r>
      <w:r>
        <w:rPr>
          <w:rStyle w:val="14"/>
          <w:rFonts w:hint="default" w:ascii="Times New Roman" w:hAnsi="Times New Roman" w:eastAsia="仿宋" w:cs="Times New Roman"/>
          <w:b w:val="0"/>
          <w:bCs/>
          <w:sz w:val="32"/>
          <w:szCs w:val="32"/>
        </w:rPr>
        <w:t>支出决算为185.55万元，完成预算100%。</w:t>
      </w:r>
    </w:p>
    <w:p>
      <w:pPr>
        <w:spacing w:line="600" w:lineRule="exact"/>
        <w:rPr>
          <w:rFonts w:hint="default" w:ascii="Times New Roman" w:hAnsi="Times New Roman" w:eastAsia="仿宋" w:cs="Times New Roman"/>
          <w:b/>
          <w:color w:val="000000"/>
          <w:sz w:val="32"/>
          <w:szCs w:val="32"/>
        </w:rPr>
      </w:pPr>
    </w:p>
    <w:p>
      <w:pPr>
        <w:tabs>
          <w:tab w:val="right" w:pos="8306"/>
        </w:tabs>
        <w:spacing w:line="600" w:lineRule="exact"/>
        <w:ind w:firstLine="640"/>
        <w:outlineLvl w:val="1"/>
        <w:rPr>
          <w:rStyle w:val="18"/>
          <w:rFonts w:hint="default" w:ascii="Times New Roman" w:hAnsi="Times New Roman" w:cs="Times New Roman"/>
        </w:rPr>
      </w:pPr>
      <w:bookmarkStart w:id="70" w:name="_Toc15396608"/>
      <w:bookmarkStart w:id="71" w:name="_Toc15377214"/>
      <w:bookmarkStart w:id="72" w:name="_Toc85037133"/>
      <w:bookmarkStart w:id="73" w:name="_Toc85036711"/>
      <w:r>
        <w:rPr>
          <w:rFonts w:hint="default" w:ascii="Times New Roman" w:hAnsi="Times New Roman" w:eastAsia="黑体" w:cs="Times New Roman"/>
          <w:color w:val="000000"/>
          <w:sz w:val="32"/>
          <w:szCs w:val="32"/>
        </w:rPr>
        <w:t>六</w:t>
      </w:r>
      <w:r>
        <w:rPr>
          <w:rFonts w:hint="default" w:ascii="Times New Roman" w:hAnsi="Times New Roman" w:eastAsia="黑体" w:cs="Times New Roman"/>
          <w:b/>
          <w:color w:val="000000"/>
          <w:sz w:val="32"/>
          <w:szCs w:val="32"/>
        </w:rPr>
        <w:t>、一</w:t>
      </w:r>
      <w:r>
        <w:rPr>
          <w:rStyle w:val="18"/>
          <w:rFonts w:hint="default" w:ascii="Times New Roman" w:hAnsi="Times New Roman" w:eastAsia="黑体" w:cs="Times New Roman"/>
          <w:b w:val="0"/>
        </w:rPr>
        <w:t>般公共预算财政拨款基本支出决算情况说明</w:t>
      </w:r>
      <w:bookmarkEnd w:id="70"/>
      <w:bookmarkEnd w:id="71"/>
      <w:bookmarkEnd w:id="72"/>
      <w:bookmarkEnd w:id="73"/>
      <w:r>
        <w:rPr>
          <w:rStyle w:val="18"/>
          <w:rFonts w:hint="default" w:ascii="Times New Roman" w:hAnsi="Times New Roman" w:eastAsia="黑体" w:cs="Times New Roman"/>
          <w:b w:val="0"/>
        </w:rPr>
        <w:tab/>
      </w:r>
    </w:p>
    <w:p>
      <w:pPr>
        <w:spacing w:line="600" w:lineRule="exact"/>
        <w:ind w:firstLine="645"/>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2020年一般公共预算财政拨款基本支出2647.40万元，其中：</w:t>
      </w:r>
    </w:p>
    <w:p>
      <w:pPr>
        <w:spacing w:line="600" w:lineRule="exact"/>
        <w:ind w:firstLine="645"/>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人员经费2281.02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日常公用经费366.38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hint="default" w:ascii="Times New Roman" w:hAnsi="Times New Roman" w:eastAsia="仿宋" w:cs="Times New Roman"/>
          <w:b/>
          <w:color w:val="FF0000"/>
          <w:sz w:val="32"/>
          <w:szCs w:val="32"/>
        </w:rPr>
      </w:pPr>
    </w:p>
    <w:p>
      <w:pPr>
        <w:spacing w:line="600" w:lineRule="exact"/>
        <w:ind w:firstLine="640"/>
        <w:rPr>
          <w:rFonts w:hint="default" w:ascii="Times New Roman" w:hAnsi="Times New Roman" w:eastAsia="仿宋" w:cs="Times New Roman"/>
          <w:b/>
          <w:color w:val="FF0000"/>
          <w:sz w:val="32"/>
          <w:szCs w:val="32"/>
        </w:rPr>
      </w:pPr>
    </w:p>
    <w:p>
      <w:pPr>
        <w:spacing w:line="600" w:lineRule="exact"/>
        <w:ind w:firstLine="640"/>
        <w:outlineLvl w:val="1"/>
        <w:rPr>
          <w:rStyle w:val="18"/>
          <w:rFonts w:hint="default" w:ascii="Times New Roman" w:hAnsi="Times New Roman" w:eastAsia="黑体" w:cs="Times New Roman"/>
          <w:b w:val="0"/>
        </w:rPr>
      </w:pPr>
      <w:bookmarkStart w:id="74" w:name="_Toc85036712"/>
      <w:bookmarkStart w:id="75" w:name="_Toc15396609"/>
      <w:bookmarkStart w:id="76" w:name="_Toc85037134"/>
      <w:bookmarkStart w:id="77" w:name="_Toc15377215"/>
      <w:r>
        <w:rPr>
          <w:rFonts w:hint="default" w:ascii="Times New Roman" w:hAnsi="Times New Roman" w:eastAsia="黑体" w:cs="Times New Roman"/>
          <w:color w:val="000000"/>
          <w:sz w:val="32"/>
          <w:szCs w:val="32"/>
        </w:rPr>
        <w:t>七、</w:t>
      </w:r>
      <w:r>
        <w:rPr>
          <w:rStyle w:val="18"/>
          <w:rFonts w:hint="default" w:ascii="Times New Roman" w:hAnsi="Times New Roman" w:eastAsia="黑体" w:cs="Times New Roman"/>
        </w:rPr>
        <w:t>“</w:t>
      </w:r>
      <w:r>
        <w:rPr>
          <w:rStyle w:val="18"/>
          <w:rFonts w:hint="default" w:ascii="Times New Roman" w:hAnsi="Times New Roman" w:eastAsia="黑体" w:cs="Times New Roman"/>
          <w:b w:val="0"/>
        </w:rPr>
        <w:t>三公”经费财政拨款支出决算情况说明</w:t>
      </w:r>
      <w:bookmarkEnd w:id="74"/>
      <w:bookmarkEnd w:id="75"/>
      <w:bookmarkEnd w:id="76"/>
      <w:bookmarkEnd w:id="77"/>
    </w:p>
    <w:p>
      <w:pPr>
        <w:spacing w:line="600" w:lineRule="exact"/>
        <w:ind w:firstLine="640"/>
        <w:outlineLvl w:val="2"/>
        <w:rPr>
          <w:rFonts w:hint="default" w:ascii="Times New Roman" w:hAnsi="Times New Roman" w:eastAsia="仿宋" w:cs="Times New Roman"/>
          <w:b/>
          <w:color w:val="000000"/>
          <w:sz w:val="32"/>
          <w:szCs w:val="32"/>
        </w:rPr>
      </w:pPr>
      <w:bookmarkStart w:id="78" w:name="_Toc15377216"/>
      <w:r>
        <w:rPr>
          <w:rFonts w:hint="default" w:ascii="Times New Roman" w:hAnsi="Times New Roman" w:eastAsia="仿宋" w:cs="Times New Roman"/>
          <w:b/>
          <w:color w:val="000000"/>
          <w:sz w:val="32"/>
          <w:szCs w:val="32"/>
        </w:rPr>
        <w:t>（一）“三公”经费财政拨款支出决算总体情况说明</w:t>
      </w:r>
      <w:bookmarkEnd w:id="78"/>
    </w:p>
    <w:p>
      <w:pPr>
        <w:spacing w:line="600" w:lineRule="exact"/>
        <w:ind w:firstLine="640"/>
        <w:rPr>
          <w:rFonts w:hint="default" w:ascii="Times New Roman" w:hAnsi="Times New Roman" w:eastAsia="仿宋" w:cs="Times New Roman"/>
          <w:b/>
          <w:color w:val="FF0000"/>
          <w:sz w:val="32"/>
          <w:szCs w:val="32"/>
        </w:rPr>
      </w:pPr>
      <w:r>
        <w:rPr>
          <w:rFonts w:hint="default" w:ascii="Times New Roman" w:hAnsi="Times New Roman" w:eastAsia="仿宋" w:cs="Times New Roman"/>
          <w:color w:val="000000"/>
          <w:sz w:val="32"/>
          <w:szCs w:val="32"/>
        </w:rPr>
        <w:t>2020年“三公”经费财政拨款支出决算为105.54万元，完成预算100%。</w:t>
      </w:r>
    </w:p>
    <w:p>
      <w:pPr>
        <w:spacing w:line="600" w:lineRule="exact"/>
        <w:ind w:firstLine="640"/>
        <w:outlineLvl w:val="2"/>
        <w:rPr>
          <w:rFonts w:hint="default" w:ascii="Times New Roman" w:hAnsi="Times New Roman" w:eastAsia="仿宋" w:cs="Times New Roman"/>
          <w:b/>
          <w:color w:val="000000"/>
          <w:sz w:val="32"/>
          <w:szCs w:val="32"/>
        </w:rPr>
      </w:pPr>
      <w:bookmarkStart w:id="79" w:name="_Toc15377217"/>
      <w:r>
        <w:rPr>
          <w:rFonts w:hint="default" w:ascii="Times New Roman" w:hAnsi="Times New Roman" w:eastAsia="仿宋" w:cs="Times New Roman"/>
          <w:b/>
          <w:color w:val="000000"/>
          <w:sz w:val="32"/>
          <w:szCs w:val="32"/>
        </w:rPr>
        <w:t>（二）“三公”经费财政拨款支出决算具体情况说明</w:t>
      </w:r>
      <w:bookmarkEnd w:id="79"/>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2020年“三公”经费财政拨款支出决算中，因公出国（境）费支出决算0万元，占0%；公务用车购置及运行维护费支出决算100.67万元，占95.39%；公务接待费支出决算4.87万元，占4.61%。具体情况如下：</w:t>
      </w:r>
    </w:p>
    <w:p>
      <w:pPr>
        <w:spacing w:line="600" w:lineRule="exact"/>
        <w:ind w:firstLine="640"/>
        <w:rPr>
          <w:rFonts w:hint="default" w:ascii="Times New Roman" w:hAnsi="Times New Roman" w:eastAsia="仿宋" w:cs="Times New Roman"/>
          <w:color w:val="000000"/>
          <w:sz w:val="32"/>
          <w:szCs w:val="32"/>
        </w:rPr>
      </w:pPr>
      <w:r>
        <w:rPr>
          <w:rFonts w:hint="default" w:ascii="Times New Roman" w:hAnsi="Times New Roman" w:cs="Times New Roman"/>
        </w:rPr>
        <w:drawing>
          <wp:anchor distT="0" distB="0" distL="114300" distR="114300" simplePos="0" relativeHeight="251663360" behindDoc="1" locked="0" layoutInCell="1" allowOverlap="1">
            <wp:simplePos x="0" y="0"/>
            <wp:positionH relativeFrom="column">
              <wp:posOffset>333375</wp:posOffset>
            </wp:positionH>
            <wp:positionV relativeFrom="paragraph">
              <wp:posOffset>238125</wp:posOffset>
            </wp:positionV>
            <wp:extent cx="4572000" cy="2743200"/>
            <wp:effectExtent l="0" t="0" r="19050" b="19050"/>
            <wp:wrapTight wrapText="bothSides">
              <wp:wrapPolygon>
                <wp:start x="0" y="0"/>
                <wp:lineTo x="0" y="21600"/>
                <wp:lineTo x="21600" y="21600"/>
                <wp:lineTo x="21600" y="0"/>
                <wp:lineTo x="0" y="0"/>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default" w:ascii="Times New Roman" w:hAnsi="Times New Roman" w:eastAsia="仿宋" w:cs="Times New Roman"/>
          <w:color w:val="000000"/>
          <w:sz w:val="32"/>
          <w:szCs w:val="32"/>
        </w:rPr>
        <w:t>（图7：“三公”经费财政拨款支出结构）（饼状图）</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1.无因公出国（境）经费支出</w:t>
      </w:r>
    </w:p>
    <w:p>
      <w:pPr>
        <w:spacing w:line="600" w:lineRule="exact"/>
        <w:ind w:firstLine="64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2.公务用车购置及运行维护费支出</w:t>
      </w:r>
      <w:r>
        <w:rPr>
          <w:rFonts w:hint="default" w:ascii="Times New Roman" w:hAnsi="Times New Roman" w:eastAsia="仿宋_GB2312" w:cs="Times New Roman"/>
          <w:color w:val="000000"/>
          <w:sz w:val="32"/>
          <w:szCs w:val="32"/>
        </w:rPr>
        <w:t>100.67万元</w:t>
      </w:r>
      <w:r>
        <w:rPr>
          <w:rFonts w:hint="eastAsia" w:eastAsia="仿宋_GB2312" w:cs="Times New Roman"/>
          <w:color w:val="000000"/>
          <w:sz w:val="32"/>
          <w:szCs w:val="32"/>
          <w:lang w:eastAsia="zh-CN"/>
        </w:rPr>
        <w:t>，</w:t>
      </w:r>
      <w:r>
        <w:rPr>
          <w:rStyle w:val="14"/>
          <w:rFonts w:hint="default" w:ascii="Times New Roman" w:hAnsi="Times New Roman" w:eastAsia="仿宋" w:cs="Times New Roman"/>
          <w:b w:val="0"/>
          <w:bCs/>
          <w:color w:val="000000"/>
          <w:sz w:val="32"/>
          <w:szCs w:val="32"/>
        </w:rPr>
        <w:t>完成预算100%。</w:t>
      </w:r>
      <w:r>
        <w:rPr>
          <w:rFonts w:hint="default" w:ascii="Times New Roman" w:hAnsi="Times New Roman" w:eastAsia="仿宋_GB2312" w:cs="Times New Roman"/>
          <w:color w:val="000000"/>
          <w:sz w:val="32"/>
          <w:szCs w:val="32"/>
        </w:rPr>
        <w:t>公务用车购置及运行维护费支出决算比2019年增加26.87万元，增长36.41%。主要原因是</w:t>
      </w:r>
      <w:r>
        <w:rPr>
          <w:rStyle w:val="14"/>
          <w:rFonts w:hint="default" w:ascii="Times New Roman" w:hAnsi="Times New Roman" w:eastAsia="仿宋" w:cs="Times New Roman"/>
          <w:b w:val="0"/>
          <w:bCs/>
          <w:color w:val="000000"/>
          <w:sz w:val="32"/>
          <w:szCs w:val="32"/>
        </w:rPr>
        <w:t>本年购置公务用车3辆共34.06万元</w:t>
      </w:r>
      <w:r>
        <w:rPr>
          <w:rFonts w:hint="default" w:ascii="Times New Roman" w:hAnsi="Times New Roman" w:eastAsia="仿宋_GB2312" w:cs="Times New Roman"/>
          <w:color w:val="000000"/>
          <w:sz w:val="32"/>
          <w:szCs w:val="32"/>
        </w:rPr>
        <w:t>。</w:t>
      </w:r>
    </w:p>
    <w:p>
      <w:pPr>
        <w:spacing w:line="600" w:lineRule="exact"/>
        <w:ind w:firstLine="640"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其中：</w:t>
      </w:r>
      <w:r>
        <w:rPr>
          <w:rFonts w:hint="default" w:ascii="Times New Roman" w:hAnsi="Times New Roman" w:eastAsia="仿宋_GB2312" w:cs="Times New Roman"/>
          <w:b/>
          <w:color w:val="000000"/>
          <w:sz w:val="32"/>
          <w:szCs w:val="32"/>
        </w:rPr>
        <w:t>公务用车购置支出</w:t>
      </w:r>
      <w:r>
        <w:rPr>
          <w:rFonts w:hint="default" w:ascii="Times New Roman" w:hAnsi="Times New Roman" w:eastAsia="仿宋_GB2312" w:cs="Times New Roman"/>
          <w:color w:val="000000"/>
          <w:sz w:val="32"/>
          <w:szCs w:val="32"/>
        </w:rPr>
        <w:t>34.06万元。全年按规定更新购置公务用车3辆，其中：轿车2辆、金额22.18万元，货车1辆、金额11.88万元，主要用于采访业务用车等。截至2020年12月底，单位共有公务用车34辆，其中：轿车25辆、越野车7辆、载客汽车1辆、货车1辆。</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公务用车运行维护费支出</w:t>
      </w:r>
      <w:r>
        <w:rPr>
          <w:rFonts w:hint="default" w:ascii="Times New Roman" w:hAnsi="Times New Roman" w:eastAsia="仿宋_GB2312" w:cs="Times New Roman"/>
          <w:color w:val="000000"/>
          <w:sz w:val="32"/>
          <w:szCs w:val="32"/>
        </w:rPr>
        <w:t>66.61万元。主要用于我台采访等所需的公务用车燃料费、维修费、过路过桥费、保险费等支出。</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3.公务接待费支出</w:t>
      </w:r>
      <w:r>
        <w:rPr>
          <w:rFonts w:hint="default" w:ascii="Times New Roman" w:hAnsi="Times New Roman" w:eastAsia="仿宋_GB2312" w:cs="Times New Roman"/>
          <w:color w:val="000000"/>
          <w:sz w:val="32"/>
          <w:szCs w:val="32"/>
        </w:rPr>
        <w:t>4.87万元，</w:t>
      </w:r>
      <w:r>
        <w:rPr>
          <w:rStyle w:val="14"/>
          <w:rFonts w:hint="default" w:ascii="Times New Roman" w:hAnsi="Times New Roman" w:eastAsia="仿宋" w:cs="Times New Roman"/>
          <w:b w:val="0"/>
          <w:bCs/>
          <w:color w:val="000000"/>
          <w:sz w:val="32"/>
          <w:szCs w:val="32"/>
        </w:rPr>
        <w:t>完成预算100%。</w:t>
      </w:r>
      <w:r>
        <w:rPr>
          <w:rFonts w:hint="default" w:ascii="Times New Roman" w:hAnsi="Times New Roman" w:eastAsia="仿宋_GB2312" w:cs="Times New Roman"/>
          <w:color w:val="000000"/>
          <w:sz w:val="32"/>
          <w:szCs w:val="32"/>
        </w:rPr>
        <w:t>公务接待费支出决算比2019年减少0.53万元，下降4.87%。</w:t>
      </w:r>
      <w:r>
        <w:rPr>
          <w:rFonts w:hint="default" w:ascii="Times New Roman" w:hAnsi="Times New Roman" w:eastAsia="仿宋" w:cs="Times New Roman"/>
          <w:sz w:val="32"/>
          <w:szCs w:val="32"/>
        </w:rPr>
        <w:t>与上年基本持平。</w:t>
      </w:r>
      <w:r>
        <w:rPr>
          <w:rFonts w:hint="default" w:ascii="Times New Roman" w:hAnsi="Times New Roman" w:eastAsia="仿宋_GB2312" w:cs="Times New Roman"/>
          <w:color w:val="000000"/>
          <w:sz w:val="32"/>
          <w:szCs w:val="32"/>
        </w:rPr>
        <w:t>其中：</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 w:cs="Times New Roman"/>
          <w:b/>
          <w:color w:val="000000"/>
          <w:sz w:val="32"/>
          <w:szCs w:val="32"/>
        </w:rPr>
        <w:t>国内公务接待支出</w:t>
      </w:r>
      <w:r>
        <w:rPr>
          <w:rFonts w:hint="default" w:ascii="Times New Roman" w:hAnsi="Times New Roman" w:eastAsia="仿宋" w:cs="Times New Roman"/>
          <w:color w:val="000000"/>
          <w:sz w:val="32"/>
          <w:szCs w:val="32"/>
        </w:rPr>
        <w:t>4.87</w:t>
      </w:r>
      <w:r>
        <w:rPr>
          <w:rFonts w:hint="default" w:ascii="Times New Roman" w:hAnsi="Times New Roman" w:eastAsia="仿宋_GB2312" w:cs="Times New Roman"/>
          <w:color w:val="000000"/>
          <w:sz w:val="32"/>
          <w:szCs w:val="32"/>
        </w:rPr>
        <w:t>万元，</w:t>
      </w:r>
      <w:r>
        <w:rPr>
          <w:rStyle w:val="14"/>
          <w:rFonts w:hint="default" w:ascii="Times New Roman" w:hAnsi="Times New Roman" w:eastAsia="仿宋" w:cs="Times New Roman"/>
          <w:b w:val="0"/>
          <w:bCs/>
          <w:color w:val="000000"/>
          <w:sz w:val="32"/>
          <w:szCs w:val="32"/>
        </w:rPr>
        <w:t>主要用于执行公务、开展业务活动开支的交通费、住宿费、用餐费等</w:t>
      </w:r>
      <w:r>
        <w:rPr>
          <w:rFonts w:hint="default" w:ascii="Times New Roman" w:hAnsi="Times New Roman" w:eastAsia="仿宋_GB2312" w:cs="Times New Roman"/>
          <w:color w:val="000000"/>
          <w:sz w:val="32"/>
          <w:szCs w:val="32"/>
        </w:rPr>
        <w:t>。国内公务接待143批次，890人次（不包括陪同人员），共计支出4.87万元。</w:t>
      </w:r>
    </w:p>
    <w:p>
      <w:pPr>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 w:cs="Times New Roman"/>
          <w:b/>
          <w:color w:val="000000"/>
          <w:sz w:val="32"/>
          <w:szCs w:val="32"/>
        </w:rPr>
        <w:t>无外事接待支出</w:t>
      </w:r>
      <w:r>
        <w:rPr>
          <w:rFonts w:hint="default" w:ascii="Times New Roman" w:hAnsi="Times New Roman" w:eastAsia="仿宋" w:cs="Times New Roman"/>
          <w:color w:val="000000"/>
          <w:sz w:val="32"/>
          <w:szCs w:val="32"/>
        </w:rPr>
        <w:t>。</w:t>
      </w:r>
    </w:p>
    <w:p>
      <w:pPr>
        <w:spacing w:line="600" w:lineRule="exact"/>
        <w:ind w:firstLine="640"/>
        <w:outlineLvl w:val="1"/>
        <w:rPr>
          <w:rFonts w:hint="default" w:ascii="Times New Roman" w:hAnsi="Times New Roman" w:eastAsia="黑体" w:cs="Times New Roman"/>
          <w:color w:val="000000"/>
          <w:sz w:val="32"/>
          <w:szCs w:val="32"/>
        </w:rPr>
      </w:pPr>
      <w:bookmarkStart w:id="80" w:name="_Toc15377218"/>
      <w:bookmarkStart w:id="81" w:name="_Toc15396610"/>
    </w:p>
    <w:p>
      <w:pPr>
        <w:spacing w:line="600" w:lineRule="exact"/>
        <w:ind w:firstLine="640"/>
        <w:outlineLvl w:val="1"/>
        <w:rPr>
          <w:rStyle w:val="18"/>
          <w:rFonts w:hint="default" w:ascii="Times New Roman" w:hAnsi="Times New Roman" w:eastAsia="黑体" w:cs="Times New Roman"/>
        </w:rPr>
      </w:pPr>
      <w:bookmarkStart w:id="82" w:name="_Toc85037135"/>
      <w:bookmarkStart w:id="83" w:name="_Toc85036713"/>
      <w:r>
        <w:rPr>
          <w:rFonts w:hint="default" w:ascii="Times New Roman" w:hAnsi="Times New Roman" w:eastAsia="黑体" w:cs="Times New Roman"/>
          <w:color w:val="000000"/>
          <w:sz w:val="32"/>
          <w:szCs w:val="32"/>
        </w:rPr>
        <w:t>八、</w:t>
      </w:r>
      <w:r>
        <w:rPr>
          <w:rStyle w:val="18"/>
          <w:rFonts w:hint="default" w:ascii="Times New Roman" w:hAnsi="Times New Roman" w:eastAsia="黑体" w:cs="Times New Roman"/>
          <w:b w:val="0"/>
        </w:rPr>
        <w:t>政府性基金预算支出决算情况说明</w:t>
      </w:r>
      <w:bookmarkEnd w:id="80"/>
      <w:bookmarkEnd w:id="81"/>
      <w:bookmarkEnd w:id="82"/>
      <w:bookmarkEnd w:id="83"/>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2020年政府性基金预算拨款支出1423.02万元。</w:t>
      </w:r>
    </w:p>
    <w:p>
      <w:pPr>
        <w:spacing w:line="600" w:lineRule="exact"/>
        <w:ind w:firstLine="640"/>
        <w:rPr>
          <w:rFonts w:hint="default" w:ascii="Times New Roman" w:hAnsi="Times New Roman" w:eastAsia="仿宋_GB2312" w:cs="Times New Roman"/>
          <w:color w:val="000000"/>
          <w:sz w:val="32"/>
          <w:szCs w:val="32"/>
        </w:rPr>
      </w:pPr>
    </w:p>
    <w:p>
      <w:pPr>
        <w:numPr>
          <w:ilvl w:val="0"/>
          <w:numId w:val="2"/>
        </w:numPr>
        <w:spacing w:line="600" w:lineRule="exact"/>
        <w:ind w:firstLine="640"/>
        <w:outlineLvl w:val="1"/>
        <w:rPr>
          <w:rStyle w:val="18"/>
          <w:rFonts w:hint="default" w:ascii="Times New Roman" w:hAnsi="Times New Roman" w:eastAsia="黑体" w:cs="Times New Roman"/>
          <w:b w:val="0"/>
        </w:rPr>
      </w:pPr>
      <w:bookmarkStart w:id="84" w:name="_Toc85036714"/>
      <w:bookmarkStart w:id="85" w:name="_Toc15396611"/>
      <w:bookmarkStart w:id="86" w:name="_Toc15377219"/>
      <w:bookmarkStart w:id="87" w:name="_Toc85037136"/>
      <w:r>
        <w:rPr>
          <w:rStyle w:val="18"/>
          <w:rFonts w:hint="default" w:ascii="Times New Roman" w:hAnsi="Times New Roman" w:eastAsia="黑体" w:cs="Times New Roman"/>
          <w:b w:val="0"/>
        </w:rPr>
        <w:t>国有资本经营预算支出决算情况说明</w:t>
      </w:r>
      <w:bookmarkEnd w:id="84"/>
      <w:bookmarkEnd w:id="85"/>
      <w:bookmarkEnd w:id="86"/>
      <w:bookmarkEnd w:id="87"/>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2020年国有资本经营预算拨款支出0万元。</w:t>
      </w:r>
    </w:p>
    <w:p>
      <w:pPr>
        <w:spacing w:line="580" w:lineRule="exact"/>
        <w:jc w:val="center"/>
        <w:rPr>
          <w:rFonts w:hint="default" w:ascii="Times New Roman" w:hAnsi="Times New Roman" w:eastAsia="方正小标宋简体" w:cs="Times New Roman"/>
          <w:sz w:val="44"/>
          <w:szCs w:val="44"/>
        </w:rPr>
      </w:pPr>
    </w:p>
    <w:p>
      <w:pPr>
        <w:spacing w:line="600" w:lineRule="exact"/>
        <w:ind w:firstLine="800" w:firstLineChars="250"/>
        <w:outlineLvl w:val="1"/>
        <w:rPr>
          <w:rStyle w:val="18"/>
          <w:rFonts w:hint="default" w:ascii="Times New Roman" w:hAnsi="Times New Roman" w:eastAsia="黑体" w:cs="Times New Roman"/>
        </w:rPr>
      </w:pPr>
      <w:bookmarkStart w:id="88" w:name="_Toc15377221"/>
      <w:bookmarkStart w:id="89" w:name="_Toc85037137"/>
      <w:bookmarkStart w:id="90" w:name="_Toc85036715"/>
      <w:bookmarkStart w:id="91" w:name="_Toc15396612"/>
      <w:r>
        <w:rPr>
          <w:rFonts w:hint="default" w:ascii="Times New Roman" w:hAnsi="Times New Roman" w:eastAsia="黑体" w:cs="Times New Roman"/>
          <w:color w:val="000000"/>
          <w:sz w:val="32"/>
          <w:szCs w:val="32"/>
        </w:rPr>
        <w:t>十</w:t>
      </w:r>
      <w:r>
        <w:rPr>
          <w:rStyle w:val="18"/>
          <w:rFonts w:hint="default" w:ascii="Times New Roman" w:hAnsi="Times New Roman" w:eastAsia="黑体" w:cs="Times New Roman"/>
        </w:rPr>
        <w:t>、</w:t>
      </w:r>
      <w:r>
        <w:rPr>
          <w:rStyle w:val="18"/>
          <w:rFonts w:hint="default" w:ascii="Times New Roman" w:hAnsi="Times New Roman" w:eastAsia="黑体" w:cs="Times New Roman"/>
          <w:b w:val="0"/>
        </w:rPr>
        <w:t>其他重要事项的情况说明</w:t>
      </w:r>
      <w:bookmarkEnd w:id="88"/>
      <w:bookmarkEnd w:id="89"/>
      <w:bookmarkEnd w:id="90"/>
      <w:bookmarkEnd w:id="91"/>
    </w:p>
    <w:p>
      <w:pPr>
        <w:spacing w:line="600" w:lineRule="exact"/>
        <w:ind w:firstLine="643" w:firstLineChars="200"/>
        <w:outlineLvl w:val="2"/>
        <w:rPr>
          <w:rFonts w:hint="default" w:ascii="Times New Roman" w:hAnsi="Times New Roman" w:eastAsia="仿宋" w:cs="Times New Roman"/>
          <w:color w:val="000000"/>
          <w:sz w:val="32"/>
          <w:szCs w:val="32"/>
        </w:rPr>
      </w:pPr>
      <w:bookmarkStart w:id="92" w:name="_Toc15377222"/>
      <w:r>
        <w:rPr>
          <w:rFonts w:hint="default" w:ascii="Times New Roman" w:hAnsi="Times New Roman" w:eastAsia="仿宋" w:cs="Times New Roman"/>
          <w:b/>
          <w:color w:val="000000"/>
          <w:sz w:val="32"/>
          <w:szCs w:val="32"/>
        </w:rPr>
        <w:t>（一）机关运行经费支出情况</w:t>
      </w:r>
      <w:bookmarkEnd w:id="92"/>
    </w:p>
    <w:p>
      <w:pPr>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2020年，无机关运行经费支出</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000000"/>
          <w:sz w:val="32"/>
          <w:szCs w:val="32"/>
        </w:rPr>
      </w:pPr>
      <w:bookmarkStart w:id="93" w:name="_Toc15377223"/>
      <w:r>
        <w:rPr>
          <w:rFonts w:hint="default" w:ascii="Times New Roman" w:hAnsi="Times New Roman" w:eastAsia="仿宋" w:cs="Times New Roman"/>
          <w:b/>
          <w:color w:val="000000"/>
          <w:sz w:val="32"/>
          <w:szCs w:val="32"/>
        </w:rPr>
        <w:t>（二）政府采购支出情况</w:t>
      </w:r>
      <w:bookmarkEnd w:id="93"/>
    </w:p>
    <w:p>
      <w:pPr>
        <w:spacing w:line="600" w:lineRule="exact"/>
        <w:ind w:firstLine="640"/>
        <w:rPr>
          <w:rStyle w:val="14"/>
          <w:rFonts w:hint="default" w:ascii="Times New Roman" w:hAnsi="Times New Roman" w:eastAsia="仿宋" w:cs="Times New Roman"/>
          <w:b w:val="0"/>
          <w:bCs/>
          <w:color w:val="000000"/>
          <w:sz w:val="32"/>
          <w:szCs w:val="32"/>
        </w:rPr>
      </w:pPr>
      <w:r>
        <w:rPr>
          <w:rFonts w:hint="default" w:ascii="Times New Roman" w:hAnsi="Times New Roman" w:eastAsia="仿宋_GB2312" w:cs="Times New Roman"/>
          <w:color w:val="000000"/>
          <w:sz w:val="32"/>
          <w:szCs w:val="32"/>
        </w:rPr>
        <w:t>2020年，攀枝花市广播电视台政府采购支出总额736.44万元，其中：政府采购货物支出243.01万元、政府采购工程支出473.47万元、政府采购服务支出19.96万元。</w:t>
      </w:r>
      <w:r>
        <w:rPr>
          <w:rStyle w:val="14"/>
          <w:rFonts w:hint="default" w:ascii="Times New Roman" w:hAnsi="Times New Roman" w:eastAsia="仿宋" w:cs="Times New Roman"/>
          <w:b w:val="0"/>
          <w:bCs/>
          <w:color w:val="000000"/>
          <w:sz w:val="32"/>
          <w:szCs w:val="32"/>
        </w:rPr>
        <w:t>主要用于大黑山发射台升级改造、公务车辆购置等。授予中小企业合同金额736.44万元，占政府采购支出总额的100%，其中：授予小微企业合同金额0万元，占政府采购支出总额的0%。</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000000"/>
          <w:sz w:val="32"/>
          <w:szCs w:val="32"/>
        </w:rPr>
      </w:pPr>
      <w:bookmarkStart w:id="94" w:name="_Toc15377224"/>
      <w:r>
        <w:rPr>
          <w:rFonts w:hint="default" w:ascii="Times New Roman" w:hAnsi="Times New Roman" w:eastAsia="仿宋" w:cs="Times New Roman"/>
          <w:b/>
          <w:color w:val="000000"/>
          <w:sz w:val="32"/>
          <w:szCs w:val="32"/>
        </w:rPr>
        <w:t>（三）国有资产占有使用情况</w:t>
      </w:r>
      <w:bookmarkEnd w:id="94"/>
    </w:p>
    <w:p>
      <w:pPr>
        <w:autoSpaceDE w:val="0"/>
        <w:autoSpaceDN w:val="0"/>
        <w:adjustRightInd w:val="0"/>
        <w:spacing w:line="600" w:lineRule="exact"/>
        <w:ind w:firstLine="640" w:firstLineChars="200"/>
        <w:jc w:val="left"/>
        <w:rPr>
          <w:rFonts w:hint="default" w:ascii="Times New Roman" w:hAnsi="Times New Roman" w:eastAsia="仿宋" w:cs="Times New Roman"/>
          <w:b/>
          <w:color w:val="FF0000"/>
          <w:sz w:val="32"/>
          <w:szCs w:val="32"/>
        </w:rPr>
      </w:pPr>
      <w:r>
        <w:rPr>
          <w:rFonts w:hint="default" w:ascii="Times New Roman" w:hAnsi="Times New Roman" w:eastAsia="仿宋_GB2312" w:cs="Times New Roman"/>
          <w:color w:val="000000"/>
          <w:sz w:val="32"/>
          <w:szCs w:val="32"/>
        </w:rPr>
        <w:t>截至2020年12月31日，市广播电视台共有车辆34辆，其中：主要领导干部用车0辆、机要通信用车0辆、应急保障用车0辆、其他用车34辆。其他用车主要是用于采访业务用车。单价50万元以上通用设备0台（套），单价100万元以上专用设备0台（套）。</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000000"/>
          <w:sz w:val="32"/>
          <w:szCs w:val="32"/>
        </w:rPr>
      </w:pPr>
      <w:r>
        <w:rPr>
          <w:rFonts w:hint="default" w:ascii="Times New Roman" w:hAnsi="Times New Roman" w:eastAsia="仿宋" w:cs="Times New Roman"/>
          <w:b/>
          <w:color w:val="000000"/>
          <w:sz w:val="32"/>
          <w:szCs w:val="32"/>
        </w:rPr>
        <w:t>（四）预算绩效管理情况。</w:t>
      </w:r>
    </w:p>
    <w:p>
      <w:pPr>
        <w:spacing w:line="58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预算绩效管理要求，本部门在年初预算编制阶段，组织对市级文化广播电视和旅游专项资金项目开展了预算事前绩效评估，对年初部门预算确定的4个项目编制了绩效目标，预算执行过程中，选取4个项目开展绩效监控，年终执行完毕后，对16个项目开展了绩效目标完成情况自评。</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本部门按要求对2020年部门整体支出开展绩效自评，从评价情况来看接受评价项目的申报、立项程序完整，预算执行及时，绩效目标得到较好地实现，绩效水平得到稳步提升。本部门还自行组织了16个项目支出绩效评价，从评价情况</w:t>
      </w:r>
      <w:r>
        <w:rPr>
          <w:rFonts w:hint="default" w:ascii="Times New Roman" w:hAnsi="Times New Roman" w:eastAsia="仿宋_GB2312" w:cs="Times New Roman"/>
          <w:sz w:val="32"/>
          <w:szCs w:val="32"/>
        </w:rPr>
        <w:t>来看，均圆满完成工作任务，较好地实现了绩效目标。</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1．项目绩效目标完成情况。</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本部门在2020年度部门决算中反映“市级文化广播电视和旅游发展专项资金第七届国际旅游交易博览会”、“广播电视节目无线覆盖专项”、“发射台升级改造工程”、“阳光问廉栏目经费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2020)”、“动力费”等5个项目绩效目标实际完成情况。</w:t>
      </w:r>
    </w:p>
    <w:p>
      <w:pPr>
        <w:tabs>
          <w:tab w:val="left" w:pos="312"/>
        </w:tabs>
        <w:spacing w:line="580" w:lineRule="exact"/>
        <w:ind w:firstLine="707"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市级文化广播电视和旅游发展专项资金”项目绩效目标完成情况综述。项目全年预算29.7万元，执行数29.7万元，完成预算的100%。资金使用范围主要为全市首届文旅大会费用、文旅对外宣传（含第七届四川国际旅游交易博览会经费）。发现的主要问题：预算的申报和调整有待进一步规范化。年初预算少，临时安排的工作任务均以“一事一议”程序上报，追加预算频繁，导致项目实际支出金额及资金预算调整较大。项目引导资金对全市重大重点文旅活动项目建设引导作用不够突显。下一步改进措施：进一步优化项目数量、合理分配项目资金，突出重大重点项目，继续加大项目资金的投入力度。</w:t>
      </w:r>
    </w:p>
    <w:p>
      <w:pPr>
        <w:autoSpaceDE w:val="0"/>
        <w:autoSpaceDN w:val="0"/>
        <w:adjustRightInd w:val="0"/>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广播电视节目无线覆盖专项经费”项目绩效目标完成情况综述。资金使用范围主要为农村广播“村村响”、电视“户户通”运行维护资金。项目全年预算96.05万元，执行数为96.05万元，完成预算的100%。通过项目实施，促进发挥文化、新闻出版广电影业等发展；推进公共文化服务方式和手段创新；促进中央广播电视节目无线覆盖相关发射台运行维护相关工作；推进公共文化体系建设，文旅服务功能不断完善和延伸。发现的主要问题：绩效指标目标值及指标体系的设定有待进一步科学及合理化。下一步改进措施：明确申报、审核、拨付流程，进一步完善目标绩效申报及监控工作，加强对项目单位的监督检查，全面落实各项管理制度，进一步提高项目管理水平。</w:t>
      </w:r>
    </w:p>
    <w:p>
      <w:pPr>
        <w:autoSpaceDE w:val="0"/>
        <w:autoSpaceDN w:val="0"/>
        <w:adjustRightInd w:val="0"/>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发射台升级改造专项工程”项目绩效目标完成情况综述。资金使用范围主要为发射台设备升级改造。项目全年预算数563.92万元，执行数为563.52万元，完成预算的100%。通过项目实施，发射传输设施设备购置已完成、已验收投入试运行，此项目完成后极大提升发射台安全播出保障能力，保证广大市民更好收看收听广播电视节目；新建监控监测系统已完成、待验收已投入试运行，此项目完成后极大提升发射台安全播出保障能力，实时监控监测设备运行状态，能够及时发现播出故障和消除播出故障，提高安播保障能力；消防和给排水改造已完成、待验收已投入试运行，此项目完成后能够保障职工的优质生活用水，保障消防和森林防火用水；生活区环境维修改造已完成工程量80%，此项目完成后能够为职工提供舒适的生活环境，为建设坚强阵地、智慧台站夯实基础；信息相关工程改造一期已完成、已验收投入运行，二期已完成工程量15%，此项目完成后为信息相关工作打牢基础，提高了台站影响力。发现的主要问题：绩效指标目标值及指标体系的设定有待进一步科学及合理化。下一步改进措施：明确申报、审核、拨付流程，进一步完善目标绩效申报及监控工作，加强对项目单位的监督检查，全面落实各项管理制度，进一步提高项目管理水平。</w:t>
      </w:r>
    </w:p>
    <w:p>
      <w:pPr>
        <w:tabs>
          <w:tab w:val="left" w:pos="312"/>
        </w:tabs>
        <w:spacing w:line="580" w:lineRule="exact"/>
        <w:ind w:firstLine="707"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（4）“阳光问廉栏目经费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2020)”项目绩效目标完成情况综述。项目全年预算数25万元，2020年执行数为25万元，完成预算的100%。主要用于根据市纪委统一部署确定每年制作4-8期节目。节目围绕市政府中心工作和群众关心的热点、难点问题设置主题，对扶贫攻坚、依法治市、解决群众身边的四风和腐败问题等领域存在的问题进行曝光，对相关职能部门在宗旨意识、服务意识等方面存在的问题进行曝光。发现的主要问题：资金预算不足，有缺口。下一步改进措施：建议市财政根据现行情况安排预算，确保经费无缺口。</w:t>
      </w:r>
    </w:p>
    <w:p>
      <w:pPr>
        <w:tabs>
          <w:tab w:val="left" w:pos="312"/>
        </w:tabs>
        <w:spacing w:line="580" w:lineRule="exact"/>
        <w:ind w:firstLine="707"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动力费”项目绩效目标完成情况综述。项目全年预算数60万元，执行数为60万元，完成预算的100%。通过项目实施，为全市广播电视节目传输提供供电保证。发现的主要问题：资金预算不足，有缺口。下一步改进措施：建议市财政根据现行情况安排预算，确保经费无缺口。</w:t>
      </w:r>
    </w:p>
    <w:p>
      <w:pPr>
        <w:tabs>
          <w:tab w:val="left" w:pos="312"/>
        </w:tabs>
        <w:spacing w:line="580" w:lineRule="exact"/>
        <w:ind w:firstLine="707"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tbl>
      <w:tblPr>
        <w:tblStyle w:val="16"/>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36"/>
                <w:szCs w:val="36"/>
              </w:rPr>
            </w:pPr>
            <w:r>
              <w:rPr>
                <w:rFonts w:hint="default" w:ascii="Times New Roman" w:hAnsi="Times New Roman" w:cs="Times New Roman"/>
                <w:b/>
                <w:bCs/>
                <w:color w:val="000000"/>
                <w:kern w:val="0"/>
                <w:sz w:val="36"/>
                <w:szCs w:val="36"/>
              </w:rPr>
              <w:t>项目绩效目标完成情况表</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(2020年度</w:t>
            </w:r>
            <w:r>
              <w:rPr>
                <w:rFonts w:hint="eastAsia" w:cs="Times New Roman"/>
                <w:color w:val="000000"/>
                <w:kern w:val="0"/>
                <w:sz w:val="36"/>
                <w:szCs w:val="36"/>
                <w:lang w:eastAsia="zh-CN"/>
              </w:rPr>
              <w:t>）</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2070199</w:t>
            </w:r>
            <w:r>
              <w:rPr>
                <w:rFonts w:hint="eastAsia" w:cs="Times New Roman"/>
                <w:color w:val="000000"/>
                <w:sz w:val="24"/>
                <w:lang w:eastAsia="zh-CN"/>
              </w:rPr>
              <w:t>－</w:t>
            </w:r>
            <w:r>
              <w:rPr>
                <w:rFonts w:hint="default" w:ascii="Times New Roman" w:hAnsi="Times New Roman" w:cs="Times New Roman"/>
                <w:color w:val="000000"/>
                <w:sz w:val="24"/>
              </w:rPr>
              <w:t>其他文化和旅游支出</w:t>
            </w:r>
            <w:r>
              <w:rPr>
                <w:rFonts w:hint="eastAsia" w:cs="Times New Roman"/>
                <w:color w:val="000000"/>
                <w:sz w:val="24"/>
                <w:lang w:eastAsia="zh-CN"/>
              </w:rPr>
              <w:t>—</w:t>
            </w:r>
            <w:r>
              <w:rPr>
                <w:rFonts w:hint="default" w:ascii="Times New Roman" w:hAnsi="Times New Roman" w:cs="Times New Roman"/>
                <w:color w:val="000000"/>
                <w:sz w:val="24"/>
              </w:rPr>
              <w:t>第七届国际旅游交易博览会</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攀枝花市广播电视台</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预算执行情况</w:t>
            </w:r>
            <w:r>
              <w:rPr>
                <w:rFonts w:hint="eastAsia" w:cs="Times New Roman"/>
                <w:color w:val="000000"/>
                <w:kern w:val="0"/>
                <w:sz w:val="24"/>
                <w:lang w:eastAsia="zh-CN"/>
              </w:rPr>
              <w:t>（</w:t>
            </w:r>
            <w:r>
              <w:rPr>
                <w:rFonts w:hint="default" w:ascii="Times New Roman" w:hAnsi="Times New Roman" w:cs="Times New Roman"/>
                <w:color w:val="000000"/>
                <w:kern w:val="0"/>
                <w:sz w:val="24"/>
              </w:rPr>
              <w:t>万元</w:t>
            </w:r>
            <w:r>
              <w:rPr>
                <w:rFonts w:hint="eastAsia" w:cs="Times New Roman"/>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预算数</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29.7万元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执行数</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29.7万元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29.7万元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29.7万元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 xml:space="preserve">  2020年9月25至28日，第七届四川国际旅游交易博览会在乐山峨眉山市举办。作为全省旅游宣传专业化、国际化、市场化的重要平台，攀枝花精心策划准备，积极组团参会参展，充分展示了攀枝花丰富多彩的文旅资源和产品，使“英雄攀枝花 阳光康养地”的品牌形象得以进一步“擦亮”。</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设计搭建了：舞台演示区、阳光康养展区、洽谈区、阳光康养展品展区、三线建设展区、五个区县展区、五大文旅线路展区共七个展区。宣传攀枝花形象。</w:t>
            </w:r>
          </w:p>
        </w:tc>
      </w:tr>
      <w:tr>
        <w:tblPrEx>
          <w:tblLayout w:type="fixed"/>
          <w:tblCellMar>
            <w:top w:w="0" w:type="dxa"/>
            <w:left w:w="0" w:type="dxa"/>
            <w:bottom w:w="0" w:type="dxa"/>
            <w:right w:w="0" w:type="dxa"/>
          </w:tblCellMar>
        </w:tblPrEx>
        <w:trPr>
          <w:trHeight w:val="755"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预期指标值</w:t>
            </w:r>
            <w:r>
              <w:rPr>
                <w:rFonts w:hint="eastAsia" w:cs="Times New Roman"/>
                <w:color w:val="000000"/>
                <w:kern w:val="0"/>
                <w:sz w:val="24"/>
                <w:lang w:eastAsia="zh-CN"/>
              </w:rPr>
              <w:t>（</w:t>
            </w:r>
            <w:r>
              <w:rPr>
                <w:rFonts w:hint="default" w:ascii="Times New Roman" w:hAnsi="Times New Roman" w:cs="Times New Roman"/>
                <w:color w:val="000000"/>
                <w:kern w:val="0"/>
                <w:sz w:val="24"/>
              </w:rPr>
              <w:t>包含数字及文字描述</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实际完成指标值</w:t>
            </w:r>
            <w:r>
              <w:rPr>
                <w:rFonts w:hint="eastAsia" w:cs="Times New Roman"/>
                <w:color w:val="000000"/>
                <w:kern w:val="0"/>
                <w:sz w:val="24"/>
                <w:lang w:eastAsia="zh-CN"/>
              </w:rPr>
              <w:t>（</w:t>
            </w:r>
            <w:r>
              <w:rPr>
                <w:rFonts w:hint="default" w:ascii="Times New Roman" w:hAnsi="Times New Roman" w:cs="Times New Roman"/>
                <w:color w:val="000000"/>
                <w:kern w:val="0"/>
                <w:sz w:val="24"/>
              </w:rPr>
              <w:t>包含数字及文字描述</w:t>
            </w:r>
            <w:r>
              <w:rPr>
                <w:rFonts w:hint="eastAsia" w:cs="Times New Roman"/>
                <w:color w:val="000000"/>
                <w:kern w:val="0"/>
                <w:sz w:val="24"/>
                <w:lang w:eastAsia="zh-CN"/>
              </w:rPr>
              <w:t>）</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完成参与第七届国际交易博览会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根据政府要求完成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根据政府要求完成</w:t>
            </w:r>
          </w:p>
        </w:tc>
      </w:tr>
      <w:tr>
        <w:tblPrEx>
          <w:tblLayout w:type="fixed"/>
          <w:tblCellMar>
            <w:top w:w="0" w:type="dxa"/>
            <w:left w:w="0" w:type="dxa"/>
            <w:bottom w:w="0" w:type="dxa"/>
            <w:right w:w="0" w:type="dxa"/>
          </w:tblCellMar>
        </w:tblPrEx>
        <w:trPr>
          <w:trHeight w:val="84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保质完成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保质完成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保质完成</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完成参与在眉山召开的第七届国际旅游交易博览会，宣传攀枝花形象。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29.7万元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29.7万元</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w:t>
            </w:r>
          </w:p>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完成参与在眉山召开的第七届国际旅游交易博览会，宣传攀枝花形象。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完成参与在眉山召开的第七届国际旅游交易博览会，宣传攀枝花形象。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完成参与在眉山召开的第七届国际旅游交易博览会，宣传攀枝花形象。</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主管部门满意度、受众满意度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≥90%</w:t>
            </w:r>
          </w:p>
        </w:tc>
      </w:tr>
    </w:tbl>
    <w:p>
      <w:pPr>
        <w:widowControl/>
        <w:jc w:val="center"/>
        <w:textAlignment w:val="center"/>
        <w:rPr>
          <w:rFonts w:hint="default" w:ascii="Times New Roman" w:hAnsi="Times New Roman" w:cs="Times New Roman"/>
          <w:b/>
          <w:bCs/>
          <w:color w:val="000000"/>
          <w:kern w:val="0"/>
          <w:sz w:val="36"/>
          <w:szCs w:val="36"/>
        </w:rPr>
      </w:pPr>
      <w:r>
        <w:rPr>
          <w:rFonts w:hint="default" w:ascii="Times New Roman" w:hAnsi="Times New Roman" w:cs="Times New Roman"/>
          <w:b/>
          <w:bCs/>
          <w:color w:val="000000"/>
          <w:kern w:val="0"/>
          <w:sz w:val="36"/>
          <w:szCs w:val="36"/>
        </w:rPr>
        <w:br w:type="page"/>
      </w:r>
    </w:p>
    <w:tbl>
      <w:tblPr>
        <w:tblStyle w:val="16"/>
        <w:tblpPr w:leftFromText="180" w:rightFromText="180" w:vertAnchor="text" w:horzAnchor="page" w:tblpXSpec="center" w:tblpY="1"/>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36"/>
                <w:szCs w:val="36"/>
              </w:rPr>
            </w:pPr>
            <w:r>
              <w:rPr>
                <w:rFonts w:hint="default" w:ascii="Times New Roman" w:hAnsi="Times New Roman" w:cs="Times New Roman"/>
                <w:b/>
                <w:bCs/>
                <w:color w:val="000000"/>
                <w:kern w:val="0"/>
                <w:sz w:val="36"/>
                <w:szCs w:val="36"/>
              </w:rPr>
              <w:t>项目绩效目标完成情况表</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(2020年度</w:t>
            </w:r>
            <w:r>
              <w:rPr>
                <w:rFonts w:hint="eastAsia" w:cs="Times New Roman"/>
                <w:color w:val="000000"/>
                <w:kern w:val="0"/>
                <w:sz w:val="36"/>
                <w:szCs w:val="36"/>
                <w:lang w:eastAsia="zh-CN"/>
              </w:rPr>
              <w:t>）</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广播电视节目无线覆盖</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攀枝花市广播电视台</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预算执行情况</w:t>
            </w:r>
            <w:r>
              <w:rPr>
                <w:rFonts w:hint="eastAsia" w:cs="Times New Roman"/>
                <w:color w:val="000000"/>
                <w:kern w:val="0"/>
                <w:sz w:val="24"/>
                <w:lang w:eastAsia="zh-CN"/>
              </w:rPr>
              <w:t>（</w:t>
            </w:r>
            <w:r>
              <w:rPr>
                <w:rFonts w:hint="default" w:ascii="Times New Roman" w:hAnsi="Times New Roman" w:cs="Times New Roman"/>
                <w:color w:val="000000"/>
                <w:kern w:val="0"/>
                <w:sz w:val="24"/>
              </w:rPr>
              <w:t>万元</w:t>
            </w:r>
            <w:r>
              <w:rPr>
                <w:rFonts w:hint="eastAsia" w:cs="Times New Roman"/>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预算数</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96.05万元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执行数</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96.05万元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96.05万元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96.05万元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实际完成目标</w:t>
            </w:r>
          </w:p>
        </w:tc>
      </w:tr>
      <w:tr>
        <w:tblPrEx>
          <w:tblLayout w:type="fixed"/>
          <w:tblCellMar>
            <w:top w:w="0" w:type="dxa"/>
            <w:left w:w="0" w:type="dxa"/>
            <w:bottom w:w="0" w:type="dxa"/>
            <w:right w:w="0" w:type="dxa"/>
          </w:tblCellMar>
        </w:tblPrEx>
        <w:trPr>
          <w:trHeight w:val="170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促进发挥文化、新闻出版广电影业等发展；促进公共文化服务方式和手段创新；促进中央广播电视节目无线覆盖相关发射台运行维护相关工作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做到满功率播出，保障设备完好，群众免费收听收看广播电视节目满意率≥95%</w:t>
            </w:r>
          </w:p>
        </w:tc>
      </w:tr>
      <w:tr>
        <w:tblPrEx>
          <w:tblLayout w:type="fixed"/>
          <w:tblCellMar>
            <w:top w:w="0" w:type="dxa"/>
            <w:left w:w="0" w:type="dxa"/>
            <w:bottom w:w="0" w:type="dxa"/>
            <w:right w:w="0" w:type="dxa"/>
          </w:tblCellMar>
        </w:tblPrEx>
        <w:trPr>
          <w:trHeight w:val="911"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预期指标值</w:t>
            </w:r>
            <w:r>
              <w:rPr>
                <w:rFonts w:hint="eastAsia" w:cs="Times New Roman"/>
                <w:color w:val="000000"/>
                <w:kern w:val="0"/>
                <w:sz w:val="24"/>
                <w:lang w:eastAsia="zh-CN"/>
              </w:rPr>
              <w:t>（</w:t>
            </w:r>
            <w:r>
              <w:rPr>
                <w:rFonts w:hint="default" w:ascii="Times New Roman" w:hAnsi="Times New Roman" w:cs="Times New Roman"/>
                <w:color w:val="000000"/>
                <w:kern w:val="0"/>
                <w:sz w:val="24"/>
              </w:rPr>
              <w:t>包含数字及文字描述</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实际完成指标值</w:t>
            </w:r>
            <w:r>
              <w:rPr>
                <w:rFonts w:hint="eastAsia" w:cs="Times New Roman"/>
                <w:color w:val="000000"/>
                <w:kern w:val="0"/>
                <w:sz w:val="24"/>
                <w:lang w:eastAsia="zh-CN"/>
              </w:rPr>
              <w:t>（</w:t>
            </w:r>
            <w:r>
              <w:rPr>
                <w:rFonts w:hint="default" w:ascii="Times New Roman" w:hAnsi="Times New Roman" w:cs="Times New Roman"/>
                <w:color w:val="000000"/>
                <w:kern w:val="0"/>
                <w:sz w:val="24"/>
              </w:rPr>
              <w:t>包含数字及文字描述</w:t>
            </w:r>
            <w:r>
              <w:rPr>
                <w:rFonts w:hint="eastAsia" w:cs="Times New Roman"/>
                <w:color w:val="000000"/>
                <w:kern w:val="0"/>
                <w:sz w:val="24"/>
                <w:lang w:eastAsia="zh-CN"/>
              </w:rPr>
              <w:t>）</w:t>
            </w:r>
          </w:p>
        </w:tc>
      </w:tr>
      <w:tr>
        <w:tblPrEx>
          <w:tblLayout w:type="fixed"/>
          <w:tblCellMar>
            <w:top w:w="0" w:type="dxa"/>
            <w:left w:w="0" w:type="dxa"/>
            <w:bottom w:w="0" w:type="dxa"/>
            <w:right w:w="0" w:type="dxa"/>
          </w:tblCellMar>
        </w:tblPrEx>
        <w:trPr>
          <w:trHeight w:val="825"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调频节目六套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播出总时长40556.5小时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播出总时长40556.5小时</w:t>
            </w:r>
          </w:p>
        </w:tc>
      </w:tr>
      <w:tr>
        <w:tblPrEx>
          <w:tblLayout w:type="fixed"/>
          <w:tblCellMar>
            <w:top w:w="0" w:type="dxa"/>
            <w:left w:w="0" w:type="dxa"/>
            <w:bottom w:w="0" w:type="dxa"/>
            <w:right w:w="0" w:type="dxa"/>
          </w:tblCellMar>
        </w:tblPrEx>
        <w:trPr>
          <w:trHeight w:val="96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模拟电视节目三套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播出总时长18615小时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播出总时长18615小时</w:t>
            </w:r>
          </w:p>
        </w:tc>
      </w:tr>
      <w:tr>
        <w:tblPrEx>
          <w:tblLayout w:type="fixed"/>
          <w:tblCellMar>
            <w:top w:w="0" w:type="dxa"/>
            <w:left w:w="0" w:type="dxa"/>
            <w:bottom w:w="0" w:type="dxa"/>
            <w:right w:w="0" w:type="dxa"/>
          </w:tblCellMar>
        </w:tblPrEx>
        <w:trPr>
          <w:trHeight w:val="82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数字微波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全年传输时长35040小时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全年传输时长35040小时</w:t>
            </w:r>
          </w:p>
        </w:tc>
      </w:tr>
      <w:tr>
        <w:tblPrEx>
          <w:tblLayout w:type="fixed"/>
          <w:tblCellMar>
            <w:top w:w="0" w:type="dxa"/>
            <w:left w:w="0" w:type="dxa"/>
            <w:bottom w:w="0" w:type="dxa"/>
            <w:right w:w="0" w:type="dxa"/>
          </w:tblCellMar>
        </w:tblPrEx>
        <w:trPr>
          <w:trHeight w:val="835"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数字电视两套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播出总时长17520小时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播出总时长17520小时</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广播电视节目无线覆盖率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保障设备完好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设备完好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设备完好</w:t>
            </w:r>
          </w:p>
        </w:tc>
      </w:tr>
      <w:tr>
        <w:tblPrEx>
          <w:tblLayout w:type="fixed"/>
          <w:tblCellMar>
            <w:top w:w="0" w:type="dxa"/>
            <w:left w:w="0" w:type="dxa"/>
            <w:bottom w:w="0" w:type="dxa"/>
            <w:right w:w="0" w:type="dxa"/>
          </w:tblCellMar>
        </w:tblPrEx>
        <w:trPr>
          <w:trHeight w:val="826" w:hRule="atLeast"/>
          <w:jc w:val="center"/>
        </w:trPr>
        <w:tc>
          <w:tcPr>
            <w:tcW w:w="390"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做到满功率播出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满功率播出广播电视节目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满功率播出广播电视节目</w:t>
            </w:r>
          </w:p>
        </w:tc>
      </w:tr>
      <w:tr>
        <w:tblPrEx>
          <w:tblLayout w:type="fixed"/>
          <w:tblCellMar>
            <w:top w:w="0" w:type="dxa"/>
            <w:left w:w="0" w:type="dxa"/>
            <w:bottom w:w="0" w:type="dxa"/>
            <w:right w:w="0" w:type="dxa"/>
          </w:tblCellMar>
        </w:tblPrEx>
        <w:trPr>
          <w:trHeight w:val="82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广播电视节目无线覆盖</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按时完成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按时完成</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发射台模拟信号、数字信号运行；发射台运行费、公共文化服务重点文化工程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96.05万元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96.05万元</w:t>
            </w:r>
          </w:p>
        </w:tc>
      </w:tr>
      <w:tr>
        <w:tblPrEx>
          <w:tblLayout w:type="fixed"/>
          <w:tblCellMar>
            <w:top w:w="0" w:type="dxa"/>
            <w:left w:w="0" w:type="dxa"/>
            <w:bottom w:w="0" w:type="dxa"/>
            <w:right w:w="0" w:type="dxa"/>
          </w:tblCellMar>
        </w:tblPrEx>
        <w:trPr>
          <w:trHeight w:val="839"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w:t>
            </w:r>
          </w:p>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广播电视无线覆盖率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≥95%</w:t>
            </w:r>
          </w:p>
        </w:tc>
      </w:tr>
      <w:tr>
        <w:tblPrEx>
          <w:tblLayout w:type="fixed"/>
          <w:tblCellMar>
            <w:top w:w="0" w:type="dxa"/>
            <w:left w:w="0" w:type="dxa"/>
            <w:bottom w:w="0" w:type="dxa"/>
            <w:right w:w="0" w:type="dxa"/>
          </w:tblCellMar>
        </w:tblPrEx>
        <w:trPr>
          <w:trHeight w:val="951"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基本文化服务水平稳步提升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长期</w:t>
            </w:r>
          </w:p>
        </w:tc>
      </w:tr>
      <w:tr>
        <w:tblPrEx>
          <w:tblLayout w:type="fixed"/>
          <w:tblCellMar>
            <w:top w:w="0" w:type="dxa"/>
            <w:left w:w="0" w:type="dxa"/>
            <w:bottom w:w="0" w:type="dxa"/>
            <w:right w:w="0" w:type="dxa"/>
          </w:tblCellMar>
        </w:tblPrEx>
        <w:trPr>
          <w:trHeight w:val="836"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群众对国家基本公共文化服务满意度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≥95%</w:t>
            </w:r>
          </w:p>
        </w:tc>
      </w:tr>
    </w:tbl>
    <w:p>
      <w:pPr>
        <w:spacing w:line="580" w:lineRule="exact"/>
        <w:ind w:left="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tbl>
      <w:tblPr>
        <w:tblStyle w:val="16"/>
        <w:tblpPr w:leftFromText="180" w:rightFromText="180" w:vertAnchor="text" w:horzAnchor="page" w:tblpXSpec="center" w:tblpY="423"/>
        <w:tblOverlap w:val="never"/>
        <w:tblW w:w="9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4" w:hRule="atLeast"/>
          <w:jc w:val="center"/>
        </w:trPr>
        <w:tc>
          <w:tcPr>
            <w:tcW w:w="9960" w:type="dxa"/>
            <w:gridSpan w:val="6"/>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36"/>
                <w:szCs w:val="36"/>
              </w:rPr>
            </w:pPr>
            <w:r>
              <w:rPr>
                <w:rFonts w:hint="default" w:ascii="Times New Roman" w:hAnsi="Times New Roman" w:cs="Times New Roman"/>
                <w:b/>
                <w:bCs/>
                <w:color w:val="000000"/>
                <w:kern w:val="0"/>
                <w:sz w:val="36"/>
                <w:szCs w:val="36"/>
              </w:rPr>
              <w:t>项目绩效目标完成情况表</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(2020年度</w:t>
            </w:r>
            <w:r>
              <w:rPr>
                <w:rFonts w:hint="eastAsia" w:cs="Times New Roman"/>
                <w:color w:val="000000"/>
                <w:kern w:val="0"/>
                <w:sz w:val="36"/>
                <w:szCs w:val="3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 w:hRule="atLeast"/>
          <w:jc w:val="center"/>
        </w:trPr>
        <w:tc>
          <w:tcPr>
            <w:tcW w:w="2782" w:type="dxa"/>
            <w:gridSpan w:val="3"/>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项目名称</w:t>
            </w:r>
          </w:p>
        </w:tc>
        <w:tc>
          <w:tcPr>
            <w:tcW w:w="7178" w:type="dxa"/>
            <w:gridSpan w:val="3"/>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发射台升级改造工程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 w:hRule="atLeast"/>
          <w:jc w:val="center"/>
        </w:trPr>
        <w:tc>
          <w:tcPr>
            <w:tcW w:w="2782" w:type="dxa"/>
            <w:gridSpan w:val="3"/>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预算单位</w:t>
            </w:r>
          </w:p>
        </w:tc>
        <w:tc>
          <w:tcPr>
            <w:tcW w:w="7178" w:type="dxa"/>
            <w:gridSpan w:val="3"/>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攀枝花市广播电视台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 w:hRule="atLeast"/>
          <w:jc w:val="center"/>
        </w:trPr>
        <w:tc>
          <w:tcPr>
            <w:tcW w:w="390" w:type="dxa"/>
            <w:vMerge w:val="restart"/>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预算执行情况</w:t>
            </w:r>
            <w:r>
              <w:rPr>
                <w:rFonts w:hint="eastAsia" w:cs="Times New Roman"/>
                <w:color w:val="000000"/>
                <w:kern w:val="0"/>
                <w:sz w:val="24"/>
                <w:lang w:eastAsia="zh-CN"/>
              </w:rPr>
              <w:t>（</w:t>
            </w:r>
            <w:r>
              <w:rPr>
                <w:rFonts w:hint="default" w:ascii="Times New Roman" w:hAnsi="Times New Roman" w:cs="Times New Roman"/>
                <w:color w:val="000000"/>
                <w:kern w:val="0"/>
                <w:sz w:val="24"/>
              </w:rPr>
              <w:t>万元</w:t>
            </w:r>
            <w:r>
              <w:rPr>
                <w:rFonts w:hint="eastAsia" w:cs="Times New Roman"/>
                <w:color w:val="000000"/>
                <w:kern w:val="0"/>
                <w:sz w:val="24"/>
                <w:lang w:eastAsia="zh-CN"/>
              </w:rPr>
              <w:t>）</w:t>
            </w:r>
          </w:p>
        </w:tc>
        <w:tc>
          <w:tcPr>
            <w:tcW w:w="2392" w:type="dxa"/>
            <w:gridSpan w:val="2"/>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预算数</w:t>
            </w:r>
            <w:r>
              <w:rPr>
                <w:rFonts w:hint="eastAsia" w:cs="Times New Roman"/>
                <w:color w:val="000000"/>
                <w:kern w:val="0"/>
                <w:sz w:val="24"/>
                <w:lang w:eastAsia="zh-CN"/>
              </w:rPr>
              <w:t>：</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563.92万元</w:t>
            </w:r>
          </w:p>
        </w:tc>
        <w:tc>
          <w:tcPr>
            <w:tcW w:w="2394"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执行数</w:t>
            </w:r>
            <w:r>
              <w:rPr>
                <w:rFonts w:hint="eastAsia" w:cs="Times New Roman"/>
                <w:color w:val="000000"/>
                <w:kern w:val="0"/>
                <w:sz w:val="24"/>
                <w:lang w:eastAsia="zh-CN"/>
              </w:rPr>
              <w:t>：</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563.92万元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 w:hRule="atLeast"/>
          <w:jc w:val="center"/>
        </w:trPr>
        <w:tc>
          <w:tcPr>
            <w:tcW w:w="390" w:type="dxa"/>
            <w:vMerge w:val="continue"/>
            <w:tcBorders>
              <w:tl2br w:val="nil"/>
              <w:tr2bl w:val="nil"/>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2392" w:type="dxa"/>
            <w:gridSpan w:val="2"/>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r>
              <w:rPr>
                <w:rFonts w:hint="eastAsia" w:cs="Times New Roman"/>
                <w:color w:val="000000"/>
                <w:kern w:val="0"/>
                <w:sz w:val="24"/>
                <w:lang w:eastAsia="zh-CN"/>
              </w:rPr>
              <w:t>：</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563.92万元</w:t>
            </w:r>
          </w:p>
        </w:tc>
        <w:tc>
          <w:tcPr>
            <w:tcW w:w="2394"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r>
              <w:rPr>
                <w:rFonts w:hint="eastAsia" w:cs="Times New Roman"/>
                <w:color w:val="000000"/>
                <w:kern w:val="0"/>
                <w:sz w:val="24"/>
                <w:lang w:eastAsia="zh-CN"/>
              </w:rPr>
              <w:t>：</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563.92万元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1" w:hRule="atLeast"/>
          <w:jc w:val="center"/>
        </w:trPr>
        <w:tc>
          <w:tcPr>
            <w:tcW w:w="390" w:type="dxa"/>
            <w:vMerge w:val="continue"/>
            <w:tcBorders>
              <w:tl2br w:val="nil"/>
              <w:tr2bl w:val="nil"/>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2392" w:type="dxa"/>
            <w:gridSpan w:val="2"/>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r>
              <w:rPr>
                <w:rFonts w:hint="eastAsia" w:cs="Times New Roman"/>
                <w:color w:val="000000"/>
                <w:kern w:val="0"/>
                <w:sz w:val="24"/>
                <w:lang w:eastAsia="zh-CN"/>
              </w:rPr>
              <w:t>：</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c>
          <w:tcPr>
            <w:tcW w:w="2394"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r>
              <w:rPr>
                <w:rFonts w:hint="eastAsia" w:cs="Times New Roman"/>
                <w:color w:val="000000"/>
                <w:kern w:val="0"/>
                <w:sz w:val="24"/>
                <w:lang w:eastAsia="zh-CN"/>
              </w:rPr>
              <w:t>：</w:t>
            </w:r>
          </w:p>
        </w:tc>
        <w:tc>
          <w:tcPr>
            <w:tcW w:w="2392" w:type="dxa"/>
            <w:tcBorders>
              <w:tl2br w:val="nil"/>
              <w:tr2bl w:val="nil"/>
            </w:tcBorders>
            <w:tcMar>
              <w:top w:w="15" w:type="dxa"/>
              <w:left w:w="15" w:type="dxa"/>
              <w:right w:w="15" w:type="dxa"/>
            </w:tcMar>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 w:hRule="atLeast"/>
          <w:jc w:val="center"/>
        </w:trPr>
        <w:tc>
          <w:tcPr>
            <w:tcW w:w="390" w:type="dxa"/>
            <w:vMerge w:val="restart"/>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年度目标完成情况</w:t>
            </w:r>
          </w:p>
        </w:tc>
        <w:tc>
          <w:tcPr>
            <w:tcW w:w="4784" w:type="dxa"/>
            <w:gridSpan w:val="3"/>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预期目标</w:t>
            </w:r>
          </w:p>
        </w:tc>
        <w:tc>
          <w:tcPr>
            <w:tcW w:w="4786" w:type="dxa"/>
            <w:gridSpan w:val="2"/>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9" w:hRule="atLeast"/>
          <w:jc w:val="center"/>
        </w:trPr>
        <w:tc>
          <w:tcPr>
            <w:tcW w:w="390" w:type="dxa"/>
            <w:vMerge w:val="continue"/>
            <w:tcBorders>
              <w:tl2br w:val="nil"/>
              <w:tr2bl w:val="nil"/>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4784" w:type="dxa"/>
            <w:gridSpan w:val="3"/>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发射传输设施设备购置，新建监控监测系统，消防和给排水改造，生活区环境维修改造，信息相关工程改造</w:t>
            </w:r>
          </w:p>
        </w:tc>
        <w:tc>
          <w:tcPr>
            <w:tcW w:w="4786" w:type="dxa"/>
            <w:gridSpan w:val="2"/>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发射传输设施设备购置已完成、已验收投入试运行，此项目完成后极大提升发射台安全播出保障能力，保证广大市民更好收看收听广播电视节目；新建监控监测系统已完成、待验收已投入试运行，此项目完成后极大提升发射台安全播出保障能力，实时监控监测设备运行状态，能够及时发现播出故障和消除播出故障，提高安播保障能力；消防和给排水改造已完成、待验收已投入试运行，此项目完成后能够保障职工的优质生活用水，保障消防和森林防火用水；生活区环境维修改造已完成工程量80%，此项目完成后能够为职工提供舒适的生活环境，为建设坚强阵地、智慧台站夯实基础；信息相关工程改造一期已完成、已验收投入运行，二期已完成工程量15%，此项目完成后为信息相关工作打牢基础，提高了台站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5" w:hRule="atLeast"/>
          <w:jc w:val="center"/>
        </w:trPr>
        <w:tc>
          <w:tcPr>
            <w:tcW w:w="390" w:type="dxa"/>
            <w:vMerge w:val="restart"/>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一级指标</w:t>
            </w:r>
          </w:p>
        </w:tc>
        <w:tc>
          <w:tcPr>
            <w:tcW w:w="1025"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二级指标</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三级指标</w:t>
            </w:r>
          </w:p>
        </w:tc>
        <w:tc>
          <w:tcPr>
            <w:tcW w:w="2394"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预期指标值</w:t>
            </w:r>
            <w:r>
              <w:rPr>
                <w:rFonts w:hint="eastAsia" w:cs="Times New Roman"/>
                <w:color w:val="000000"/>
                <w:kern w:val="0"/>
                <w:sz w:val="24"/>
                <w:lang w:eastAsia="zh-CN"/>
              </w:rPr>
              <w:t>（</w:t>
            </w:r>
            <w:r>
              <w:rPr>
                <w:rFonts w:hint="default" w:ascii="Times New Roman" w:hAnsi="Times New Roman" w:cs="Times New Roman"/>
                <w:color w:val="000000"/>
                <w:kern w:val="0"/>
                <w:sz w:val="24"/>
              </w:rPr>
              <w:t>包含数字及文字描述</w:t>
            </w:r>
            <w:r>
              <w:rPr>
                <w:rFonts w:hint="eastAsia" w:cs="Times New Roman"/>
                <w:color w:val="000000"/>
                <w:kern w:val="0"/>
                <w:sz w:val="24"/>
                <w:lang w:eastAsia="zh-CN"/>
              </w:rPr>
              <w:t>）</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实际完成指标值</w:t>
            </w:r>
            <w:r>
              <w:rPr>
                <w:rFonts w:hint="eastAsia" w:cs="Times New Roman"/>
                <w:color w:val="000000"/>
                <w:kern w:val="0"/>
                <w:sz w:val="24"/>
                <w:lang w:eastAsia="zh-CN"/>
              </w:rPr>
              <w:t>（</w:t>
            </w:r>
            <w:r>
              <w:rPr>
                <w:rFonts w:hint="default" w:ascii="Times New Roman" w:hAnsi="Times New Roman" w:cs="Times New Roman"/>
                <w:color w:val="000000"/>
                <w:kern w:val="0"/>
                <w:sz w:val="24"/>
              </w:rPr>
              <w:t>包含数字及文字描述</w:t>
            </w:r>
            <w:r>
              <w:rPr>
                <w:rFonts w:hint="eastAsia" w:cs="Times New Roman"/>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3" w:hRule="atLeast"/>
          <w:jc w:val="center"/>
        </w:trPr>
        <w:tc>
          <w:tcPr>
            <w:tcW w:w="390" w:type="dxa"/>
            <w:vMerge w:val="continue"/>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改造工程</w:t>
            </w:r>
          </w:p>
        </w:tc>
        <w:tc>
          <w:tcPr>
            <w:tcW w:w="2394"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根据政府要求完成</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根据政府要求完成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6" w:hRule="atLeast"/>
          <w:jc w:val="center"/>
        </w:trPr>
        <w:tc>
          <w:tcPr>
            <w:tcW w:w="390" w:type="dxa"/>
            <w:vMerge w:val="continue"/>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保质完成</w:t>
            </w:r>
          </w:p>
        </w:tc>
        <w:tc>
          <w:tcPr>
            <w:tcW w:w="2394"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保质完成</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保质完成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jc w:val="center"/>
        </w:trPr>
        <w:tc>
          <w:tcPr>
            <w:tcW w:w="390" w:type="dxa"/>
            <w:vMerge w:val="continue"/>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按时完成</w:t>
            </w:r>
          </w:p>
        </w:tc>
        <w:tc>
          <w:tcPr>
            <w:tcW w:w="2394"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按时完成</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7" w:hRule="atLeast"/>
          <w:jc w:val="center"/>
        </w:trPr>
        <w:tc>
          <w:tcPr>
            <w:tcW w:w="390" w:type="dxa"/>
            <w:vMerge w:val="continue"/>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项目完成指标</w:t>
            </w:r>
          </w:p>
        </w:tc>
        <w:tc>
          <w:tcPr>
            <w:tcW w:w="1025"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成本指标</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发射传输设施设备购置，新建监控监测系统，消防和给排水改造，生活区环境维修改造，信息相关工程改造</w:t>
            </w:r>
          </w:p>
        </w:tc>
        <w:tc>
          <w:tcPr>
            <w:tcW w:w="2394"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563.92万元</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563.92万元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2" w:hRule="atLeast"/>
          <w:jc w:val="center"/>
        </w:trPr>
        <w:tc>
          <w:tcPr>
            <w:tcW w:w="390" w:type="dxa"/>
            <w:vMerge w:val="continue"/>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效益指标</w:t>
            </w:r>
          </w:p>
        </w:tc>
        <w:tc>
          <w:tcPr>
            <w:tcW w:w="1025"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w:t>
            </w:r>
          </w:p>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指标</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全市人民高质量观看电视节目、收听广播节目</w:t>
            </w:r>
          </w:p>
        </w:tc>
        <w:tc>
          <w:tcPr>
            <w:tcW w:w="2394"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全市人民高质量观看电视节目、收听广播节目</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全市人民高质量观看电视节目、收听广播节目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2" w:hRule="atLeast"/>
          <w:jc w:val="center"/>
        </w:trPr>
        <w:tc>
          <w:tcPr>
            <w:tcW w:w="390" w:type="dxa"/>
            <w:vMerge w:val="continue"/>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满意度指标</w:t>
            </w:r>
          </w:p>
        </w:tc>
        <w:tc>
          <w:tcPr>
            <w:tcW w:w="1025"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满意度指标</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主管部门满意度、受众满意度</w:t>
            </w:r>
          </w:p>
        </w:tc>
        <w:tc>
          <w:tcPr>
            <w:tcW w:w="2394"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≥90%</w:t>
            </w:r>
          </w:p>
        </w:tc>
        <w:tc>
          <w:tcPr>
            <w:tcW w:w="2392" w:type="dxa"/>
            <w:tcBorders>
              <w:tl2br w:val="nil"/>
              <w:tr2bl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≥90%</w:t>
            </w:r>
          </w:p>
        </w:tc>
      </w:tr>
    </w:tbl>
    <w:p>
      <w:pPr>
        <w:spacing w:line="580" w:lineRule="exact"/>
        <w:ind w:left="630"/>
        <w:rPr>
          <w:rFonts w:hint="default" w:ascii="Times New Roman" w:hAnsi="Times New Roman" w:eastAsia="仿宋_GB2312" w:cs="Times New Roman"/>
          <w:sz w:val="32"/>
          <w:szCs w:val="32"/>
        </w:rPr>
      </w:pPr>
    </w:p>
    <w:p>
      <w:pPr>
        <w:spacing w:line="580" w:lineRule="exact"/>
        <w:ind w:left="630"/>
        <w:rPr>
          <w:rFonts w:hint="default" w:ascii="Times New Roman" w:hAnsi="Times New Roman" w:eastAsia="仿宋_GB2312" w:cs="Times New Roman"/>
          <w:sz w:val="32"/>
          <w:szCs w:val="32"/>
        </w:rPr>
      </w:pPr>
    </w:p>
    <w:p>
      <w:pPr>
        <w:spacing w:line="580" w:lineRule="exact"/>
        <w:ind w:left="630"/>
        <w:rPr>
          <w:rFonts w:hint="default" w:ascii="Times New Roman" w:hAnsi="Times New Roman" w:eastAsia="仿宋_GB2312" w:cs="Times New Roman"/>
          <w:sz w:val="32"/>
          <w:szCs w:val="32"/>
        </w:rPr>
      </w:pPr>
    </w:p>
    <w:p>
      <w:pPr>
        <w:spacing w:line="580" w:lineRule="exact"/>
        <w:ind w:left="630"/>
        <w:rPr>
          <w:rFonts w:hint="default" w:ascii="Times New Roman" w:hAnsi="Times New Roman" w:eastAsia="仿宋_GB2312" w:cs="Times New Roman"/>
          <w:sz w:val="32"/>
          <w:szCs w:val="32"/>
        </w:rPr>
      </w:pPr>
    </w:p>
    <w:p>
      <w:pPr>
        <w:spacing w:line="580" w:lineRule="exact"/>
        <w:ind w:left="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tbl>
      <w:tblPr>
        <w:tblStyle w:val="16"/>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36"/>
                <w:szCs w:val="36"/>
              </w:rPr>
            </w:pPr>
            <w:r>
              <w:rPr>
                <w:rFonts w:hint="default" w:ascii="Times New Roman" w:hAnsi="Times New Roman" w:cs="Times New Roman"/>
                <w:b/>
                <w:bCs/>
                <w:color w:val="000000"/>
                <w:kern w:val="0"/>
                <w:sz w:val="36"/>
                <w:szCs w:val="36"/>
              </w:rPr>
              <w:t>项目绩效目标完成情况表</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(2020年度</w:t>
            </w:r>
            <w:r>
              <w:rPr>
                <w:rFonts w:hint="eastAsia" w:cs="Times New Roman"/>
                <w:color w:val="000000"/>
                <w:kern w:val="0"/>
                <w:sz w:val="36"/>
                <w:szCs w:val="36"/>
                <w:lang w:eastAsia="zh-CN"/>
              </w:rPr>
              <w:t>）</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阳光问廉栏目经费</w:t>
            </w:r>
            <w:r>
              <w:rPr>
                <w:rFonts w:hint="eastAsia" w:cs="Times New Roman"/>
                <w:color w:val="000000"/>
                <w:sz w:val="24"/>
                <w:lang w:eastAsia="zh-CN"/>
              </w:rPr>
              <w:t>（</w:t>
            </w:r>
            <w:r>
              <w:rPr>
                <w:rFonts w:hint="default" w:ascii="Times New Roman" w:hAnsi="Times New Roman" w:cs="Times New Roman"/>
                <w:color w:val="000000"/>
                <w:sz w:val="24"/>
              </w:rPr>
              <w:t>2020)</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攀枝花市广播电视台</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预算执行情况</w:t>
            </w:r>
            <w:r>
              <w:rPr>
                <w:rFonts w:hint="eastAsia" w:cs="Times New Roman"/>
                <w:color w:val="000000"/>
                <w:kern w:val="0"/>
                <w:sz w:val="24"/>
                <w:lang w:eastAsia="zh-CN"/>
              </w:rPr>
              <w:t>（</w:t>
            </w:r>
            <w:r>
              <w:rPr>
                <w:rFonts w:hint="default" w:ascii="Times New Roman" w:hAnsi="Times New Roman" w:cs="Times New Roman"/>
                <w:color w:val="000000"/>
                <w:kern w:val="0"/>
                <w:sz w:val="24"/>
              </w:rPr>
              <w:t>万元</w:t>
            </w:r>
            <w:r>
              <w:rPr>
                <w:rFonts w:hint="eastAsia" w:cs="Times New Roman"/>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预算数</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执行数</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25万元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25万元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根据市纪委统一部署确定每年制作4-8期。节目围绕市政府中心工作和群众关心的热点、难点问题设置主题，对扶贫攻坚、依法治市、解决群众身边的四风和腐败问题等领域存在的问题进行曝光，对相关职能部门在宗旨意识、服务意识等方面存在的问题进行曝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拍摄、制作4期节目。（根据市纪委统一部署确定）。</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预期指标值</w:t>
            </w:r>
            <w:r>
              <w:rPr>
                <w:rFonts w:hint="eastAsia" w:cs="Times New Roman"/>
                <w:color w:val="000000"/>
                <w:kern w:val="0"/>
                <w:sz w:val="24"/>
                <w:lang w:eastAsia="zh-CN"/>
              </w:rPr>
              <w:t>（</w:t>
            </w:r>
            <w:r>
              <w:rPr>
                <w:rFonts w:hint="default" w:ascii="Times New Roman" w:hAnsi="Times New Roman" w:cs="Times New Roman"/>
                <w:color w:val="000000"/>
                <w:kern w:val="0"/>
                <w:sz w:val="24"/>
              </w:rPr>
              <w:t>包含数字及文字描述</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实际完成指标值</w:t>
            </w:r>
            <w:r>
              <w:rPr>
                <w:rFonts w:hint="eastAsia" w:cs="Times New Roman"/>
                <w:color w:val="000000"/>
                <w:kern w:val="0"/>
                <w:sz w:val="24"/>
                <w:lang w:eastAsia="zh-CN"/>
              </w:rPr>
              <w:t>（</w:t>
            </w:r>
            <w:r>
              <w:rPr>
                <w:rFonts w:hint="default" w:ascii="Times New Roman" w:hAnsi="Times New Roman" w:cs="Times New Roman"/>
                <w:color w:val="000000"/>
                <w:kern w:val="0"/>
                <w:sz w:val="24"/>
              </w:rPr>
              <w:t>包含数字及文字描述</w:t>
            </w:r>
            <w:r>
              <w:rPr>
                <w:rFonts w:hint="eastAsia" w:cs="Times New Roman"/>
                <w:color w:val="000000"/>
                <w:kern w:val="0"/>
                <w:sz w:val="24"/>
                <w:lang w:eastAsia="zh-CN"/>
              </w:rPr>
              <w:t>）</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完成拍摄、制作。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4-8期节目（根据市纪委统一部署确定）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4期节目</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收集市民通过栏目热线和互动平台反映的各类问题、线索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按照实际情况收集整理。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全部完成</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向市纪委上报栏目收集到的各类问题、线索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按照实际情况收集整理。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全部完成</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通过暴露问题，促进政府部门改进工作作风，促进问题的解决，维护民生、民利。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每期节目涉及问题反馈率、整改率≥90%。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保质完成</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每期节目播出后，所涉及问题在下期节目里进行反馈。年底再进行总反馈。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每期节目涉及问题反馈率、整改率≥90%。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按时完成</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节目前期拍摄、后期制作设备损耗、电力、劳务费，制作费等费用。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25万元</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w:t>
            </w:r>
          </w:p>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维护民生、民利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察民情、听民声、办民事、解民忧</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察民情、听民声、办民事、解民忧</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举一反三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促进政务公开，营造阳光政府。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促进政务公开，营造阳光政府。</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问题涉及到的群众满意度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≥90%。</w:t>
            </w:r>
          </w:p>
        </w:tc>
      </w:tr>
    </w:tbl>
    <w:p>
      <w:pPr>
        <w:spacing w:line="580" w:lineRule="exact"/>
        <w:ind w:left="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tbl>
      <w:tblPr>
        <w:tblStyle w:val="16"/>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36"/>
                <w:szCs w:val="36"/>
              </w:rPr>
            </w:pPr>
            <w:r>
              <w:rPr>
                <w:rFonts w:hint="default" w:ascii="Times New Roman" w:hAnsi="Times New Roman" w:cs="Times New Roman"/>
                <w:b/>
                <w:bCs/>
                <w:color w:val="000000"/>
                <w:kern w:val="0"/>
                <w:sz w:val="36"/>
                <w:szCs w:val="36"/>
              </w:rPr>
              <w:t>项目绩效目标完成情况表</w:t>
            </w:r>
            <w:r>
              <w:rPr>
                <w:rFonts w:hint="default" w:ascii="Times New Roman" w:hAnsi="Times New Roman" w:cs="Times New Roman"/>
                <w:b/>
                <w:bCs/>
                <w:color w:val="000000"/>
                <w:kern w:val="0"/>
                <w:sz w:val="36"/>
                <w:szCs w:val="36"/>
              </w:rPr>
              <w:br w:type="textWrapping"/>
            </w:r>
            <w:r>
              <w:rPr>
                <w:rFonts w:hint="default" w:ascii="Times New Roman" w:hAnsi="Times New Roman" w:cs="Times New Roman"/>
                <w:color w:val="000000"/>
                <w:kern w:val="0"/>
                <w:sz w:val="36"/>
                <w:szCs w:val="36"/>
              </w:rPr>
              <w:t>(2020年度</w:t>
            </w:r>
            <w:r>
              <w:rPr>
                <w:rFonts w:hint="eastAsia" w:cs="Times New Roman"/>
                <w:color w:val="000000"/>
                <w:kern w:val="0"/>
                <w:sz w:val="36"/>
                <w:szCs w:val="36"/>
                <w:lang w:eastAsia="zh-CN"/>
              </w:rPr>
              <w:t>）</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动力费</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攀枝花市广播电视台</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预算执行情况</w:t>
            </w:r>
            <w:r>
              <w:rPr>
                <w:rFonts w:hint="eastAsia" w:cs="Times New Roman"/>
                <w:color w:val="000000"/>
                <w:kern w:val="0"/>
                <w:sz w:val="24"/>
                <w:lang w:eastAsia="zh-CN"/>
              </w:rPr>
              <w:t>（</w:t>
            </w:r>
            <w:r>
              <w:rPr>
                <w:rFonts w:hint="default" w:ascii="Times New Roman" w:hAnsi="Times New Roman" w:cs="Times New Roman"/>
                <w:color w:val="000000"/>
                <w:kern w:val="0"/>
                <w:sz w:val="24"/>
              </w:rPr>
              <w:t>万元</w:t>
            </w:r>
            <w:r>
              <w:rPr>
                <w:rFonts w:hint="eastAsia" w:cs="Times New Roman"/>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预算数</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60万元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执行数</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60万元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60万元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其中-财政拨款</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60万元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其它资金</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r>
              <w:rPr>
                <w:rFonts w:hint="default" w:ascii="Times New Roman" w:hAnsi="Times New Roman" w:cs="Times New Roman"/>
                <w:color w:val="000000"/>
                <w:sz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全年共播出调频节目六套，播出总时长40556.5小时。全年共播出模拟电视节目三套，播出总时长18615小时。全年共播出数字电视两套，播出总时长17520小时。数字微波全年传输时长35040小时。</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全年共播出调频节目六套，播出总时长40556.5小时。全年共播出模拟电视节目三套，播出总时长18615小时。全年共播出数字电视两套，播出总时长17520小时。数字微波全年传输时长35040小时。</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预期指标值</w:t>
            </w:r>
            <w:r>
              <w:rPr>
                <w:rFonts w:hint="eastAsia" w:cs="Times New Roman"/>
                <w:color w:val="000000"/>
                <w:kern w:val="0"/>
                <w:sz w:val="24"/>
                <w:lang w:eastAsia="zh-CN"/>
              </w:rPr>
              <w:t>（</w:t>
            </w:r>
            <w:r>
              <w:rPr>
                <w:rFonts w:hint="default" w:ascii="Times New Roman" w:hAnsi="Times New Roman" w:cs="Times New Roman"/>
                <w:color w:val="000000"/>
                <w:kern w:val="0"/>
                <w:sz w:val="24"/>
              </w:rPr>
              <w:t>包含数字及文字描述</w:t>
            </w:r>
            <w:r>
              <w:rPr>
                <w:rFonts w:hint="eastAsia" w:cs="Times New Roman"/>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实际完成指标值</w:t>
            </w:r>
            <w:r>
              <w:rPr>
                <w:rFonts w:hint="eastAsia" w:cs="Times New Roman"/>
                <w:color w:val="000000"/>
                <w:kern w:val="0"/>
                <w:sz w:val="24"/>
                <w:lang w:eastAsia="zh-CN"/>
              </w:rPr>
              <w:t>（</w:t>
            </w:r>
            <w:r>
              <w:rPr>
                <w:rFonts w:hint="default" w:ascii="Times New Roman" w:hAnsi="Times New Roman" w:cs="Times New Roman"/>
                <w:color w:val="000000"/>
                <w:kern w:val="0"/>
                <w:sz w:val="24"/>
              </w:rPr>
              <w:t>包含数字及文字描述</w:t>
            </w:r>
            <w:r>
              <w:rPr>
                <w:rFonts w:hint="eastAsia" w:cs="Times New Roman"/>
                <w:color w:val="000000"/>
                <w:kern w:val="0"/>
                <w:sz w:val="24"/>
                <w:lang w:eastAsia="zh-CN"/>
              </w:rPr>
              <w:t>）</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调频节目六套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40556.5小时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40556.5小时</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模拟电视节目三套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18615小时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18615小时</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数字电视两套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17520小时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17520小时</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数字微波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35040小时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35040小时</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安全播出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≥99.9%</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按时完成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按时完成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按时完成</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全年用电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60万元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60万元</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社会效益</w:t>
            </w:r>
          </w:p>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大黑山发射台广播电视节目覆盖攀枝花市全境，覆盖周边会理、德昌、永仁、华坪等部分区域。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广播电视节目覆盖率达到100%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广播电视节目覆盖率达到100%</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公众满意度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≥95%</w:t>
            </w:r>
          </w:p>
        </w:tc>
      </w:tr>
    </w:tbl>
    <w:p>
      <w:pPr>
        <w:spacing w:line="580" w:lineRule="exact"/>
        <w:rPr>
          <w:rFonts w:hint="default" w:ascii="Times New Roman" w:hAnsi="Times New Roman" w:eastAsia="仿宋_GB2312" w:cs="Times New Roman"/>
          <w:sz w:val="32"/>
          <w:szCs w:val="32"/>
        </w:rPr>
      </w:pPr>
    </w:p>
    <w:p>
      <w:pPr>
        <w:spacing w:line="580" w:lineRule="exact"/>
        <w:ind w:left="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2.部门绩效评价结果。</w:t>
      </w:r>
    </w:p>
    <w:p>
      <w:pPr>
        <w:spacing w:line="58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本部门按要求对2020年部门整体支出绩效评价情况开展自评，《攀枝花</w:t>
      </w:r>
      <w:r>
        <w:rPr>
          <w:rFonts w:hint="default" w:ascii="Times New Roman" w:hAnsi="Times New Roman" w:cs="Times New Roman"/>
          <w:sz w:val="32"/>
          <w:szCs w:val="32"/>
          <w:lang w:val="zh-CN"/>
        </w:rPr>
        <w:t>市广播电视台</w:t>
      </w:r>
      <w:r>
        <w:rPr>
          <w:rFonts w:hint="default" w:ascii="Times New Roman" w:hAnsi="Times New Roman" w:cs="Times New Roman"/>
          <w:sz w:val="32"/>
          <w:szCs w:val="32"/>
        </w:rPr>
        <w:t>2020年部门整体支出绩效评价报告》见附件（附件1）。</w:t>
      </w:r>
    </w:p>
    <w:p>
      <w:pPr>
        <w:spacing w:line="580" w:lineRule="exact"/>
        <w:ind w:left="630"/>
        <w:rPr>
          <w:rFonts w:hint="default" w:ascii="Times New Roman" w:hAnsi="Times New Roman" w:cs="Times New Roman"/>
          <w:sz w:val="32"/>
          <w:szCs w:val="32"/>
          <w:lang w:val="zh-CN"/>
        </w:rPr>
      </w:pPr>
      <w:r>
        <w:rPr>
          <w:rFonts w:hint="default" w:ascii="Times New Roman" w:hAnsi="Times New Roman" w:cs="Times New Roman"/>
          <w:sz w:val="32"/>
          <w:szCs w:val="32"/>
          <w:lang w:val="zh-CN"/>
        </w:rPr>
        <w:t>本单位自行组织对本单位专项开展绩效评价。《攀枝花市广播电视台2020年专项（项目）资金绩效自评报告》见附件（附件2）。</w:t>
      </w:r>
    </w:p>
    <w:p>
      <w:pPr>
        <w:spacing w:line="580" w:lineRule="exact"/>
        <w:ind w:left="630"/>
        <w:rPr>
          <w:rFonts w:hint="default" w:ascii="Times New Roman" w:hAnsi="Times New Roman" w:cs="Times New Roman"/>
          <w:sz w:val="32"/>
          <w:szCs w:val="32"/>
          <w:lang w:val="zh-CN"/>
        </w:rPr>
      </w:pPr>
    </w:p>
    <w:p>
      <w:pPr>
        <w:spacing w:line="580" w:lineRule="exact"/>
        <w:ind w:left="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580" w:lineRule="exact"/>
        <w:ind w:left="630"/>
        <w:rPr>
          <w:rFonts w:hint="default" w:ascii="Times New Roman" w:hAnsi="Times New Roman" w:eastAsia="仿宋_GB2312" w:cs="Times New Roman"/>
          <w:sz w:val="32"/>
          <w:szCs w:val="32"/>
        </w:rPr>
      </w:pPr>
    </w:p>
    <w:p>
      <w:pPr>
        <w:numPr>
          <w:ilvl w:val="0"/>
          <w:numId w:val="3"/>
        </w:numPr>
        <w:spacing w:line="600" w:lineRule="exact"/>
        <w:ind w:firstLine="660" w:firstLineChars="150"/>
        <w:jc w:val="center"/>
        <w:outlineLvl w:val="0"/>
        <w:rPr>
          <w:rStyle w:val="17"/>
          <w:rFonts w:hint="default" w:ascii="Times New Roman" w:hAnsi="Times New Roman" w:eastAsia="黑体" w:cs="Times New Roman"/>
          <w:b w:val="0"/>
        </w:rPr>
      </w:pPr>
      <w:bookmarkStart w:id="95" w:name="_Toc85037138"/>
      <w:bookmarkStart w:id="96" w:name="_Toc15377225"/>
      <w:bookmarkStart w:id="97" w:name="_Toc85036716"/>
      <w:bookmarkStart w:id="98" w:name="_Toc15396613"/>
      <w:r>
        <w:rPr>
          <w:rFonts w:hint="default" w:ascii="Times New Roman" w:hAnsi="Times New Roman" w:eastAsia="黑体" w:cs="Times New Roman"/>
          <w:color w:val="000000"/>
          <w:sz w:val="44"/>
          <w:szCs w:val="44"/>
        </w:rPr>
        <w:t>名</w:t>
      </w:r>
      <w:r>
        <w:rPr>
          <w:rStyle w:val="17"/>
          <w:rFonts w:hint="default" w:ascii="Times New Roman" w:hAnsi="Times New Roman" w:eastAsia="黑体" w:cs="Times New Roman"/>
          <w:b w:val="0"/>
        </w:rPr>
        <w:t>词解释</w:t>
      </w:r>
      <w:bookmarkEnd w:id="95"/>
      <w:bookmarkEnd w:id="96"/>
      <w:bookmarkEnd w:id="97"/>
      <w:bookmarkEnd w:id="98"/>
    </w:p>
    <w:p>
      <w:pPr>
        <w:spacing w:line="600" w:lineRule="exact"/>
        <w:jc w:val="left"/>
        <w:rPr>
          <w:rFonts w:hint="default" w:ascii="Times New Roman" w:hAnsi="Times New Roman" w:cs="Times New Roman"/>
          <w:b/>
          <w:color w:val="000000"/>
          <w:sz w:val="44"/>
          <w:szCs w:val="44"/>
        </w:rPr>
      </w:pPr>
    </w:p>
    <w:p>
      <w:pPr>
        <w:pStyle w:val="27"/>
        <w:spacing w:line="580" w:lineRule="exact"/>
        <w:ind w:firstLine="640" w:firstLineChars="200"/>
        <w:rPr>
          <w:rFonts w:hint="default" w:ascii="Times New Roman" w:hAnsi="Times New Roman" w:eastAsia="仿宋_GB2312" w:cs="Times New Roman"/>
          <w:sz w:val="32"/>
          <w:szCs w:val="32"/>
        </w:rPr>
      </w:pPr>
      <w:bookmarkStart w:id="99" w:name="_Toc15377226"/>
      <w:r>
        <w:rPr>
          <w:rFonts w:hint="default" w:ascii="Times New Roman" w:hAnsi="Times New Roman" w:eastAsia="仿宋_GB2312" w:cs="Times New Roman"/>
          <w:sz w:val="32"/>
          <w:szCs w:val="32"/>
        </w:rPr>
        <w:t>1</w:t>
      </w:r>
      <w:r>
        <w:rPr>
          <w:rFonts w:hint="default" w:ascii="Times New Roman" w:hAnsi="Times New Roman" w:eastAsia="仿宋_GB2312" w:cs="Times New Roman"/>
          <w:bCs/>
          <w:color w:val="auto"/>
          <w:kern w:val="2"/>
          <w:sz w:val="32"/>
          <w:szCs w:val="32"/>
        </w:rPr>
        <w:t>．</w:t>
      </w:r>
      <w:r>
        <w:rPr>
          <w:rFonts w:hint="default" w:ascii="Times New Roman" w:hAnsi="Times New Roman" w:eastAsia="仿宋_GB2312" w:cs="Times New Roman"/>
          <w:sz w:val="32"/>
          <w:szCs w:val="32"/>
        </w:rPr>
        <w:t>财政拨款收入：指单位从同级财政部门取得的财政预算资金。</w:t>
      </w:r>
    </w:p>
    <w:p>
      <w:pPr>
        <w:pStyle w:val="27"/>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bCs/>
          <w:color w:val="auto"/>
          <w:kern w:val="2"/>
          <w:sz w:val="32"/>
          <w:szCs w:val="32"/>
        </w:rPr>
        <w:t>．</w:t>
      </w:r>
      <w:r>
        <w:rPr>
          <w:rFonts w:hint="default" w:ascii="Times New Roman" w:hAnsi="Times New Roman" w:eastAsia="仿宋_GB2312" w:cs="Times New Roman"/>
          <w:sz w:val="32"/>
          <w:szCs w:val="32"/>
        </w:rPr>
        <w:t>事业收入：指事业单位开展专业业务活动及辅助活动取得的收入。如演出收入、文化场馆服务收入、技术服务收入等。</w:t>
      </w:r>
    </w:p>
    <w:p>
      <w:pPr>
        <w:pStyle w:val="27"/>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3．经营收入：指事业单位在专业业务活动及其辅助活动之外开展非独立核算经营活动取得的收入。</w:t>
      </w:r>
    </w:p>
    <w:p>
      <w:pPr>
        <w:pStyle w:val="27"/>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4．其他收入：指单位取得的除上述收入以外的各项收入。主要是利息收入、非本级拨款等。</w:t>
      </w:r>
    </w:p>
    <w:p>
      <w:pPr>
        <w:pStyle w:val="27"/>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5．使用非财政拨款结余：指事业单位使用以前年度积累的非财政拨款结余弥补当年收支差额的金额。</w:t>
      </w:r>
    </w:p>
    <w:p>
      <w:pPr>
        <w:pStyle w:val="27"/>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6．年初结转和结余：指以前年度尚未完成、结转到本年按有关规定继续使用的资金。</w:t>
      </w:r>
    </w:p>
    <w:p>
      <w:pPr>
        <w:pStyle w:val="27"/>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7．结余分配：指事业单位按照会计制度规定缴纳的所得税、提取的专用结余以及转入非财政拨款结余的金额等。</w:t>
      </w:r>
    </w:p>
    <w:p>
      <w:pPr>
        <w:pStyle w:val="27"/>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8．年末结转和结余：指单位按有关规定结转到下年或以后年度继续使用的资金。</w:t>
      </w:r>
    </w:p>
    <w:p>
      <w:pPr>
        <w:pStyle w:val="27"/>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9．一般公共服务（类）人力资源事务（款）其他人力资源事务支出（项）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指其他用于人力资源事务方面的支出；一般公共服务（类）组织事务（款）其他组织事务支出（项）</w:t>
      </w:r>
      <w:r>
        <w:rPr>
          <w:rFonts w:hint="eastAsia" w:ascii="Times New Roman" w:hAnsi="Times New Roman" w:eastAsia="仿宋_GB2312" w:cs="Times New Roman"/>
          <w:sz w:val="32"/>
          <w:szCs w:val="32"/>
          <w:lang w:eastAsia="zh-CN"/>
        </w:rPr>
        <w:t>：</w:t>
      </w:r>
      <w:r>
        <w:rPr>
          <w:rFonts w:hint="default" w:ascii="Times New Roman" w:hAnsi="Times New Roman" w:eastAsia="仿宋" w:cs="Times New Roman"/>
          <w:sz w:val="32"/>
          <w:szCs w:val="32"/>
        </w:rPr>
        <w:t>指</w:t>
      </w:r>
      <w:r>
        <w:rPr>
          <w:rFonts w:hint="default" w:ascii="Times New Roman" w:hAnsi="Times New Roman" w:eastAsia="仿宋_GB2312" w:cs="Times New Roman"/>
          <w:sz w:val="32"/>
          <w:szCs w:val="32"/>
        </w:rPr>
        <w:t>其他用于中国共产党组织部门的事务支出。</w:t>
      </w:r>
    </w:p>
    <w:p>
      <w:pPr>
        <w:pStyle w:val="27"/>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10．公共安全（类）其他公共安全支出（款）其他公共安全支出（项）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指其他用于公共安全方面的支出。</w:t>
      </w:r>
    </w:p>
    <w:p>
      <w:pPr>
        <w:pStyle w:val="27"/>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文化旅游体育与传媒支出（类）广播电视（款）广播（项），指：用于广播电台、广播发射台、广播转播台及有线广播站的支出；文化旅游体育与传媒（类）广播电视（款）电视（项），指：用于电视台、电视发射台、电视转播台的支出；文化旅游体育与传媒支出（类）广播电视（款）其他广播电视支出（项），指：上述项目以外用于广播电视方面的支出；文化旅游体育与传媒支出（类）其他文化旅游体育与传媒支出（款）宣传文化发展专项支出（项），指：按照国家有关政策支持宣传文化单位发展的专项支出；文化旅游体育与传媒支出（类）其他文化旅游体育与传媒支出（款）其他文化旅游体育与传媒支出（项），指：上述项目以外用于其他文化旅游体育与传媒方面的支出。</w:t>
      </w:r>
    </w:p>
    <w:p>
      <w:pPr>
        <w:spacing w:line="580" w:lineRule="exact"/>
        <w:ind w:firstLine="640" w:firstLineChars="200"/>
        <w:rPr>
          <w:rFonts w:hint="default" w:ascii="Times New Roman" w:hAnsi="Times New Roman" w:eastAsia="仿宋" w:cs="Times New Roman"/>
          <w:sz w:val="32"/>
          <w:szCs w:val="32"/>
        </w:rPr>
      </w:pPr>
      <w:r>
        <w:rPr>
          <w:rStyle w:val="14"/>
          <w:rFonts w:hint="default" w:ascii="Times New Roman" w:hAnsi="Times New Roman" w:eastAsia="仿宋" w:cs="Times New Roman"/>
          <w:b w:val="0"/>
          <w:bCs/>
          <w:color w:val="000000"/>
          <w:sz w:val="32"/>
          <w:szCs w:val="32"/>
        </w:rPr>
        <w:t>12</w:t>
      </w:r>
      <w:r>
        <w:rPr>
          <w:rFonts w:hint="default" w:ascii="Times New Roman" w:hAnsi="Times New Roman" w:cs="Times New Roman"/>
          <w:bCs/>
          <w:sz w:val="32"/>
          <w:szCs w:val="32"/>
        </w:rPr>
        <w:t>．</w:t>
      </w:r>
      <w:r>
        <w:rPr>
          <w:rFonts w:hint="default" w:ascii="Times New Roman" w:hAnsi="Times New Roman" w:eastAsia="仿宋" w:cs="Times New Roman"/>
          <w:sz w:val="32"/>
          <w:szCs w:val="32"/>
        </w:rPr>
        <w:t>社会保障和就业（类）抚恤（款）死亡抚恤（项）：指病故职工家属的一次性和定期抚恤金以及丧葬补助费；</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13</w:t>
      </w:r>
      <w:r>
        <w:rPr>
          <w:rFonts w:hint="default" w:ascii="Times New Roman" w:hAnsi="Times New Roman" w:cs="Times New Roman"/>
          <w:bCs/>
          <w:sz w:val="32"/>
          <w:szCs w:val="32"/>
        </w:rPr>
        <w:t>．</w:t>
      </w:r>
      <w:r>
        <w:rPr>
          <w:rFonts w:hint="default" w:ascii="Times New Roman" w:hAnsi="Times New Roman" w:eastAsia="仿宋" w:cs="Times New Roman"/>
          <w:sz w:val="32"/>
          <w:szCs w:val="32"/>
        </w:rPr>
        <w:t>城乡社区（类）城乡社区公共设施（款）其他城乡社区公共设施支出（项），指其他用于城乡社区公共设施方面的支出。</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14</w:t>
      </w:r>
      <w:r>
        <w:rPr>
          <w:rFonts w:hint="default" w:ascii="Times New Roman" w:hAnsi="Times New Roman" w:cs="Times New Roman"/>
          <w:bCs/>
          <w:sz w:val="32"/>
          <w:szCs w:val="32"/>
        </w:rPr>
        <w:t>．</w:t>
      </w:r>
      <w:r>
        <w:rPr>
          <w:rFonts w:hint="default" w:ascii="Times New Roman" w:hAnsi="Times New Roman" w:eastAsia="仿宋" w:cs="Times New Roman"/>
          <w:sz w:val="32"/>
          <w:szCs w:val="32"/>
        </w:rPr>
        <w:t>农林水（类）扶贫（款）其他扶贫支出（项），指其他用于扶贫方面的支出。</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15</w:t>
      </w:r>
      <w:r>
        <w:rPr>
          <w:rFonts w:hint="default" w:ascii="Times New Roman" w:hAnsi="Times New Roman" w:cs="Times New Roman"/>
          <w:bCs/>
          <w:sz w:val="32"/>
          <w:szCs w:val="32"/>
        </w:rPr>
        <w:t>．</w:t>
      </w:r>
      <w:r>
        <w:rPr>
          <w:rFonts w:hint="default" w:ascii="Times New Roman" w:hAnsi="Times New Roman" w:eastAsia="仿宋" w:cs="Times New Roman"/>
          <w:sz w:val="32"/>
          <w:szCs w:val="32"/>
        </w:rPr>
        <w:t>住房保障支出（类）住房改革支出（款）住房公积金（项），指：按照人力资源和社会保障部、财政部规定的基本工资和津贴补贴以及规定比例为职工缴纳的住房公积金。</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16</w:t>
      </w:r>
      <w:r>
        <w:rPr>
          <w:rFonts w:hint="default" w:ascii="Times New Roman" w:hAnsi="Times New Roman" w:cs="Times New Roman"/>
          <w:bCs/>
          <w:sz w:val="32"/>
          <w:szCs w:val="32"/>
        </w:rPr>
        <w:t>．</w:t>
      </w:r>
      <w:r>
        <w:rPr>
          <w:rFonts w:hint="default" w:ascii="Times New Roman" w:hAnsi="Times New Roman" w:eastAsia="仿宋" w:cs="Times New Roman"/>
          <w:sz w:val="32"/>
          <w:szCs w:val="32"/>
        </w:rPr>
        <w:t>基本支出：指为保障机构正常运转、完成日常工作任务而发生的人员支出和公用支出。</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eastAsia" w:eastAsia="仿宋" w:cs="Times New Roman"/>
          <w:sz w:val="32"/>
          <w:szCs w:val="32"/>
          <w:lang w:val="en-US" w:eastAsia="zh-CN"/>
        </w:rPr>
        <w:t>7</w:t>
      </w:r>
      <w:r>
        <w:rPr>
          <w:rFonts w:hint="default" w:ascii="Times New Roman" w:hAnsi="Times New Roman" w:cs="Times New Roman"/>
          <w:bCs/>
          <w:sz w:val="32"/>
          <w:szCs w:val="32"/>
        </w:rPr>
        <w:t>．</w:t>
      </w:r>
      <w:r>
        <w:rPr>
          <w:rFonts w:hint="default" w:ascii="Times New Roman" w:hAnsi="Times New Roman" w:eastAsia="仿宋" w:cs="Times New Roman"/>
          <w:sz w:val="32"/>
          <w:szCs w:val="32"/>
        </w:rPr>
        <w:t>项目支出：指在基本支出之外为完成特定行政任务和事业发展目标所发生的支出。</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eastAsia" w:eastAsia="仿宋" w:cs="Times New Roman"/>
          <w:sz w:val="32"/>
          <w:szCs w:val="32"/>
          <w:lang w:val="en-US" w:eastAsia="zh-CN"/>
        </w:rPr>
        <w:t>8</w:t>
      </w:r>
      <w:r>
        <w:rPr>
          <w:rFonts w:hint="default" w:ascii="Times New Roman" w:hAnsi="Times New Roman" w:cs="Times New Roman"/>
          <w:bCs/>
          <w:sz w:val="32"/>
          <w:szCs w:val="32"/>
        </w:rPr>
        <w:t>．</w:t>
      </w:r>
      <w:r>
        <w:rPr>
          <w:rFonts w:hint="default" w:ascii="Times New Roman" w:hAnsi="Times New Roman" w:eastAsia="仿宋" w:cs="Times New Roman"/>
          <w:sz w:val="32"/>
          <w:szCs w:val="32"/>
        </w:rPr>
        <w:t>经营支出：指事业单位在专业业务活动及其辅助活动之外开展非独立核算经营活动发生的支出。</w:t>
      </w:r>
    </w:p>
    <w:p>
      <w:pPr>
        <w:spacing w:line="580" w:lineRule="exact"/>
        <w:ind w:firstLine="640" w:firstLineChars="200"/>
        <w:rPr>
          <w:rFonts w:hint="default" w:ascii="Times New Roman" w:hAnsi="Times New Roman" w:eastAsia="仿宋" w:cs="Times New Roman"/>
          <w:sz w:val="32"/>
          <w:szCs w:val="32"/>
        </w:rPr>
      </w:pPr>
      <w:r>
        <w:rPr>
          <w:rFonts w:hint="eastAsia" w:cs="Times New Roman"/>
          <w:bCs/>
          <w:sz w:val="32"/>
          <w:szCs w:val="32"/>
          <w:lang w:val="en-US" w:eastAsia="zh-CN"/>
        </w:rPr>
        <w:t>19</w:t>
      </w:r>
      <w:r>
        <w:rPr>
          <w:rFonts w:hint="default" w:ascii="Times New Roman" w:hAnsi="Times New Roman" w:cs="Times New Roman"/>
          <w:bCs/>
          <w:sz w:val="32"/>
          <w:szCs w:val="32"/>
        </w:rPr>
        <w:t>．</w:t>
      </w:r>
      <w:r>
        <w:rPr>
          <w:rFonts w:hint="default" w:ascii="Times New Roman" w:hAnsi="Times New Roman" w:eastAsia="仿宋"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17"/>
          <w:rFonts w:hint="default" w:ascii="Times New Roman" w:hAnsi="Times New Roman" w:eastAsia="黑体" w:cs="Times New Roman"/>
          <w:b w:val="0"/>
        </w:rPr>
      </w:pPr>
      <w:r>
        <w:rPr>
          <w:rFonts w:hint="default" w:ascii="Times New Roman" w:hAnsi="Times New Roman" w:cs="Times New Roman"/>
          <w:b/>
          <w:color w:val="000000"/>
          <w:sz w:val="44"/>
          <w:szCs w:val="44"/>
        </w:rPr>
        <w:br w:type="page"/>
      </w:r>
      <w:bookmarkStart w:id="100" w:name="_Toc85036717"/>
      <w:bookmarkStart w:id="101" w:name="_Toc85037139"/>
      <w:bookmarkStart w:id="102" w:name="_Toc15396614"/>
      <w:r>
        <w:rPr>
          <w:rFonts w:hint="default" w:ascii="Times New Roman" w:hAnsi="Times New Roman" w:eastAsia="黑体" w:cs="Times New Roman"/>
          <w:color w:val="000000"/>
          <w:sz w:val="44"/>
          <w:szCs w:val="44"/>
        </w:rPr>
        <w:t>第</w:t>
      </w:r>
      <w:r>
        <w:rPr>
          <w:rStyle w:val="17"/>
          <w:rFonts w:hint="default" w:ascii="Times New Roman" w:hAnsi="Times New Roman" w:eastAsia="黑体" w:cs="Times New Roman"/>
          <w:b w:val="0"/>
        </w:rPr>
        <w:t>四部分附件</w:t>
      </w:r>
      <w:bookmarkEnd w:id="100"/>
      <w:bookmarkEnd w:id="101"/>
      <w:bookmarkEnd w:id="102"/>
    </w:p>
    <w:p>
      <w:pPr>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line="600" w:lineRule="exact"/>
        <w:jc w:val="center"/>
        <w:rPr>
          <w:rFonts w:hint="default" w:ascii="Times New Roman" w:hAnsi="Times New Roman" w:eastAsia="方正小标宋_GBK" w:cs="Times New Roman"/>
          <w:b/>
          <w:sz w:val="44"/>
          <w:szCs w:val="44"/>
        </w:rPr>
      </w:pPr>
    </w:p>
    <w:p>
      <w:pPr>
        <w:spacing w:line="60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攀枝花市广播电视台</w:t>
      </w:r>
    </w:p>
    <w:p>
      <w:pPr>
        <w:spacing w:line="60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2020年度部门预算整体绩效自评报告</w:t>
      </w:r>
    </w:p>
    <w:p>
      <w:pPr>
        <w:pStyle w:val="7"/>
        <w:spacing w:line="560" w:lineRule="exact"/>
        <w:ind w:firstLine="640" w:firstLineChars="200"/>
        <w:rPr>
          <w:rFonts w:hint="default" w:ascii="Times New Roman" w:hAnsi="Times New Roman" w:eastAsia="方正小标宋_GBK" w:cs="Times New Roman"/>
          <w:sz w:val="32"/>
          <w:szCs w:val="32"/>
        </w:rPr>
      </w:pP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一、部门概况</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攀枝花市广播电视台为财政补助事业单位（公益二类）。单位承担广播电视新闻宣传、广播电视节目制作和播出、广播电视事业建设与改革发展研究等职责。编制人数180人，年末实有在职职工人259人（在编137人，聘用122人）、退休职工90人。本年净资产数7541万元，其中固定资产金净值4497万元。</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二、部门资金基本情况</w:t>
      </w:r>
    </w:p>
    <w:p>
      <w:pPr>
        <w:spacing w:line="560" w:lineRule="exact"/>
        <w:ind w:firstLine="643"/>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（一）年度部门预算安排及支出情况</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本年度预算安排资金4992.07578万元，支出4987.26278万元，余4.813万元。其中：</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1.基本支出安排预算资金2652.08968万元，支出2647.39668万元，余4.693万元。</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2.专项支出安排预算资金2339.9861万元，支出2339.8661万元，余0.12万元。</w:t>
      </w:r>
    </w:p>
    <w:p>
      <w:pPr>
        <w:spacing w:line="560" w:lineRule="exact"/>
        <w:ind w:firstLine="643"/>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（二）专项资金安排及支出情况</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2049901其他公共安全支出预算安排资金85万元，支出85万元，无余额。</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2070199其他文化和旅游支出安排预算29.7万元，支出29.7万元，无余额。</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2070805电视支出预算安67.3万元，支出67.3万元，无余额。</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2070899其他广播电视支出，中央、省级公共文化服务体系建设专项资金（广播电视无线覆盖）预算安排资金96.05万元，支出96.05万元，无余额。</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2079902宣传文化发展专项支出安排预算7万元，支出7万元，无余额。</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2079999其他文化旅游体育与传媒支出上级资金预算安排资金23万元，支出22.88万元，余0.12万元。</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2120399其他城乡社区公共设施支出预算安排资金563.9167万元，支出563.9167万元，无余额。</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2120802土地开发支出预算资金安排1423.0194万元，支出1423.0194万元，无余额。</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2130599其他扶贫支出预算资金安排45万元，支出45万元，无余额。</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三、绩效目标完成情况分析</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2020年我单位的预算资金已全部到位。主要工作任务是完成攀枝花市广播电视节目播映、促进经济社会文化发展，保障电视节目制作、电视产业经营以及各类宣传片生产正常开展等。根据市文广旅局要求，我台承担了中央、省级广播电视发射和我市数字地面电视地方服务平台的发射运行维护任务，保证中央、省级广播电视节目在我市的收听、收看，同时，为全市基站、用户提供持续稳定的地面数字电视信号源。通过精心维护，有效保障了本地数字地面电视的地方服务平台和数字地面电视市级发射系统长期、安全、稳定、高效运行，确保了全市用户能实时接收优质的广播电视信号以及高质量的电视节目，进一步提升了我市公共文化服务质量和服务效果。</w:t>
      </w:r>
    </w:p>
    <w:p>
      <w:pPr>
        <w:spacing w:line="560" w:lineRule="exact"/>
        <w:ind w:firstLine="643"/>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（一）市级财政资金绩效目标完成情况</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1.年初部门预算绩效目标完成情况</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（1）数量指标</w:t>
      </w:r>
      <w:r>
        <w:rPr>
          <w:rFonts w:hint="eastAsia"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完成我市城市宣传片多部，保障地面数字电视地方服务平台和地面数字电视市级发射台正常运行。完成攀枝花市广播电视节目播映、促进经济社会文化发展、电视节目制作、电视产业经营以及各类宣传片等。</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质量指标：高质量完成指标。</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时效指标：按时完成。</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成本指标</w:t>
      </w:r>
      <w:r>
        <w:rPr>
          <w:rFonts w:hint="eastAsia"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共计成本支出4987.26278万元。</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（2）效益指标完成情况分析</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经济效益：积极促进我市旅游业等经济发展。</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社会效益：有效宣传我市城市形象、广播电视无线覆盖率≥95%、对国家公共文化服务体系示范引导作用。确保了全市用户能实时接收优质的广播电视信号以及高质量的广播电视节目生产，进一步提升了我市公共文化服务质量和服务效果。</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生态效益：无。</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可持续影响：基本文化服务水平稳步提升。</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（3）满意度指标完成情况分析。</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受众满意度≥90%</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2.市级专项（项目）资金绩效目标完成情况</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年度下达市级专项资金2220.9361万元，包括：平安建设经费、第七届四川国际旅游交易博览会、政府在线访谈节目及相关微视频等14个项目，资金全部到位，项目资金使用规范，无截留、挤占、挪用项目资金情况。</w:t>
      </w:r>
    </w:p>
    <w:p>
      <w:pPr>
        <w:spacing w:line="560" w:lineRule="exact"/>
        <w:ind w:firstLine="643"/>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（二）上级专项（项目）资金绩效目标完成情况</w:t>
      </w:r>
    </w:p>
    <w:p>
      <w:pPr>
        <w:spacing w:line="560" w:lineRule="exact"/>
        <w:ind w:left="336" w:leftChars="160"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本年度财政下达上级专项资金119.05万元，其中：</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2070899--其他广播电视支出，中央、省级公共文化服务体系建设专项资金（广播电视无线覆盖）96.05万元，全部用于广播电视无线覆盖；2079999--文化旅游体育与传媒支出省级专项资金23万元；用于“英雄攀枝花  阳光康养地”城市形象宣传营销经费20万元，通过政府采购实际支出19.88万元，余0.12万元，2020年财政未收回，年终办了结转结余；首届“三线文化周”系列活动川剧《此心安处》线上展播项目3万元，已保质保量完成任务。</w:t>
      </w:r>
    </w:p>
    <w:p>
      <w:pPr>
        <w:spacing w:line="560" w:lineRule="exact"/>
        <w:ind w:firstLine="643"/>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（三）自评结论</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通过对2020年部门预算整体绩效自评，我们更加全面认识到绩效自评的重要性，督促我们在今后的工作中更加用心负责，做到专款专用，严格按照文件要求执行。</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四、偏离绩效目标的原因和下一步改进措施</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无。</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五、绩效自评结果拟应用和公开公示情况</w:t>
      </w:r>
    </w:p>
    <w:p>
      <w:pPr>
        <w:spacing w:line="56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绩效自评结果已公开。</w:t>
      </w:r>
    </w:p>
    <w:p>
      <w:pPr>
        <w:spacing w:line="580" w:lineRule="exact"/>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p>
    <w:p>
      <w:pPr>
        <w:spacing w:line="58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spacing w:line="580" w:lineRule="exact"/>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附件2</w:t>
      </w:r>
    </w:p>
    <w:p>
      <w:pPr>
        <w:spacing w:line="580" w:lineRule="exact"/>
        <w:ind w:firstLine="640" w:firstLineChars="200"/>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攀枝花市广播电视台2020年度专项（项目）</w:t>
      </w:r>
    </w:p>
    <w:p>
      <w:pPr>
        <w:spacing w:line="60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资金绩效自评报告</w:t>
      </w:r>
    </w:p>
    <w:p>
      <w:pPr>
        <w:spacing w:line="600" w:lineRule="exact"/>
        <w:jc w:val="center"/>
        <w:rPr>
          <w:rFonts w:hint="default" w:ascii="Times New Roman" w:hAnsi="Times New Roman" w:eastAsia="方正小标宋_GBK" w:cs="Times New Roman"/>
          <w:b/>
          <w:sz w:val="44"/>
          <w:szCs w:val="44"/>
        </w:rPr>
      </w:pP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2020年我单位有九个款项16个专项（项目）资金支出，现将绩效自评报告如下：</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一、2049901--其他公共安全支出  平安建设经费85万元支出绩效自评报告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为做好攀枝花市政法宣传舆论引导工作，攀枝花市委政法委委托攀枝花市广播电视台开办电视栏目《攀枝花政法》、广播节目《攀枝花政法》、运维“攀枝花政法”官方微信和微博平台。栏目以攀枝花市政法委和攀枝花市广播电视台联合制作的形式进行合作。攀枝花市政法委申请财政从</w:t>
      </w:r>
      <w:r>
        <w:rPr>
          <w:rFonts w:hint="eastAsia" w:eastAsia="仿宋_GB2312" w:cs="Times New Roman"/>
          <w:color w:val="000000"/>
          <w:kern w:val="0"/>
          <w:sz w:val="32"/>
          <w:szCs w:val="32"/>
          <w:lang w:eastAsia="zh-CN"/>
        </w:rPr>
        <w:t>市委政法委</w:t>
      </w:r>
      <w:r>
        <w:rPr>
          <w:rFonts w:hint="default" w:ascii="Times New Roman" w:hAnsi="Times New Roman" w:eastAsia="仿宋_GB2312" w:cs="Times New Roman"/>
          <w:color w:val="000000"/>
          <w:kern w:val="0"/>
          <w:sz w:val="32"/>
          <w:szCs w:val="32"/>
        </w:rPr>
        <w:t>的经费中调拨专项资金85万元，全部用于政法节目制作。</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电视栏目《攀枝花政法》定位为新闻综合类节目，每周一期（具体播出时间：新闻综合频道每周二20:00首播，周三8:20重播、公共频道每周六12:45重播），栏目长度15分钟；广播节目《攀枝花政法》栏目内容由电视栏目《攀枝花政法》改编，每周一期（具体播出时间：综合广播频率FM88.5每周三11:30——11:45）；攀枝花市政法委微信公众平台为腾讯公司认证的订阅号，该平台实现发布图文、视频、语音等功能，每天推送一次信息（1—8条）；攀枝花市政法委微博为新浪微博实名认证的官方微博平台，该平台实现直播，实现发布图文、视频等信息，每天发布次数不限。</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电视栏目《攀枝花政法》、广播节目《攀枝花政法》，运维“攀枝花政法”官方微信和微博平台，开办以来，运行良好，得到了广大市民的普遍认同。</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二、2070199--其他文化和旅游支出  第七届四川国际旅游交易博览会项目29.7万元支出绩效报告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2020年9月25至28日，第七届四川国际旅游交易博览会在乐山峨眉山市举办。作为全省旅游宣传专业化、国际化、市场化的重要平台，根据上级要求，攀枝花要精心策划准备，积极组团参会参展，充分展示了攀枝花丰富多彩的文旅资源和产品，使“英雄攀枝花  阳光康养地”的品牌形象得以进一步“擦亮”。</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按照主办方对第七届省旅博会现场展区搭建要求，积极开展攀枝花花展示馆的设计、搭建工作。保证活动期间能正常发放文旅推介、文旅商品宣传资料，展示文旅商品、文创产品、特色水果和开展现场演出。设计搭建包括：舞台演示区、阳光康养展区、洽谈区、阳光康养展品展区、三线建设展区、五个区县展区、五大文旅线路展区共七个展区。还组织了包括技术传输保障、视频采集、主持编导等直播保障人员携带相关设备，与9月25日上午十点通过攀枝花手机台对第七届省旅博会攀枝花展区进行了现场直播，截至9月30日上午10时，累计观看直播和重播的用户已达49.2万人次。</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攀财资教〔2020〕117号文下达其他文化和旅游支出（2070199）第七届四川国际旅游交易博览会专项经费29.7万元用于此项目，此大会面向全球40个国家和地区近200户商家，进行线上、线下营销宣传和交易洽谈，达成有意向的联系对接商家16家，推进攀枝花国际阳光康养旅游目的地建设，促进文化旅游深度融合。</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三、2070805--电视  政府网站在线访谈节目及相关微视频项目资金29.8万元、攀枝花市有线电视信息中心改革遗留问题专项经费37.5万元支出绩效报告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（一）政府网站在线访谈节目及相关微视频项目基本情况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2020年，攀枝花市人民政府办公室主办、攀枝花市广播电视台承办的攀枝花市人民政府网《在线访谈》节目正式上线，依托该节目，各政府职能部门发布权威信息、开展政策解读、积极回应群众关切，通过大访谈、小访谈和微访谈等不同形式，《在线访谈》</w:t>
      </w:r>
      <w:r>
        <w:rPr>
          <w:rFonts w:hint="eastAsia" w:eastAsia="仿宋_GB2312" w:cs="Times New Roman"/>
          <w:color w:val="000000"/>
          <w:kern w:val="0"/>
          <w:sz w:val="32"/>
          <w:szCs w:val="32"/>
          <w:lang w:eastAsia="zh-CN"/>
        </w:rPr>
        <w:t>成为</w:t>
      </w:r>
      <w:r>
        <w:rPr>
          <w:rFonts w:hint="default" w:ascii="Times New Roman" w:hAnsi="Times New Roman" w:eastAsia="仿宋_GB2312" w:cs="Times New Roman"/>
          <w:color w:val="000000"/>
          <w:kern w:val="0"/>
          <w:sz w:val="32"/>
          <w:szCs w:val="32"/>
        </w:rPr>
        <w:t>连接政府与市民的一座暖心桥。</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（二）政府网站在线访谈节目及相关微视频项目实施相关情况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2020年共推出微访谈三期、推出小访谈节目三期、推出时长超过40分钟的大型访谈三期、推出政务解读图解20多期，并同时在攀枝花市公众信息网和攀枝花广播电视台各新媒体平台推出。针对不同的热点，采取不同的访谈形式，2020年《在线访谈》已成为市民了解攀枝花政策、解开</w:t>
      </w:r>
      <w:r>
        <w:rPr>
          <w:rFonts w:hint="eastAsia" w:eastAsia="仿宋_GB2312" w:cs="Times New Roman"/>
          <w:color w:val="000000"/>
          <w:kern w:val="0"/>
          <w:sz w:val="32"/>
          <w:szCs w:val="32"/>
          <w:lang w:eastAsia="zh-CN"/>
        </w:rPr>
        <w:t>困惑地阵</w:t>
      </w:r>
      <w:r>
        <w:rPr>
          <w:rFonts w:hint="default" w:ascii="Times New Roman" w:hAnsi="Times New Roman" w:eastAsia="仿宋_GB2312" w:cs="Times New Roman"/>
          <w:color w:val="000000"/>
          <w:kern w:val="0"/>
          <w:sz w:val="32"/>
          <w:szCs w:val="32"/>
        </w:rPr>
        <w:t>地之一，</w:t>
      </w:r>
      <w:r>
        <w:rPr>
          <w:rFonts w:hint="eastAsia" w:eastAsia="仿宋_GB2312" w:cs="Times New Roman"/>
          <w:color w:val="000000"/>
          <w:kern w:val="0"/>
          <w:sz w:val="32"/>
          <w:szCs w:val="32"/>
          <w:lang w:eastAsia="zh-CN"/>
        </w:rPr>
        <w:t>成功地搭建</w:t>
      </w:r>
      <w:r>
        <w:rPr>
          <w:rFonts w:hint="default" w:ascii="Times New Roman" w:hAnsi="Times New Roman" w:eastAsia="仿宋_GB2312" w:cs="Times New Roman"/>
          <w:color w:val="000000"/>
          <w:kern w:val="0"/>
          <w:sz w:val="32"/>
          <w:szCs w:val="32"/>
        </w:rPr>
        <w:t>起了政府与市民之间相互了解、相互至此的暖心桥梁。攀财资行〔2020〕52号文下达政府网站在线访谈节目及相关微视频项目资金29.8万元，全部用于该项目支出，完成率10%，达到预期效果。</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（三）攀枝花市有线电视信息中心改革遗留问题项目基本情况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根据攀编发〔2019〕84号文件精神，批准攀枝花市有线电视信息中心成建制整合并入攀枝花市广播电视台，因尚有375000元历史欠款遗留问题无力自筹资金解决，导致中心无法注销，经申请同意，攀财资教〔2020〕39号文下达37.5万元，用于解决攀枝花市有线电视信息中心历史欠款遗留问题。</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（四）攀枝花市有线电视信息中心改革遗留问题项目实施相关情况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支付了2014年购入的制播一体系统设备应付未付货款17.3万元；支付了攀枝花市市场监督管理局费用4.2万元元；支付单身宿舍危房拆除及还建费用16万元。解决攀枝花市有线电视信息中心遗留问题，以圆满完成改革整合任务。</w:t>
      </w:r>
    </w:p>
    <w:p>
      <w:pPr>
        <w:spacing w:line="560" w:lineRule="exact"/>
        <w:ind w:firstLine="643"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四、2070899--其他广播电视支出  中央、省级公共文化服务体系建设专项资金（广播电视无线覆盖）96.05万元支出绩效报告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eastAsia" w:eastAsia="仿宋_GB2312" w:cs="Times New Roman"/>
          <w:color w:val="000000"/>
          <w:kern w:val="0"/>
          <w:sz w:val="32"/>
          <w:szCs w:val="32"/>
          <w:lang w:eastAsia="zh-CN"/>
        </w:rPr>
        <w:t>（一）</w:t>
      </w:r>
      <w:r>
        <w:rPr>
          <w:rFonts w:hint="default" w:ascii="Times New Roman" w:hAnsi="Times New Roman" w:eastAsia="仿宋_GB2312" w:cs="Times New Roman"/>
          <w:color w:val="000000"/>
          <w:kern w:val="0"/>
          <w:sz w:val="32"/>
          <w:szCs w:val="32"/>
        </w:rPr>
        <w:t>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攀财资教〔2020〕19号文下达2020年中央公共文化服务体系建设专项资金（广播电视重点项目）经费79.65万元，用于中央广播电视节目无线覆盖运行维护；攀财资教〔2020〕76号文下达2020年省级公共文化服务体系建设专项资金（广播电视无线覆盖）15万元，用于补助中央和省级广播电视节目无线覆盖运行维护费；攀财资教〔2020〕83号文下达2020年省级公共文化服务体系建设专项资金（广播电视重点项目）1.4万元，用于实施广播电视网络视听精品创作生产。全年共下达中央省级无线覆盖专项资金96.05万元。</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全面推进我市无线覆盖工程。完成调频节目六套，播出总时长40556.5小时；模拟电视节目三套，播出总时长18615小时。数字电视两套，播出总时长17520小时；数字微波全年传输时长35040小时。我单位2020年中央、省级公共文化服务体系建设专项资金（广播电视无线覆盖）96.05万元全部用于广播电视无线覆盖，无线覆盖专项资金使用情况较好，严格按照文件要求专款专用，规范使用专项资金，及时报送专项资金具体使用情况及绩效自评报告，执行完成率100%，我市广播电视无线覆盖率≥90%。由于经费不足，我台</w:t>
      </w:r>
      <w:r>
        <w:rPr>
          <w:rFonts w:hint="eastAsia" w:eastAsia="仿宋_GB2312" w:cs="Times New Roman"/>
          <w:color w:val="000000"/>
          <w:kern w:val="0"/>
          <w:sz w:val="32"/>
          <w:szCs w:val="32"/>
          <w:lang w:eastAsia="zh-CN"/>
        </w:rPr>
        <w:t>厉行节约</w:t>
      </w:r>
      <w:r>
        <w:rPr>
          <w:rFonts w:hint="default" w:ascii="Times New Roman" w:hAnsi="Times New Roman" w:eastAsia="仿宋_GB2312" w:cs="Times New Roman"/>
          <w:color w:val="000000"/>
          <w:kern w:val="0"/>
          <w:sz w:val="32"/>
          <w:szCs w:val="32"/>
        </w:rPr>
        <w:t>原则努力控制成本，做到专款专用，但是专项资金缺口仍然较大。</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五、2079902--宣传文化发展专项支出  舆情组宣传经费7万元支出绩效报告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为确保疫情应急指挥部宣传舆情组工作的顺利开展。根据报政府《关于安排市疫情应急指挥部宣传舆情组宣传经费的请示》及领导要求，市财政局攀财资教〔2020〕年12号下达我单位疫情宣传经费7万元。</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eastAsia" w:eastAsia="仿宋_GB2312" w:cs="Times New Roman"/>
          <w:color w:val="000000"/>
          <w:kern w:val="0"/>
          <w:sz w:val="32"/>
          <w:szCs w:val="32"/>
          <w:lang w:eastAsia="zh-CN"/>
        </w:rPr>
        <w:t>（二）</w:t>
      </w:r>
      <w:r>
        <w:rPr>
          <w:rFonts w:hint="default" w:ascii="Times New Roman" w:hAnsi="Times New Roman" w:eastAsia="仿宋_GB2312" w:cs="Times New Roman"/>
          <w:color w:val="000000"/>
          <w:kern w:val="0"/>
          <w:sz w:val="32"/>
          <w:szCs w:val="32"/>
        </w:rPr>
        <w:t>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作为我市主流媒体，肩负一定的社会责任，政治舆论导向是我们的职责，在疫情来临之时，在党和人民需要之时，我单位职工总是冲锋在前，奔赴抗疫战场第一线，传达党和政府的声音、宣传抗疫的基本情况、宣传抗疫的知识等等，疫情严重期间每日半小时的《攀枝花新闻联播》、《新闻天天看》大多是与抗疫情的内容，并制作系列电视、广播公益广告同时进行在广播、电视及全媒体直播。7万元经费只是财政象征性的</w:t>
      </w:r>
      <w:r>
        <w:rPr>
          <w:rFonts w:hint="eastAsia" w:eastAsia="仿宋_GB2312" w:cs="Times New Roman"/>
          <w:color w:val="000000"/>
          <w:kern w:val="0"/>
          <w:sz w:val="32"/>
          <w:szCs w:val="32"/>
          <w:lang w:eastAsia="zh-CN"/>
        </w:rPr>
        <w:t>给予</w:t>
      </w:r>
      <w:r>
        <w:rPr>
          <w:rFonts w:hint="default" w:ascii="Times New Roman" w:hAnsi="Times New Roman" w:eastAsia="仿宋_GB2312" w:cs="Times New Roman"/>
          <w:color w:val="000000"/>
          <w:kern w:val="0"/>
          <w:sz w:val="32"/>
          <w:szCs w:val="32"/>
        </w:rPr>
        <w:t>补助，经费不足，但圆满完成任务了党和人民交给的任务。</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六、2079999--文化旅游体育与传媒支出  “英雄攀枝花  阳光康养地”城市形象宣传经费20万元、首届“三线文化周”川剧《此心安处》线上展播经费3万元支出绩效自评报告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（一）“英雄攀枝花  阳光康养地”项目基本情况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为深入贯彻习近平总书记文理融合发展理念，加快落实省委、省政府建设国际阳光康养旅游目的地和加快成渝经济圈建设，深入挖掘我市文旅产业发展潜力，激发文旅产业发展活力，促进文旅融合发展，充分展示攀枝花文旅产业转型升级发展的阶段性成果，打造成渝地区阳光康养度假旅游后花园，全力塑造“英雄攀枝花 阳光康养地”的城市整体形象，在重庆，昆明等地开展宣传营销推介活动。攀财资教〔2020〕89号文下达“英雄攀枝花  阳光康养地”城市形象宣传营销经费20万元，通过政府采购实际支出19.88万元，余0.12万元2020年财政未收回，年终办了结转结余。</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（二）“英雄攀枝花  阳光康养地”项目实施相关情况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在重庆线上采用抖音短视频和微信朋友圈多图、大图、卡片、视频等形式进行全方位推广，总曝光量达到近320万人次、线下通过重庆轻轨广告媒体的推广方式，在人流量较大的5个站点进行宣传推广。</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在昆明采用传统下线公共地铁交通站媒体宣传推广，集中在昆明市中心3个核心站点5个广告位置集中投放，举办“攀枝花市旅游昆明推介会”，通过推介会的方式与云南旅游系统深入沟通交流，充分展示攀枝花市优秀旅游资源。</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通过线上抖音、微信媒体、朋友圈平台投放广告，线下重庆城市轻轨、昆明地铁，在站点用灯箱广告的形式进行推广宣传。在昆明举办旅游推介会等一系列措施，使“英雄攀枝花  阳光康养地”的城市形象在重庆、昆明两地得到很好的推广，取得了良好的宣传效果。</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（三）首届“三线文化周”系列活动川剧《此心安处》线上展播项目基本情况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在三线建设文化周期间，市委宣传部安排我单位完成了电视川剧《此心安处》的录制工作，并在我台新闻综合频道及攀枝花手机台播出。电视川剧《此心安处》充分应用电视艺术手段进行再度创作，是一部宣扬和传承三线精神的电视戏曲佳作。攀财资教〔2020〕55号文下达此专项资金3万元，全部用于《此收安处》的采编、录制作、播出等。</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（四）首届“三线文化周”系列活动川剧《此心安处》线上展播项目实施相关情况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此心安处》是一部以攀枝花建设为背景，大力弘扬伟大“三线精神”的大型现实题材川剧。该剧重现了三线建设那段艰苦奋斗的创业历程，全面展现了三线建设者的家国情怀、奉献精神和创新精神。川剧《此心安处》参加第二届四川艺术节展演，荣获四川省艺术类政府最高奖项—2019年“四川文华奖”剧目奖。电视川剧《此心安处》在攀枝花广播电视台播出后，在社会上引起较大反响。</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七、2120399--其他城乡社区公共设施支出  发射台升级改造经费563.9167万元支出绩效报告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为保证发射台发射传输广播电视节目的安全播出，给攀枝花市民提供优质的广播电视节目。市政府决定对大黑山发射台包括发射铁塔亮化工程、传输设施设备采购、监播系统改造、消防供水改造、新建监控系统、供配电及附属设施、防雷接地及生活区环境进行升级改造，大黑山改造项目总计资金939.4972万元，由省发射传输中心承担250万元，市财政承担689.4972万元，在进行政府采购时节约21.6632万元，财政实际承担667.834万元，2020年财政下达专项资金563.9167万元，</w:t>
      </w:r>
      <w:r>
        <w:rPr>
          <w:rFonts w:hint="eastAsia" w:eastAsia="仿宋_GB2312" w:cs="Times New Roman"/>
          <w:color w:val="000000"/>
          <w:kern w:val="0"/>
          <w:sz w:val="32"/>
          <w:szCs w:val="32"/>
          <w:lang w:eastAsia="zh-CN"/>
        </w:rPr>
        <w:t>到账</w:t>
      </w:r>
      <w:r>
        <w:rPr>
          <w:rFonts w:hint="default" w:ascii="Times New Roman" w:hAnsi="Times New Roman" w:eastAsia="仿宋_GB2312" w:cs="Times New Roman"/>
          <w:color w:val="000000"/>
          <w:kern w:val="0"/>
          <w:sz w:val="32"/>
          <w:szCs w:val="32"/>
        </w:rPr>
        <w:t>资金全部用于发射台升级改造工程。工程尚未完工，2021年财政承担103.9173万元</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项目是2020年攀枝花市重点项目，由市委市政府领导批示实施，为确保本项目建设质量及实施进度，本项目将由“攀枝花市广播电视台大黑山发射台基础设施改建改造工作领导小组”作为项目管理机构。领导小组其主要职责是：承担领导小组的日常工作，研究提出需要领导小组决策的建议方案，推进、协调项目建设工作，收集掌握有关信息，为领导小组决策提供依据，具体制定和落实工作方案、实施方案、监督方案等，承办领导小组交办的</w:t>
      </w:r>
      <w:r>
        <w:rPr>
          <w:rFonts w:hint="eastAsia" w:eastAsia="仿宋_GB2312" w:cs="Times New Roman"/>
          <w:color w:val="000000"/>
          <w:kern w:val="0"/>
          <w:sz w:val="32"/>
          <w:szCs w:val="32"/>
          <w:lang w:eastAsia="zh-CN"/>
        </w:rPr>
        <w:t>其他事项</w:t>
      </w:r>
      <w:r>
        <w:rPr>
          <w:rFonts w:hint="default" w:ascii="Times New Roman" w:hAnsi="Times New Roman" w:eastAsia="仿宋_GB2312" w:cs="Times New Roman"/>
          <w:color w:val="000000"/>
          <w:kern w:val="0"/>
          <w:sz w:val="32"/>
          <w:szCs w:val="32"/>
        </w:rPr>
        <w:t>。办公室下设工程技术组和建设管理组。为确保基础设施维修改造项目工程质量及实施进度，本项目将委托有相应资质的设计单位进行工程设计。除设计费外，都采取政府采购方式。有效地节约了资金。</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发射塔亮化工程二期还没实施（市领导检查后提出），供配电及附属设施改造、防雷接地改造和生活区环境改造工程都已进入收尾工作，其他工作都已结束。本工程建成后对大黑山全台播出环境有了很大的改善，大有力地保障了设备安全、稳定运行。对攀枝花地区政治稳定、经济发展、民族团结、社会进步产生巨大的推动作用，其社会效益十分明显，必然会收到良好的社会效益和经济效益。</w:t>
      </w:r>
    </w:p>
    <w:p>
      <w:pPr>
        <w:spacing w:line="560" w:lineRule="exact"/>
        <w:ind w:firstLine="643"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color w:val="000000"/>
          <w:kern w:val="0"/>
          <w:sz w:val="32"/>
          <w:szCs w:val="32"/>
        </w:rPr>
        <w:t>八、2120802--土地开发支出  这款总共下达专项资金1423.0194万元，8个项目，以下分项目自评</w:t>
      </w:r>
      <w:r>
        <w:rPr>
          <w:rFonts w:hint="default" w:ascii="Times New Roman" w:hAnsi="Times New Roman" w:eastAsia="仿宋_GB2312" w:cs="Times New Roman"/>
          <w:color w:val="000000"/>
          <w:kern w:val="0"/>
          <w:sz w:val="32"/>
          <w:szCs w:val="32"/>
        </w:rPr>
        <w:t>：</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（一）阳光问廉经费25万元项目支出绩效自评报告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项目包括了自办广播版直播《阳光问政》节目和与市纪委联合承办的一档电视直播节目《阳光问廉》。这两档节目是广播电视问政类直播节目，也是攀枝花市广播电视台两档全媒体直播节目。栏目秉承“察民情、听民声、办民事、解民忧”的宗旨，回应百姓诉求，促进政务公开，在政府和群众之间架起了沟通的桥梁。</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项目实施的相关情况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2020年财政年初预算下达阳光问廉专项资金25万元，资金专款专用，全部用于阳光问政类的两个栏目。本年尽管疫情较为严重，栏目组全体成员克服一切困难，深入三区两县拍摄制作。全年广播版共直播了33期、电视版直播4期节目。节目播出后，获得了多方好评。本项目实施机构健全，分工明确，项目资金管理制度健全，资金申报、评审、批准、下达程序规范，项目资金使用规范，无截留、挤占、挪用项目资金情况，项目资金到位率100%，完成100%。本项目走村串户、明察暗访，需投入大量人力、物力，25万元经费严重不足。</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（二）动力费项目60万元支出绩效自评报告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大黑山发射台是攀枝花广播、电视、微波、在面数字电视发射传输中心，此项目经费是发射传输广播电视节目设施设备用电费，现有发射调频广播节目六套（中国之声、四川综合频率、四川交通频率、四川经济频率、攀枝花市综合频率、攀枝花市对农广播）；发射数字电视节目五个包共计43套节目（中央台24台、四川台14套、攀枝花市2套、仁和1套、米易1套、盐边1台）；两路数字微波。</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全年发射调频总播出时间42705小时；数字电视总播出时间40880小时；传输数字电视节目8套，传输广播节目9套，传输时间17520小时。发射传输节目质量优良，保证攀枝花市及周边广大市民能够收看到优质的数字电视节目。该项目为公益事业无经济效益，社会效益是把党和国家的声音传达到千家万户，把省、市、县的各项政策法规传达到千家万户。生态效益、可持续效益为满足广大人民群众日益增长的精神文化需求。服务对象满意度为良好。</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2020年财政年初预算下达动力费专项资金60万元，主要用于发射台广播、电视、微波、地面数字电视的发射机用电费，本项目资金使用规范，无截留、挤占、挪用项目资金情况，项目资金到位率100%，完成100%。</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（三）业务运行经费1123.6万元项目支出绩效自评报告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我单位为全额拨款事业单位（公益二类）编制180人，2020年底在职职工259人（在编137人、聘用人员122人），在编人员工资及经费由财政拨款，聘用人员工资福利及各种社会社障费由单位创收收入承担，收入全额上缴财政，财政以预算的形式下达本单位使用，主要用于聘用人员工资福利及社保、各种税费、还贷款及贷款利息和弥补事业经费的不足。</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2020年预算创收入库1300万元，财政年初下达业务运行费1132万元，年中压缩经费追减业务运行费8.4万元，全年使用预算资金1123.6万元。主要用于122名聘用人员工资福利及社保、各种税费、贷款利息和弥补事业经费的不足。122名聘用人员主要在广播电视节目采、编、播岗位，主要工作任务是完成攀枝花市的电视节目播映、促进社会文化经济发展、电视节目制作、电视产业经营以及各类宣传片等；创收收入（含税）全额上缴财政，下达的业务运行费还要交收入额近10%的各种税费及附加；</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本年度下达的1123.6万元，较好完成各种宣传任务，按项目资金使用规范，无截留、挤占、挪用项目资金情况，项目资金到位率100%，完成100%。</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存在的问题是：业务运行经费存在严重不足，每年年底都存在聘用人员工资付不出的情况，建议财政不</w:t>
      </w:r>
      <w:r>
        <w:rPr>
          <w:rFonts w:hint="eastAsia" w:eastAsia="仿宋_GB2312" w:cs="Times New Roman"/>
          <w:color w:val="000000"/>
          <w:kern w:val="0"/>
          <w:sz w:val="32"/>
          <w:szCs w:val="32"/>
          <w:lang w:eastAsia="zh-CN"/>
        </w:rPr>
        <w:t>调剂</w:t>
      </w:r>
      <w:r>
        <w:rPr>
          <w:rFonts w:hint="default" w:ascii="Times New Roman" w:hAnsi="Times New Roman" w:eastAsia="仿宋_GB2312" w:cs="Times New Roman"/>
          <w:color w:val="000000"/>
          <w:kern w:val="0"/>
          <w:sz w:val="32"/>
          <w:szCs w:val="32"/>
        </w:rPr>
        <w:t>这部分资金去弥补编制内职工公用经费，创收收入全额预算下拨使用。</w:t>
      </w:r>
    </w:p>
    <w:p>
      <w:pPr>
        <w:spacing w:line="560" w:lineRule="exact"/>
        <w:ind w:firstLine="643" w:firstLineChars="200"/>
        <w:rPr>
          <w:rFonts w:hint="default" w:ascii="Times New Roman" w:hAnsi="Times New Roman" w:eastAsia="仿宋_GB2312" w:cs="Times New Roman"/>
          <w:color w:val="000000"/>
          <w:kern w:val="0"/>
        </w:rPr>
      </w:pPr>
      <w:r>
        <w:rPr>
          <w:rFonts w:hint="default" w:ascii="Times New Roman" w:hAnsi="Times New Roman" w:eastAsia="仿宋_GB2312" w:cs="Times New Roman"/>
          <w:b/>
          <w:color w:val="000000"/>
          <w:kern w:val="0"/>
          <w:sz w:val="32"/>
          <w:szCs w:val="32"/>
        </w:rPr>
        <w:t>（四）村村通、地面数字电视经费70万元、首届文旅大会经费10.1394万元支出绩效自评报告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攀财资教〔2020〕42号文下达2020年市级文化广播电视和旅游发展专项资金80.1394万元，其中：2020年广播电视村村通向户户通升级，包括1 个市级地面数字电视地方服务平台、一个市级地面数字电视发射台、传输链路网维修维护及运行经费70万元；首届文旅大会经费10.1394万元。</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eastAsia" w:eastAsia="仿宋_GB2312" w:cs="Times New Roman"/>
          <w:color w:val="000000"/>
          <w:kern w:val="0"/>
          <w:sz w:val="32"/>
          <w:szCs w:val="32"/>
          <w:lang w:val="en-US" w:eastAsia="zh-CN"/>
        </w:rPr>
        <w:t xml:space="preserve">2. </w:t>
      </w:r>
      <w:r>
        <w:rPr>
          <w:rFonts w:hint="default" w:ascii="Times New Roman" w:hAnsi="Times New Roman" w:eastAsia="仿宋_GB2312" w:cs="Times New Roman"/>
          <w:color w:val="000000"/>
          <w:kern w:val="0"/>
          <w:sz w:val="32"/>
          <w:szCs w:val="32"/>
        </w:rPr>
        <w:t>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发射调频广播节目六套（中国之声、四川综合频率、四川交通频率、四川经济频率、攀枝花市综合频率、攀枝花市对农广播），发射调频总播出时间42705小时、发射数字电视节目五个包共计43套节目（中央台24台、四川台14套、攀枝花市2套、仁和1套、米易1套、盐边1台），数字电视总播出时间40880小时、两路数字微波，传输数字电视节目8套，传输广播节目9套，传输时间：17520小时。发射节目质量优良，保证攀枝花市及周边广大市民能够收看到优质的数字电视节目，该项目为公益事业无经济效益，社会效益是把党和国家的声音传达到千家万户，把省、市、县的各项政策法规传达到千家万户。生态效益、可持续效益为满足广大人民群众日益增长的精神文化需求，服务对象满意度为良好，70万元全部用于广播电视传输播出的维修、维护运行费用。首届文旅大会经费10.1394万元，全部用于首届文旅大会的会议资料录制、会场布置舞美费用及专题片《冬日暖阳·清凉夏季——攀枝花》的制作，该片呈现了攀枝花文化和旅游工作发展的新目标：坚持事业与产业相统筹、保护与开发相协调、融合与创新相结合、质量与效益相统一的原则，继续推动全市文化事业不断繁荣、文旅产业不断壮大、文旅市场不断拓展、文旅队伍不断优化，打响品牌、提高品质、提升品位。为宣传攀枝花文化旅游康养做出了贡献。</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（五）电视专题片《攻关》制作经费87万元支出绩效自评报告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为纪念攀枝花开发建设55周年暨成昆铁路通车50周年，攀枝花市科协申请政府专项资金87万委托攀枝花市电视台拍摄制作五集电视纪录片《钢铁是这样炼成的》（原名《攻关》），攀财资教〔2020〕年24号文下达的87万元专项资金全部用于此专题片的制作。</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专题片《钢铁是这样炼成的》，历时一年，摄制组足迹遍及全国各地，从纪念攀枝花钒钛磁铁矿高炉冶炼试验科技攻关这一重大历史事件为出发点，采访了110多位当年攀枝花开发建设亲历者、建设者，以矿产资源、采矿、选矿、炼钢、炼铁、重轨、钒钛全流程生产工艺为载体，回顾老一辈科技工作者的英雄事迹，弘扬传承“三线精神”，制作成了长达2小时32分秒的五集电视纪录片。再现了攀枝花站在国家层面，体现国家意志，担负国家使命，以及攀钢现代化、国际化生产和遍布全球的业务业绩，激励攀枝花这座英雄的城市，不忘初心，牢记使命。坚定以习近平新时代中国特色社会主义思想为指导，深入践行新发展理念，积极融入新发展格局，紧紧围绕省委对攀枝花发展“3+2”的新定位新要求，传承弘扬“三线精神”，深入落实市委“一二三五”总体工作思路，全力做好钒钛、阳光“两篇文章”，扎实推进钒钛新城和攀西科技城建设，积极争创省级新区，全力打造工业“攀钢航母舰队”，加快构建现代农业“7+3”产业体系，深入实施康养旅游产业“5115”工程，着力夯实“一枢纽五高地”区位优势，加快建设川西南、滇西北区域中心城市和四川南向开放门户，全力推动成渝地区双城经济圈建设，在服务国家战略中继续发挥新的作用、作出新的贡献。</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（六）纪念攀枝花开放建设55周年活动及宣传经费26.92万元支出绩效报告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市委办市政府办联合印发《关于开展攀枝花开发建设55周年暨成昆铁路通车50周年纪念活动的通知》，市委、市政府决定，在全市开展攀枝花开发建设55周年暨成昆铁路通车50周年纪念活动。攀财资教〔2020〕26号文下达我单位纪念攀枝花开放建设55周年专项资金26.92万元全部用于攀枝花发开建设55周年纪念活动。</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月4日晚，由攀枝花市广播电视台等部门共同录制，在攀枝花市广播电视台、攀枝花手机台客户端推出《攀枝花开发建设55周年暨首届攀枝花英才表彰电视特别节目》，以微电影、电视宣传片、电视散文、电视访谈等形式，弘扬“三线精神”，展示时代楷模的风采三线建设伊始，来自全国各地的数十万大军响应党中央号召，义无反顾地来到大三线的腹地——攀枝花，在条件极为艰难的情况下，凭借着一腔热血和纯正信仰，他们以惊天地泣鬼神震寰宇撼世人的英雄气概，创造了一个又一个建设奇迹，谱写了一曲又一曲英雄赞歌。忆往昔峥嵘岁月荡气回肠，看今朝“三线精神”永焕荣光！攀枝花市广播电视台攀枝花开发建设55周年系列宣传活动，在社会与市民中引起较大反响，受到市委主要领导的高度好评。</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（七）2020年第一批宣传文化发展项目经费15万元支出绩效报告、2020年第三批人才专项经费0.36万元支出绩效</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2020年，我台和川台、央视紧密联系，并积极、有</w:t>
      </w:r>
      <w:r>
        <w:rPr>
          <w:rFonts w:hint="eastAsia" w:eastAsia="仿宋_GB2312" w:cs="Times New Roman"/>
          <w:color w:val="000000"/>
          <w:kern w:val="0"/>
          <w:sz w:val="32"/>
          <w:szCs w:val="32"/>
          <w:lang w:eastAsia="zh-CN"/>
        </w:rPr>
        <w:t>针对性地向</w:t>
      </w:r>
      <w:r>
        <w:rPr>
          <w:rFonts w:hint="default" w:ascii="Times New Roman" w:hAnsi="Times New Roman" w:eastAsia="仿宋_GB2312" w:cs="Times New Roman"/>
          <w:color w:val="000000"/>
          <w:kern w:val="0"/>
          <w:sz w:val="32"/>
          <w:szCs w:val="32"/>
        </w:rPr>
        <w:t>其提供稿件，对外宣传攀枝花经济社会方方面面，更好的树立攀枝花的形象，攀财资教〔2020〕75号文下达15万元全部用于外宣平台运行；我单位第三批人才科技学术带头人是广播栏目885总监梁燕，带领栏目组人员把栏目做得有声有色，在同级广播栏目中享有较好的声誉，攀财资社〔2020〕118号文下达的2020年第三批人才专项经费0.36万元，已全额发放在位。</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2020年，上川台、央视的电视新闻稿件总计285条，其中，央视共48条，有3条在《新闻联播》栏目播出，川台共247条，《四川新闻》栏目124条，《今日视点》栏目59条。与此同时，上川广新闻联播和早新闻336条，上央广12条，其中上中国之声《全国新闻联播》和《新闻和报纸摘要》节目4条次。2020年，通过《攀枝花：经济复苏 快步进入正轨》《（抓项目 促投资）攀枝花：用好世界级资源 打造世界级产业链》《（决战决胜脱贫攻坚 面孔）李兴发：扶贫路上勇担当》《新闻特写：疫情之后 我们长大了》等众多新闻节目的对外宣传，</w:t>
      </w:r>
      <w:r>
        <w:rPr>
          <w:rFonts w:hint="eastAsia" w:eastAsia="仿宋_GB2312" w:cs="Times New Roman"/>
          <w:color w:val="000000"/>
          <w:kern w:val="0"/>
          <w:sz w:val="32"/>
          <w:szCs w:val="32"/>
          <w:lang w:eastAsia="zh-CN"/>
        </w:rPr>
        <w:t>很好地反映</w:t>
      </w:r>
      <w:r>
        <w:rPr>
          <w:rFonts w:hint="default" w:ascii="Times New Roman" w:hAnsi="Times New Roman" w:eastAsia="仿宋_GB2312" w:cs="Times New Roman"/>
          <w:color w:val="000000"/>
          <w:kern w:val="0"/>
          <w:sz w:val="32"/>
          <w:szCs w:val="32"/>
        </w:rPr>
        <w:t>了攀枝花在2020年疫情影响下，如何快速复苏，以及复苏成果，通过一系列新闻节目，也</w:t>
      </w:r>
      <w:r>
        <w:rPr>
          <w:rFonts w:hint="eastAsia" w:eastAsia="仿宋_GB2312" w:cs="Times New Roman"/>
          <w:color w:val="000000"/>
          <w:kern w:val="0"/>
          <w:sz w:val="32"/>
          <w:szCs w:val="32"/>
          <w:lang w:eastAsia="zh-CN"/>
        </w:rPr>
        <w:t>很好地宣传</w:t>
      </w:r>
      <w:r>
        <w:rPr>
          <w:rFonts w:hint="default" w:ascii="Times New Roman" w:hAnsi="Times New Roman" w:eastAsia="仿宋_GB2312" w:cs="Times New Roman"/>
          <w:color w:val="000000"/>
          <w:kern w:val="0"/>
          <w:sz w:val="32"/>
          <w:szCs w:val="32"/>
        </w:rPr>
        <w:t>了攀枝花工业、脱贫、生态、民生等方方面面的成就，让“英雄攀枝花 阳光康养地”的美好形象深入更多人心中。</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（八）科技创新大会相关经费5万元支出绩效报告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2020年5月，攀枝花市隆重召开攀枝花开发建设55周年科技创新大会，表彰为全市科技创新和经济社会发展</w:t>
      </w:r>
      <w:r>
        <w:rPr>
          <w:rFonts w:hint="eastAsia" w:eastAsia="仿宋_GB2312" w:cs="Times New Roman"/>
          <w:color w:val="000000"/>
          <w:kern w:val="0"/>
          <w:sz w:val="32"/>
          <w:szCs w:val="32"/>
          <w:lang w:eastAsia="zh-CN"/>
        </w:rPr>
        <w:t>作出</w:t>
      </w:r>
      <w:r>
        <w:rPr>
          <w:rFonts w:hint="default" w:ascii="Times New Roman" w:hAnsi="Times New Roman" w:eastAsia="仿宋_GB2312" w:cs="Times New Roman"/>
          <w:color w:val="000000"/>
          <w:kern w:val="0"/>
          <w:sz w:val="32"/>
          <w:szCs w:val="32"/>
        </w:rPr>
        <w:t>突出贡献的科技工作者。攀枝花市科协技术协会申请政府专项资金委托攀枝花市广播电视台拍摄制作电视专题片《英雄》（原名《功勋》），攀财资教〔2020〕53号文下达科技创新大会宣传经费5万元，用于制作宣传攀枝花开发钒钛磁铁矿的电视专题片《英雄》。</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eastAsia"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项目实施相关情况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电视专题片《英雄》，呈现的是攀枝花创业初期那段激情燃烧的峥嵘岁月，试验组“108将”在近三年的时间里，辗转三地，先后进行了1200多次试验，取得了3万多个数据，突破了国内外百年来未曾解决的高炉冶炼高钛型钒钛磁铁矿技术难关，创造了世界冶金史上的奇迹，为攀枝花钢铁基地建设确定了一套独树一帜的大型高炉冶炼高钛型钒钛磁铁矿的工艺流程及有关技术线路，为攀钢建设和攀枝花丰富的钒钛磁铁矿综合利用奠定了基础。</w:t>
      </w:r>
    </w:p>
    <w:p>
      <w:pPr>
        <w:spacing w:line="560" w:lineRule="exact"/>
        <w:ind w:firstLine="643" w:firstLineChars="200"/>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
          <w:color w:val="000000"/>
          <w:kern w:val="0"/>
          <w:sz w:val="32"/>
          <w:szCs w:val="32"/>
        </w:rPr>
        <w:t>九、2130599--其他扶贫支出  精准扶贫专题片、微电影拍摄制作经费45万元支出绩效自评报告</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eastAsia" w:eastAsia="仿宋_GB2312" w:cs="Times New Roman"/>
          <w:color w:val="000000"/>
          <w:kern w:val="0"/>
          <w:sz w:val="32"/>
          <w:szCs w:val="32"/>
          <w:lang w:eastAsia="zh-CN"/>
        </w:rPr>
        <w:t>（一）</w:t>
      </w:r>
      <w:r>
        <w:rPr>
          <w:rFonts w:hint="default" w:ascii="Times New Roman" w:hAnsi="Times New Roman" w:eastAsia="仿宋_GB2312" w:cs="Times New Roman"/>
          <w:color w:val="000000"/>
          <w:kern w:val="0"/>
          <w:sz w:val="32"/>
          <w:szCs w:val="32"/>
        </w:rPr>
        <w:t>项目基本情况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本项目已历时三年，今年为项目的最后一年，实施精准扶贫，是扶贫开发方式的重大创新，也是全面建成小康社会的重点、难点和着力点。为深化推进全市脱贫</w:t>
      </w:r>
      <w:r>
        <w:rPr>
          <w:rFonts w:hint="eastAsia" w:eastAsia="仿宋_GB2312" w:cs="Times New Roman"/>
          <w:color w:val="000000"/>
          <w:kern w:val="0"/>
          <w:sz w:val="32"/>
          <w:szCs w:val="32"/>
          <w:lang w:eastAsia="zh-CN"/>
        </w:rPr>
        <w:t>攻坚</w:t>
      </w:r>
      <w:r>
        <w:rPr>
          <w:rFonts w:hint="default" w:ascii="Times New Roman" w:hAnsi="Times New Roman" w:eastAsia="仿宋_GB2312" w:cs="Times New Roman"/>
          <w:color w:val="000000"/>
          <w:kern w:val="0"/>
          <w:sz w:val="32"/>
          <w:szCs w:val="32"/>
        </w:rPr>
        <w:t>工作，我单位承担了精准扶贫专题片、微电影拍摄制作及发布工作。</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eastAsia" w:eastAsia="仿宋_GB2312" w:cs="Times New Roman"/>
          <w:color w:val="000000"/>
          <w:kern w:val="0"/>
          <w:sz w:val="32"/>
          <w:szCs w:val="32"/>
          <w:lang w:eastAsia="zh-CN"/>
        </w:rPr>
        <w:t>（二）</w:t>
      </w:r>
      <w:r>
        <w:rPr>
          <w:rFonts w:hint="default" w:ascii="Times New Roman" w:hAnsi="Times New Roman" w:eastAsia="仿宋_GB2312" w:cs="Times New Roman"/>
          <w:color w:val="000000"/>
          <w:kern w:val="0"/>
          <w:sz w:val="32"/>
          <w:szCs w:val="32"/>
        </w:rPr>
        <w:t>项目实施的相关情况</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2020年拍摄制作了专题片：《扶贫战场  英雄花开——攀枝花市脱贫攻坚精准扶贫工作巡礼》、公益广告：《一只手》《李安先精准扶贫》、纪录片：《他乡故乡家乡》、微电影：《福田喜事》《母亲树下》。2020年度四川省短视频创作传播活动中获评优秀作品；“2020年精彩短视频”并在全省展播；纪录片荣获2020年四川省广播电视优秀纪录片奖。</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2020年财政下达了专项宣传经费45万元，全部用于扶贫公益广告、专题片、微电影制作和发布等，由于我台属地方主流媒体，肩负一定的社会责任，政治舆论导向是我们的职责。所以，扶贫系列项目，虽然是有扶贫专项资金支持，投入的人力物力较大，取得了良好的社会宣传效益，为全市扶贫</w:t>
      </w:r>
      <w:r>
        <w:rPr>
          <w:rFonts w:hint="eastAsia" w:eastAsia="仿宋_GB2312" w:cs="Times New Roman"/>
          <w:color w:val="000000"/>
          <w:kern w:val="0"/>
          <w:sz w:val="32"/>
          <w:szCs w:val="32"/>
          <w:lang w:eastAsia="zh-CN"/>
        </w:rPr>
        <w:t>攻坚作出</w:t>
      </w:r>
      <w:r>
        <w:rPr>
          <w:rFonts w:hint="default" w:ascii="Times New Roman" w:hAnsi="Times New Roman" w:eastAsia="仿宋_GB2312" w:cs="Times New Roman"/>
          <w:color w:val="000000"/>
          <w:kern w:val="0"/>
          <w:sz w:val="32"/>
          <w:szCs w:val="32"/>
        </w:rPr>
        <w:t>了贡献。</w:t>
      </w:r>
    </w:p>
    <w:p>
      <w:pPr>
        <w:spacing w:line="560" w:lineRule="exact"/>
        <w:ind w:firstLine="640" w:firstLineChars="200"/>
        <w:rPr>
          <w:rFonts w:hint="default" w:ascii="Times New Roman" w:hAnsi="Times New Roman" w:eastAsia="仿宋_GB2312" w:cs="Times New Roman"/>
          <w:color w:val="000000"/>
          <w:kern w:val="0"/>
          <w:sz w:val="32"/>
          <w:szCs w:val="32"/>
        </w:rPr>
      </w:pPr>
    </w:p>
    <w:p>
      <w:pPr>
        <w:spacing w:line="580" w:lineRule="exact"/>
        <w:ind w:firstLine="640"/>
        <w:rPr>
          <w:rFonts w:hint="default" w:ascii="Times New Roman" w:hAnsi="Times New Roman" w:eastAsia="仿宋_GB2312" w:cs="Times New Roman"/>
          <w:sz w:val="32"/>
          <w:szCs w:val="32"/>
        </w:rPr>
      </w:pPr>
    </w:p>
    <w:p>
      <w:pPr>
        <w:widowControl/>
        <w:jc w:val="left"/>
        <w:rPr>
          <w:rStyle w:val="17"/>
          <w:rFonts w:hint="default" w:ascii="Times New Roman" w:hAnsi="Times New Roman" w:eastAsia="黑体" w:cs="Times New Roman"/>
          <w:b w:val="0"/>
        </w:rPr>
      </w:pPr>
    </w:p>
    <w:p>
      <w:pPr>
        <w:widowControl/>
        <w:jc w:val="left"/>
        <w:rPr>
          <w:rStyle w:val="17"/>
          <w:rFonts w:hint="default" w:ascii="Times New Roman" w:hAnsi="Times New Roman" w:eastAsia="黑体" w:cs="Times New Roman"/>
          <w:b w:val="0"/>
        </w:rPr>
      </w:pPr>
      <w:r>
        <w:rPr>
          <w:rStyle w:val="17"/>
          <w:rFonts w:hint="default" w:ascii="Times New Roman" w:hAnsi="Times New Roman" w:eastAsia="黑体" w:cs="Times New Roman"/>
          <w:b w:val="0"/>
        </w:rPr>
        <w:br w:type="page"/>
      </w:r>
    </w:p>
    <w:p>
      <w:pPr>
        <w:spacing w:line="600" w:lineRule="exact"/>
        <w:jc w:val="center"/>
        <w:outlineLvl w:val="0"/>
        <w:rPr>
          <w:rFonts w:hint="default" w:ascii="Times New Roman" w:hAnsi="Times New Roman" w:eastAsia="黑体" w:cs="Times New Roman"/>
          <w:bCs/>
          <w:kern w:val="44"/>
          <w:sz w:val="44"/>
          <w:szCs w:val="44"/>
        </w:rPr>
      </w:pPr>
      <w:bookmarkStart w:id="103" w:name="_Toc85037140"/>
      <w:bookmarkStart w:id="104" w:name="_Toc15396618"/>
      <w:bookmarkStart w:id="105" w:name="_Toc85036718"/>
      <w:r>
        <w:rPr>
          <w:rFonts w:hint="default" w:ascii="Times New Roman" w:hAnsi="Times New Roman" w:eastAsia="黑体" w:cs="Times New Roman"/>
          <w:color w:val="000000"/>
          <w:sz w:val="44"/>
          <w:szCs w:val="44"/>
        </w:rPr>
        <w:t>第</w:t>
      </w:r>
      <w:r>
        <w:rPr>
          <w:rStyle w:val="17"/>
          <w:rFonts w:hint="default" w:ascii="Times New Roman" w:hAnsi="Times New Roman" w:eastAsia="黑体" w:cs="Times New Roman"/>
          <w:b w:val="0"/>
        </w:rPr>
        <w:t>五部分附表</w:t>
      </w:r>
      <w:bookmarkEnd w:id="99"/>
      <w:bookmarkEnd w:id="103"/>
      <w:bookmarkEnd w:id="104"/>
      <w:bookmarkEnd w:id="105"/>
    </w:p>
    <w:p>
      <w:pPr>
        <w:pStyle w:val="3"/>
        <w:rPr>
          <w:rFonts w:hint="default" w:ascii="Times New Roman" w:hAnsi="Times New Roman" w:eastAsia="仿宋" w:cs="Times New Roman"/>
          <w:color w:val="000000"/>
        </w:rPr>
      </w:pPr>
      <w:bookmarkStart w:id="106" w:name="_Toc15396619"/>
      <w:bookmarkStart w:id="107" w:name="_Toc85036719"/>
      <w:bookmarkStart w:id="108" w:name="_Toc85037141"/>
      <w:r>
        <w:rPr>
          <w:rFonts w:hint="default" w:ascii="Times New Roman" w:hAnsi="Times New Roman" w:eastAsia="仿宋" w:cs="Times New Roman"/>
          <w:b w:val="0"/>
          <w:color w:val="000000"/>
        </w:rPr>
        <w:t>一、收</w:t>
      </w:r>
      <w:r>
        <w:rPr>
          <w:rStyle w:val="18"/>
          <w:rFonts w:hint="default" w:ascii="Times New Roman" w:hAnsi="Times New Roman" w:eastAsia="仿宋" w:cs="Times New Roman"/>
          <w:b w:val="0"/>
          <w:bCs w:val="0"/>
        </w:rPr>
        <w:t>入支出决算总表</w:t>
      </w:r>
      <w:bookmarkEnd w:id="106"/>
      <w:bookmarkEnd w:id="107"/>
      <w:bookmarkEnd w:id="108"/>
    </w:p>
    <w:p>
      <w:pPr>
        <w:pStyle w:val="3"/>
        <w:rPr>
          <w:rFonts w:hint="default" w:ascii="Times New Roman" w:hAnsi="Times New Roman" w:eastAsia="仿宋" w:cs="Times New Roman"/>
          <w:color w:val="000000"/>
        </w:rPr>
      </w:pPr>
      <w:bookmarkStart w:id="109" w:name="_Toc85036720"/>
      <w:bookmarkStart w:id="110" w:name="_Toc15396620"/>
      <w:bookmarkStart w:id="111" w:name="_Toc85037142"/>
      <w:r>
        <w:rPr>
          <w:rFonts w:hint="default" w:ascii="Times New Roman" w:hAnsi="Times New Roman" w:eastAsia="仿宋" w:cs="Times New Roman"/>
          <w:b w:val="0"/>
          <w:color w:val="000000"/>
        </w:rPr>
        <w:t>二、收</w:t>
      </w:r>
      <w:r>
        <w:rPr>
          <w:rStyle w:val="18"/>
          <w:rFonts w:hint="default" w:ascii="Times New Roman" w:hAnsi="Times New Roman" w:eastAsia="仿宋" w:cs="Times New Roman"/>
          <w:b w:val="0"/>
          <w:bCs w:val="0"/>
        </w:rPr>
        <w:t>入决算表</w:t>
      </w:r>
      <w:bookmarkEnd w:id="109"/>
      <w:bookmarkEnd w:id="110"/>
      <w:bookmarkEnd w:id="111"/>
    </w:p>
    <w:p>
      <w:pPr>
        <w:pStyle w:val="3"/>
        <w:rPr>
          <w:rFonts w:hint="default" w:ascii="Times New Roman" w:hAnsi="Times New Roman" w:eastAsia="仿宋" w:cs="Times New Roman"/>
          <w:color w:val="000000"/>
        </w:rPr>
      </w:pPr>
      <w:bookmarkStart w:id="112" w:name="_Toc85036721"/>
      <w:bookmarkStart w:id="113" w:name="_Toc85037143"/>
      <w:bookmarkStart w:id="114" w:name="_Toc15396621"/>
      <w:r>
        <w:rPr>
          <w:rStyle w:val="18"/>
          <w:rFonts w:hint="default" w:ascii="Times New Roman" w:hAnsi="Times New Roman" w:eastAsia="仿宋" w:cs="Times New Roman"/>
          <w:b w:val="0"/>
          <w:bCs w:val="0"/>
        </w:rPr>
        <w:t>三、</w:t>
      </w:r>
      <w:r>
        <w:rPr>
          <w:rFonts w:hint="default" w:ascii="Times New Roman" w:hAnsi="Times New Roman" w:eastAsia="仿宋" w:cs="Times New Roman"/>
          <w:b w:val="0"/>
          <w:color w:val="000000"/>
        </w:rPr>
        <w:t>支</w:t>
      </w:r>
      <w:r>
        <w:rPr>
          <w:rStyle w:val="18"/>
          <w:rFonts w:hint="default" w:ascii="Times New Roman" w:hAnsi="Times New Roman" w:eastAsia="仿宋" w:cs="Times New Roman"/>
          <w:b w:val="0"/>
          <w:bCs w:val="0"/>
        </w:rPr>
        <w:t>出决算表</w:t>
      </w:r>
      <w:bookmarkEnd w:id="112"/>
      <w:bookmarkEnd w:id="113"/>
      <w:bookmarkEnd w:id="114"/>
    </w:p>
    <w:p>
      <w:pPr>
        <w:pStyle w:val="3"/>
        <w:rPr>
          <w:rFonts w:hint="default" w:ascii="Times New Roman" w:hAnsi="Times New Roman" w:eastAsia="仿宋" w:cs="Times New Roman"/>
          <w:b w:val="0"/>
          <w:color w:val="000000"/>
        </w:rPr>
      </w:pPr>
      <w:bookmarkStart w:id="115" w:name="_Toc85036722"/>
      <w:bookmarkStart w:id="116" w:name="_Toc15396622"/>
      <w:bookmarkStart w:id="117" w:name="_Toc85037144"/>
      <w:r>
        <w:rPr>
          <w:rStyle w:val="18"/>
          <w:rFonts w:hint="default" w:ascii="Times New Roman" w:hAnsi="Times New Roman" w:eastAsia="仿宋" w:cs="Times New Roman"/>
          <w:b w:val="0"/>
          <w:bCs w:val="0"/>
        </w:rPr>
        <w:t>四、</w:t>
      </w:r>
      <w:r>
        <w:rPr>
          <w:rFonts w:hint="default" w:ascii="Times New Roman" w:hAnsi="Times New Roman" w:eastAsia="仿宋" w:cs="Times New Roman"/>
          <w:b w:val="0"/>
          <w:color w:val="000000"/>
        </w:rPr>
        <w:t>财</w:t>
      </w:r>
      <w:r>
        <w:rPr>
          <w:rStyle w:val="18"/>
          <w:rFonts w:hint="default" w:ascii="Times New Roman" w:hAnsi="Times New Roman" w:eastAsia="仿宋" w:cs="Times New Roman"/>
          <w:b w:val="0"/>
          <w:bCs w:val="0"/>
        </w:rPr>
        <w:t>政拨款收入支出决算总表</w:t>
      </w:r>
      <w:bookmarkEnd w:id="115"/>
      <w:bookmarkEnd w:id="116"/>
      <w:bookmarkEnd w:id="117"/>
    </w:p>
    <w:p>
      <w:pPr>
        <w:pStyle w:val="3"/>
        <w:rPr>
          <w:rStyle w:val="18"/>
          <w:rFonts w:hint="default" w:ascii="Times New Roman" w:hAnsi="Times New Roman" w:eastAsia="仿宋" w:cs="Times New Roman"/>
          <w:b w:val="0"/>
          <w:bCs w:val="0"/>
        </w:rPr>
      </w:pPr>
      <w:bookmarkStart w:id="118" w:name="_Toc15396623"/>
      <w:bookmarkStart w:id="119" w:name="_Toc85036723"/>
      <w:bookmarkStart w:id="120" w:name="_Toc85037145"/>
      <w:r>
        <w:rPr>
          <w:rStyle w:val="18"/>
          <w:rFonts w:hint="default" w:ascii="Times New Roman" w:hAnsi="Times New Roman" w:eastAsia="仿宋" w:cs="Times New Roman"/>
          <w:b w:val="0"/>
          <w:bCs w:val="0"/>
        </w:rPr>
        <w:t>五、</w:t>
      </w:r>
      <w:r>
        <w:rPr>
          <w:rFonts w:hint="default" w:ascii="Times New Roman" w:hAnsi="Times New Roman" w:eastAsia="仿宋" w:cs="Times New Roman"/>
          <w:b w:val="0"/>
          <w:color w:val="000000"/>
        </w:rPr>
        <w:t>财</w:t>
      </w:r>
      <w:r>
        <w:rPr>
          <w:rStyle w:val="18"/>
          <w:rFonts w:hint="default" w:ascii="Times New Roman" w:hAnsi="Times New Roman" w:eastAsia="仿宋" w:cs="Times New Roman"/>
          <w:b w:val="0"/>
          <w:bCs w:val="0"/>
        </w:rPr>
        <w:t>政拨款支出决算明细表</w:t>
      </w:r>
      <w:bookmarkEnd w:id="118"/>
      <w:bookmarkEnd w:id="119"/>
      <w:bookmarkEnd w:id="120"/>
      <w:bookmarkStart w:id="121" w:name="_Toc15396624"/>
    </w:p>
    <w:p>
      <w:pPr>
        <w:pStyle w:val="3"/>
        <w:rPr>
          <w:rFonts w:hint="default" w:ascii="Times New Roman" w:hAnsi="Times New Roman" w:eastAsia="仿宋" w:cs="Times New Roman"/>
          <w:color w:val="000000"/>
        </w:rPr>
      </w:pPr>
      <w:bookmarkStart w:id="122" w:name="_Toc85036724"/>
      <w:bookmarkStart w:id="123" w:name="_Toc85037146"/>
      <w:r>
        <w:rPr>
          <w:rStyle w:val="18"/>
          <w:rFonts w:hint="default" w:ascii="Times New Roman" w:hAnsi="Times New Roman" w:eastAsia="仿宋" w:cs="Times New Roman"/>
          <w:b w:val="0"/>
          <w:bCs w:val="0"/>
        </w:rPr>
        <w:t>六、</w:t>
      </w:r>
      <w:r>
        <w:rPr>
          <w:rFonts w:hint="default" w:ascii="Times New Roman" w:hAnsi="Times New Roman" w:eastAsia="仿宋" w:cs="Times New Roman"/>
          <w:b w:val="0"/>
          <w:color w:val="000000"/>
        </w:rPr>
        <w:t>一</w:t>
      </w:r>
      <w:r>
        <w:rPr>
          <w:rStyle w:val="18"/>
          <w:rFonts w:hint="default" w:ascii="Times New Roman" w:hAnsi="Times New Roman" w:eastAsia="仿宋" w:cs="Times New Roman"/>
          <w:b w:val="0"/>
          <w:bCs w:val="0"/>
        </w:rPr>
        <w:t>般公共预算财政拨款支出决算表</w:t>
      </w:r>
      <w:bookmarkEnd w:id="121"/>
      <w:bookmarkEnd w:id="122"/>
      <w:bookmarkEnd w:id="123"/>
    </w:p>
    <w:p>
      <w:pPr>
        <w:pStyle w:val="3"/>
        <w:rPr>
          <w:rFonts w:hint="default" w:ascii="Times New Roman" w:hAnsi="Times New Roman" w:eastAsia="仿宋" w:cs="Times New Roman"/>
          <w:color w:val="000000"/>
        </w:rPr>
      </w:pPr>
      <w:bookmarkStart w:id="124" w:name="_Toc15396625"/>
      <w:bookmarkStart w:id="125" w:name="_Toc85037147"/>
      <w:bookmarkStart w:id="126" w:name="_Toc85036725"/>
      <w:r>
        <w:rPr>
          <w:rStyle w:val="18"/>
          <w:rFonts w:hint="default" w:ascii="Times New Roman" w:hAnsi="Times New Roman" w:eastAsia="仿宋" w:cs="Times New Roman"/>
          <w:b w:val="0"/>
          <w:bCs w:val="0"/>
        </w:rPr>
        <w:t>七、</w:t>
      </w:r>
      <w:r>
        <w:rPr>
          <w:rFonts w:hint="default" w:ascii="Times New Roman" w:hAnsi="Times New Roman" w:eastAsia="仿宋" w:cs="Times New Roman"/>
          <w:b w:val="0"/>
          <w:color w:val="000000"/>
        </w:rPr>
        <w:t>一</w:t>
      </w:r>
      <w:r>
        <w:rPr>
          <w:rStyle w:val="18"/>
          <w:rFonts w:hint="default" w:ascii="Times New Roman" w:hAnsi="Times New Roman" w:eastAsia="仿宋" w:cs="Times New Roman"/>
          <w:b w:val="0"/>
          <w:bCs w:val="0"/>
        </w:rPr>
        <w:t>般公共预算财政拨款支出决算明细表</w:t>
      </w:r>
      <w:bookmarkEnd w:id="124"/>
      <w:bookmarkEnd w:id="125"/>
      <w:bookmarkEnd w:id="126"/>
    </w:p>
    <w:p>
      <w:pPr>
        <w:pStyle w:val="3"/>
        <w:rPr>
          <w:rFonts w:hint="default" w:ascii="Times New Roman" w:hAnsi="Times New Roman" w:eastAsia="仿宋" w:cs="Times New Roman"/>
          <w:color w:val="000000"/>
        </w:rPr>
      </w:pPr>
      <w:bookmarkStart w:id="127" w:name="_Toc15396626"/>
      <w:bookmarkStart w:id="128" w:name="_Toc85037148"/>
      <w:bookmarkStart w:id="129" w:name="_Toc85036726"/>
      <w:r>
        <w:rPr>
          <w:rStyle w:val="18"/>
          <w:rFonts w:hint="default" w:ascii="Times New Roman" w:hAnsi="Times New Roman" w:eastAsia="仿宋" w:cs="Times New Roman"/>
          <w:b w:val="0"/>
          <w:bCs w:val="0"/>
        </w:rPr>
        <w:t>八、</w:t>
      </w:r>
      <w:r>
        <w:rPr>
          <w:rFonts w:hint="default" w:ascii="Times New Roman" w:hAnsi="Times New Roman" w:eastAsia="仿宋" w:cs="Times New Roman"/>
          <w:b w:val="0"/>
          <w:color w:val="000000"/>
        </w:rPr>
        <w:t>一</w:t>
      </w:r>
      <w:r>
        <w:rPr>
          <w:rStyle w:val="18"/>
          <w:rFonts w:hint="default" w:ascii="Times New Roman" w:hAnsi="Times New Roman" w:eastAsia="仿宋" w:cs="Times New Roman"/>
          <w:b w:val="0"/>
          <w:bCs w:val="0"/>
        </w:rPr>
        <w:t>般公共预算财政拨款基本支出决算表</w:t>
      </w:r>
      <w:bookmarkEnd w:id="127"/>
      <w:bookmarkEnd w:id="128"/>
      <w:bookmarkEnd w:id="129"/>
    </w:p>
    <w:p>
      <w:pPr>
        <w:pStyle w:val="3"/>
        <w:rPr>
          <w:rFonts w:hint="default" w:ascii="Times New Roman" w:hAnsi="Times New Roman" w:eastAsia="仿宋" w:cs="Times New Roman"/>
          <w:color w:val="000000"/>
        </w:rPr>
      </w:pPr>
      <w:bookmarkStart w:id="130" w:name="_Toc85037149"/>
      <w:bookmarkStart w:id="131" w:name="_Toc15396627"/>
      <w:bookmarkStart w:id="132" w:name="_Toc85036727"/>
      <w:r>
        <w:rPr>
          <w:rStyle w:val="18"/>
          <w:rFonts w:hint="default" w:ascii="Times New Roman" w:hAnsi="Times New Roman" w:eastAsia="仿宋" w:cs="Times New Roman"/>
          <w:b w:val="0"/>
          <w:bCs w:val="0"/>
        </w:rPr>
        <w:t>九、</w:t>
      </w:r>
      <w:r>
        <w:rPr>
          <w:rFonts w:hint="default" w:ascii="Times New Roman" w:hAnsi="Times New Roman" w:eastAsia="仿宋" w:cs="Times New Roman"/>
          <w:b w:val="0"/>
          <w:color w:val="000000"/>
        </w:rPr>
        <w:t>一</w:t>
      </w:r>
      <w:r>
        <w:rPr>
          <w:rStyle w:val="18"/>
          <w:rFonts w:hint="default" w:ascii="Times New Roman" w:hAnsi="Times New Roman" w:eastAsia="仿宋" w:cs="Times New Roman"/>
          <w:b w:val="0"/>
          <w:bCs w:val="0"/>
        </w:rPr>
        <w:t>般公共预算财政拨款项目支出决算表</w:t>
      </w:r>
      <w:bookmarkEnd w:id="130"/>
      <w:bookmarkEnd w:id="131"/>
      <w:bookmarkEnd w:id="132"/>
    </w:p>
    <w:p>
      <w:pPr>
        <w:pStyle w:val="3"/>
        <w:rPr>
          <w:rFonts w:hint="default" w:ascii="Times New Roman" w:hAnsi="Times New Roman" w:eastAsia="仿宋" w:cs="Times New Roman"/>
          <w:color w:val="000000"/>
        </w:rPr>
      </w:pPr>
      <w:bookmarkStart w:id="133" w:name="_Toc85036728"/>
      <w:bookmarkStart w:id="134" w:name="_Toc15396628"/>
      <w:bookmarkStart w:id="135" w:name="_Toc85037150"/>
      <w:r>
        <w:rPr>
          <w:rStyle w:val="18"/>
          <w:rFonts w:hint="default" w:ascii="Times New Roman" w:hAnsi="Times New Roman" w:eastAsia="仿宋" w:cs="Times New Roman"/>
          <w:b w:val="0"/>
          <w:bCs w:val="0"/>
        </w:rPr>
        <w:t>十、</w:t>
      </w:r>
      <w:r>
        <w:rPr>
          <w:rFonts w:hint="default" w:ascii="Times New Roman" w:hAnsi="Times New Roman" w:eastAsia="仿宋" w:cs="Times New Roman"/>
          <w:b w:val="0"/>
          <w:color w:val="000000"/>
        </w:rPr>
        <w:t>一</w:t>
      </w:r>
      <w:r>
        <w:rPr>
          <w:rStyle w:val="18"/>
          <w:rFonts w:hint="default" w:ascii="Times New Roman" w:hAnsi="Times New Roman" w:eastAsia="仿宋" w:cs="Times New Roman"/>
          <w:b w:val="0"/>
          <w:bCs w:val="0"/>
        </w:rPr>
        <w:t>般公共预算财政拨款“三公”经费支出决算表</w:t>
      </w:r>
      <w:bookmarkEnd w:id="133"/>
      <w:bookmarkEnd w:id="134"/>
      <w:bookmarkEnd w:id="135"/>
    </w:p>
    <w:p>
      <w:pPr>
        <w:pStyle w:val="3"/>
        <w:rPr>
          <w:rFonts w:hint="default" w:ascii="Times New Roman" w:hAnsi="Times New Roman" w:eastAsia="仿宋" w:cs="Times New Roman"/>
          <w:color w:val="000000"/>
        </w:rPr>
      </w:pPr>
      <w:bookmarkStart w:id="136" w:name="_Toc15396629"/>
      <w:bookmarkStart w:id="137" w:name="_Toc85036729"/>
      <w:bookmarkStart w:id="138" w:name="_Toc85037151"/>
      <w:r>
        <w:rPr>
          <w:rStyle w:val="18"/>
          <w:rFonts w:hint="default" w:ascii="Times New Roman" w:hAnsi="Times New Roman" w:eastAsia="仿宋" w:cs="Times New Roman"/>
          <w:b w:val="0"/>
          <w:bCs w:val="0"/>
        </w:rPr>
        <w:t>十一、</w:t>
      </w:r>
      <w:r>
        <w:rPr>
          <w:rFonts w:hint="default" w:ascii="Times New Roman" w:hAnsi="Times New Roman" w:eastAsia="仿宋" w:cs="Times New Roman"/>
          <w:b w:val="0"/>
          <w:color w:val="000000"/>
        </w:rPr>
        <w:t>政</w:t>
      </w:r>
      <w:r>
        <w:rPr>
          <w:rStyle w:val="18"/>
          <w:rFonts w:hint="default" w:ascii="Times New Roman" w:hAnsi="Times New Roman" w:eastAsia="仿宋" w:cs="Times New Roman"/>
          <w:b w:val="0"/>
          <w:bCs w:val="0"/>
        </w:rPr>
        <w:t>府性基金预算财政拨款收入支出决算表</w:t>
      </w:r>
      <w:bookmarkEnd w:id="136"/>
      <w:bookmarkEnd w:id="137"/>
      <w:bookmarkEnd w:id="138"/>
    </w:p>
    <w:p>
      <w:pPr>
        <w:pStyle w:val="3"/>
        <w:rPr>
          <w:rFonts w:hint="default" w:ascii="Times New Roman" w:hAnsi="Times New Roman" w:eastAsia="仿宋" w:cs="Times New Roman"/>
          <w:color w:val="000000"/>
        </w:rPr>
      </w:pPr>
      <w:bookmarkStart w:id="139" w:name="_Toc15396630"/>
      <w:bookmarkStart w:id="140" w:name="_Toc85036730"/>
      <w:bookmarkStart w:id="141" w:name="_Toc85037152"/>
      <w:r>
        <w:rPr>
          <w:rStyle w:val="18"/>
          <w:rFonts w:hint="default" w:ascii="Times New Roman" w:hAnsi="Times New Roman" w:eastAsia="仿宋" w:cs="Times New Roman"/>
          <w:b w:val="0"/>
          <w:bCs w:val="0"/>
        </w:rPr>
        <w:t>十二、</w:t>
      </w:r>
      <w:r>
        <w:rPr>
          <w:rFonts w:hint="default" w:ascii="Times New Roman" w:hAnsi="Times New Roman" w:eastAsia="仿宋" w:cs="Times New Roman"/>
          <w:b w:val="0"/>
          <w:color w:val="000000"/>
        </w:rPr>
        <w:t>政</w:t>
      </w:r>
      <w:r>
        <w:rPr>
          <w:rStyle w:val="18"/>
          <w:rFonts w:hint="default" w:ascii="Times New Roman" w:hAnsi="Times New Roman" w:eastAsia="仿宋" w:cs="Times New Roman"/>
          <w:b w:val="0"/>
          <w:bCs w:val="0"/>
        </w:rPr>
        <w:t>府性基金预算财政拨款“三公”经费支出决算表</w:t>
      </w:r>
      <w:bookmarkEnd w:id="139"/>
      <w:r>
        <w:rPr>
          <w:rStyle w:val="18"/>
          <w:rFonts w:hint="default" w:ascii="Times New Roman" w:hAnsi="Times New Roman" w:eastAsia="仿宋" w:cs="Times New Roman"/>
          <w:b w:val="0"/>
          <w:bCs w:val="0"/>
        </w:rPr>
        <w:t>（此表无数据）</w:t>
      </w:r>
      <w:bookmarkEnd w:id="140"/>
      <w:bookmarkEnd w:id="141"/>
    </w:p>
    <w:p>
      <w:pPr>
        <w:pStyle w:val="3"/>
        <w:rPr>
          <w:rStyle w:val="18"/>
          <w:rFonts w:hint="default" w:ascii="Times New Roman" w:hAnsi="Times New Roman" w:eastAsia="仿宋" w:cs="Times New Roman"/>
          <w:b/>
          <w:bCs/>
          <w:color w:val="000000"/>
        </w:rPr>
      </w:pPr>
      <w:bookmarkStart w:id="142" w:name="_Toc15396631"/>
      <w:bookmarkStart w:id="143" w:name="_Toc85036731"/>
      <w:bookmarkStart w:id="144" w:name="_Toc85037153"/>
      <w:r>
        <w:rPr>
          <w:rStyle w:val="18"/>
          <w:rFonts w:hint="default" w:ascii="Times New Roman" w:hAnsi="Times New Roman" w:eastAsia="仿宋" w:cs="Times New Roman"/>
          <w:b w:val="0"/>
          <w:bCs w:val="0"/>
        </w:rPr>
        <w:t>十三、</w:t>
      </w:r>
      <w:r>
        <w:rPr>
          <w:rFonts w:hint="default" w:ascii="Times New Roman" w:hAnsi="Times New Roman" w:eastAsia="仿宋" w:cs="Times New Roman"/>
          <w:b w:val="0"/>
          <w:color w:val="000000"/>
        </w:rPr>
        <w:t>国</w:t>
      </w:r>
      <w:r>
        <w:rPr>
          <w:rStyle w:val="18"/>
          <w:rFonts w:hint="default" w:ascii="Times New Roman" w:hAnsi="Times New Roman" w:eastAsia="仿宋" w:cs="Times New Roman"/>
          <w:b w:val="0"/>
          <w:bCs w:val="0"/>
        </w:rPr>
        <w:t>有资本经营预算财政拨款支出决算表</w:t>
      </w:r>
      <w:bookmarkEnd w:id="142"/>
      <w:r>
        <w:rPr>
          <w:rStyle w:val="18"/>
          <w:rFonts w:hint="default" w:ascii="Times New Roman" w:hAnsi="Times New Roman" w:eastAsia="仿宋" w:cs="Times New Roman"/>
          <w:b w:val="0"/>
          <w:bCs w:val="0"/>
        </w:rPr>
        <w:t>（此表无数据）</w:t>
      </w:r>
      <w:bookmarkEnd w:id="143"/>
      <w:bookmarkEnd w:id="144"/>
    </w:p>
    <w:p>
      <w:pPr>
        <w:pStyle w:val="3"/>
        <w:rPr>
          <w:rStyle w:val="18"/>
          <w:rFonts w:hint="default" w:ascii="Times New Roman" w:hAnsi="Times New Roman" w:eastAsia="仿宋" w:cs="Times New Roman"/>
          <w:b/>
          <w:bCs/>
          <w:color w:val="000000"/>
        </w:rPr>
      </w:pPr>
      <w:bookmarkStart w:id="145" w:name="_Toc85036732"/>
      <w:bookmarkStart w:id="146" w:name="_Toc85037154"/>
      <w:r>
        <w:rPr>
          <w:rStyle w:val="18"/>
          <w:rFonts w:hint="default" w:ascii="Times New Roman" w:hAnsi="Times New Roman" w:eastAsia="仿宋" w:cs="Times New Roman"/>
          <w:b w:val="0"/>
          <w:bCs w:val="0"/>
        </w:rPr>
        <w:t>十四、国有资本经营预算财政拨款支出决算表（此表无数据）</w:t>
      </w:r>
      <w:bookmarkEnd w:id="145"/>
      <w:bookmarkEnd w:id="146"/>
    </w:p>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58</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9482763">
    <w:nsid w:val="1272550B"/>
    <w:multiLevelType w:val="multilevel"/>
    <w:tmpl w:val="1272550B"/>
    <w:lvl w:ilvl="0" w:tentative="1">
      <w:start w:val="1"/>
      <w:numFmt w:val="japaneseCounting"/>
      <w:lvlText w:val="%1、"/>
      <w:lvlJc w:val="left"/>
      <w:pPr>
        <w:ind w:left="1360" w:hanging="720"/>
      </w:pPr>
      <w:rPr>
        <w:rFonts w:hint="default" w:cs="Times New Roman"/>
        <w:b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3479514348">
    <w:nsid w:val="CF652CEC"/>
    <w:multiLevelType w:val="singleLevel"/>
    <w:tmpl w:val="CF652CEC"/>
    <w:lvl w:ilvl="0" w:tentative="1">
      <w:start w:val="9"/>
      <w:numFmt w:val="chineseCounting"/>
      <w:suff w:val="nothing"/>
      <w:lvlText w:val="%1、"/>
      <w:lvlJc w:val="left"/>
      <w:rPr>
        <w:rFonts w:hint="eastAsia" w:cs="Times New Roman"/>
      </w:rPr>
    </w:lvl>
  </w:abstractNum>
  <w:abstractNum w:abstractNumId="3808035965">
    <w:nsid w:val="E2FA047D"/>
    <w:multiLevelType w:val="singleLevel"/>
    <w:tmpl w:val="E2FA047D"/>
    <w:lvl w:ilvl="0" w:tentative="1">
      <w:start w:val="3"/>
      <w:numFmt w:val="chineseCounting"/>
      <w:suff w:val="space"/>
      <w:lvlText w:val="第%1部分"/>
      <w:lvlJc w:val="left"/>
      <w:rPr>
        <w:rFonts w:hint="eastAsia" w:cs="Times New Roman"/>
      </w:rPr>
    </w:lvl>
  </w:abstractNum>
  <w:num w:numId="1">
    <w:abstractNumId w:val="309482763"/>
  </w:num>
  <w:num w:numId="2">
    <w:abstractNumId w:val="3479514348"/>
  </w:num>
  <w:num w:numId="3">
    <w:abstractNumId w:val="38080359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0543D"/>
    <w:rsid w:val="0001017D"/>
    <w:rsid w:val="00022117"/>
    <w:rsid w:val="000222C6"/>
    <w:rsid w:val="00023F7A"/>
    <w:rsid w:val="0002549F"/>
    <w:rsid w:val="000274CC"/>
    <w:rsid w:val="00027F15"/>
    <w:rsid w:val="0003449F"/>
    <w:rsid w:val="000468DB"/>
    <w:rsid w:val="00055618"/>
    <w:rsid w:val="0006487A"/>
    <w:rsid w:val="00065F8F"/>
    <w:rsid w:val="00070A43"/>
    <w:rsid w:val="0007223C"/>
    <w:rsid w:val="000768F2"/>
    <w:rsid w:val="00084A37"/>
    <w:rsid w:val="0009184B"/>
    <w:rsid w:val="00094236"/>
    <w:rsid w:val="0009593C"/>
    <w:rsid w:val="00097322"/>
    <w:rsid w:val="000A6A92"/>
    <w:rsid w:val="000B047F"/>
    <w:rsid w:val="000B5923"/>
    <w:rsid w:val="000B5A25"/>
    <w:rsid w:val="000B5A48"/>
    <w:rsid w:val="000B6FF3"/>
    <w:rsid w:val="000C3467"/>
    <w:rsid w:val="000C3CA6"/>
    <w:rsid w:val="000C7294"/>
    <w:rsid w:val="000C72AA"/>
    <w:rsid w:val="000D1267"/>
    <w:rsid w:val="000D1D50"/>
    <w:rsid w:val="000D50B5"/>
    <w:rsid w:val="000D5782"/>
    <w:rsid w:val="000E4709"/>
    <w:rsid w:val="000E6613"/>
    <w:rsid w:val="000E7119"/>
    <w:rsid w:val="000F2389"/>
    <w:rsid w:val="000F3F4C"/>
    <w:rsid w:val="000F53B1"/>
    <w:rsid w:val="000F6722"/>
    <w:rsid w:val="00114E9B"/>
    <w:rsid w:val="00115301"/>
    <w:rsid w:val="00115A17"/>
    <w:rsid w:val="001319E1"/>
    <w:rsid w:val="00135FA8"/>
    <w:rsid w:val="00142216"/>
    <w:rsid w:val="00144D6A"/>
    <w:rsid w:val="0014729F"/>
    <w:rsid w:val="001479D0"/>
    <w:rsid w:val="00157BAB"/>
    <w:rsid w:val="00160427"/>
    <w:rsid w:val="001654D1"/>
    <w:rsid w:val="00174518"/>
    <w:rsid w:val="0018106D"/>
    <w:rsid w:val="001877A7"/>
    <w:rsid w:val="00191536"/>
    <w:rsid w:val="00196687"/>
    <w:rsid w:val="001A41E3"/>
    <w:rsid w:val="001B6D60"/>
    <w:rsid w:val="001C0962"/>
    <w:rsid w:val="001D3311"/>
    <w:rsid w:val="001D7531"/>
    <w:rsid w:val="001E737D"/>
    <w:rsid w:val="001F0592"/>
    <w:rsid w:val="001F7506"/>
    <w:rsid w:val="002006CD"/>
    <w:rsid w:val="00202B36"/>
    <w:rsid w:val="00204B7A"/>
    <w:rsid w:val="00204CDE"/>
    <w:rsid w:val="0021101A"/>
    <w:rsid w:val="00220536"/>
    <w:rsid w:val="00235629"/>
    <w:rsid w:val="00244B33"/>
    <w:rsid w:val="0025488D"/>
    <w:rsid w:val="00256262"/>
    <w:rsid w:val="00260C38"/>
    <w:rsid w:val="002616C0"/>
    <w:rsid w:val="00262F4D"/>
    <w:rsid w:val="00265372"/>
    <w:rsid w:val="002662AA"/>
    <w:rsid w:val="00267831"/>
    <w:rsid w:val="00280496"/>
    <w:rsid w:val="00294DC9"/>
    <w:rsid w:val="00294E58"/>
    <w:rsid w:val="00295495"/>
    <w:rsid w:val="002A31DE"/>
    <w:rsid w:val="002B0705"/>
    <w:rsid w:val="002B2613"/>
    <w:rsid w:val="002D6D05"/>
    <w:rsid w:val="002E7805"/>
    <w:rsid w:val="002F1818"/>
    <w:rsid w:val="002F567B"/>
    <w:rsid w:val="00310EFB"/>
    <w:rsid w:val="00320E50"/>
    <w:rsid w:val="003216A9"/>
    <w:rsid w:val="00321D5A"/>
    <w:rsid w:val="00335A74"/>
    <w:rsid w:val="00344C0C"/>
    <w:rsid w:val="0036561B"/>
    <w:rsid w:val="0037013F"/>
    <w:rsid w:val="00376694"/>
    <w:rsid w:val="00380C92"/>
    <w:rsid w:val="00385A1B"/>
    <w:rsid w:val="00390698"/>
    <w:rsid w:val="003A484F"/>
    <w:rsid w:val="003A4883"/>
    <w:rsid w:val="003B0BE0"/>
    <w:rsid w:val="003B0C1B"/>
    <w:rsid w:val="003B3D01"/>
    <w:rsid w:val="003B5560"/>
    <w:rsid w:val="003B688C"/>
    <w:rsid w:val="003C0148"/>
    <w:rsid w:val="003C0291"/>
    <w:rsid w:val="003C39AE"/>
    <w:rsid w:val="003C7B60"/>
    <w:rsid w:val="003D0C0F"/>
    <w:rsid w:val="003D1FB2"/>
    <w:rsid w:val="003D66DA"/>
    <w:rsid w:val="003E1310"/>
    <w:rsid w:val="003E6F55"/>
    <w:rsid w:val="003F5E4E"/>
    <w:rsid w:val="00406254"/>
    <w:rsid w:val="004223DE"/>
    <w:rsid w:val="00425E34"/>
    <w:rsid w:val="00434489"/>
    <w:rsid w:val="00434BFA"/>
    <w:rsid w:val="00437085"/>
    <w:rsid w:val="00443880"/>
    <w:rsid w:val="004464F4"/>
    <w:rsid w:val="0045284F"/>
    <w:rsid w:val="00466A6A"/>
    <w:rsid w:val="004675EF"/>
    <w:rsid w:val="00471401"/>
    <w:rsid w:val="00473341"/>
    <w:rsid w:val="00473F31"/>
    <w:rsid w:val="0048263A"/>
    <w:rsid w:val="00487E5D"/>
    <w:rsid w:val="004A711F"/>
    <w:rsid w:val="004B199D"/>
    <w:rsid w:val="004B36CB"/>
    <w:rsid w:val="004B4690"/>
    <w:rsid w:val="004B70C2"/>
    <w:rsid w:val="004C36F0"/>
    <w:rsid w:val="004E0A2D"/>
    <w:rsid w:val="004E206B"/>
    <w:rsid w:val="004E6DF7"/>
    <w:rsid w:val="004E743F"/>
    <w:rsid w:val="004F0FBD"/>
    <w:rsid w:val="004F475D"/>
    <w:rsid w:val="00505A47"/>
    <w:rsid w:val="00506FDB"/>
    <w:rsid w:val="0050722D"/>
    <w:rsid w:val="00507AC5"/>
    <w:rsid w:val="00512FDA"/>
    <w:rsid w:val="00514FCC"/>
    <w:rsid w:val="00520DA0"/>
    <w:rsid w:val="005246CE"/>
    <w:rsid w:val="005269D7"/>
    <w:rsid w:val="00544F30"/>
    <w:rsid w:val="0055666F"/>
    <w:rsid w:val="005664BB"/>
    <w:rsid w:val="00566FFA"/>
    <w:rsid w:val="0057481D"/>
    <w:rsid w:val="0058486E"/>
    <w:rsid w:val="00585B33"/>
    <w:rsid w:val="0059014D"/>
    <w:rsid w:val="00593461"/>
    <w:rsid w:val="005B5C64"/>
    <w:rsid w:val="005B66FD"/>
    <w:rsid w:val="005C474A"/>
    <w:rsid w:val="005C5337"/>
    <w:rsid w:val="005C6BD0"/>
    <w:rsid w:val="005D1116"/>
    <w:rsid w:val="005D1C8B"/>
    <w:rsid w:val="005D468D"/>
    <w:rsid w:val="005D5CED"/>
    <w:rsid w:val="005F1A4C"/>
    <w:rsid w:val="00605688"/>
    <w:rsid w:val="006070AF"/>
    <w:rsid w:val="00607E6C"/>
    <w:rsid w:val="006101B1"/>
    <w:rsid w:val="00614BA5"/>
    <w:rsid w:val="00614E44"/>
    <w:rsid w:val="00616DC7"/>
    <w:rsid w:val="0062270A"/>
    <w:rsid w:val="00622830"/>
    <w:rsid w:val="00623DA0"/>
    <w:rsid w:val="00630AEF"/>
    <w:rsid w:val="006325F8"/>
    <w:rsid w:val="00633463"/>
    <w:rsid w:val="00634C9A"/>
    <w:rsid w:val="006440E4"/>
    <w:rsid w:val="0064709D"/>
    <w:rsid w:val="00650508"/>
    <w:rsid w:val="00651236"/>
    <w:rsid w:val="0066343B"/>
    <w:rsid w:val="00664777"/>
    <w:rsid w:val="006748A4"/>
    <w:rsid w:val="00676D44"/>
    <w:rsid w:val="00681A31"/>
    <w:rsid w:val="00683E73"/>
    <w:rsid w:val="00696281"/>
    <w:rsid w:val="006A3141"/>
    <w:rsid w:val="006A5E34"/>
    <w:rsid w:val="006B2422"/>
    <w:rsid w:val="006B2AD6"/>
    <w:rsid w:val="006B2B9A"/>
    <w:rsid w:val="006C1937"/>
    <w:rsid w:val="006D3D33"/>
    <w:rsid w:val="006F020C"/>
    <w:rsid w:val="007127B7"/>
    <w:rsid w:val="0071798E"/>
    <w:rsid w:val="007253A3"/>
    <w:rsid w:val="00725648"/>
    <w:rsid w:val="00731ED4"/>
    <w:rsid w:val="00733FFB"/>
    <w:rsid w:val="007416B6"/>
    <w:rsid w:val="00746F48"/>
    <w:rsid w:val="0075404D"/>
    <w:rsid w:val="0075638A"/>
    <w:rsid w:val="0076182A"/>
    <w:rsid w:val="00767B7E"/>
    <w:rsid w:val="007770C3"/>
    <w:rsid w:val="0078045A"/>
    <w:rsid w:val="00784D24"/>
    <w:rsid w:val="007851E3"/>
    <w:rsid w:val="00785FBA"/>
    <w:rsid w:val="00786E4A"/>
    <w:rsid w:val="007875D3"/>
    <w:rsid w:val="007875EB"/>
    <w:rsid w:val="00791FA7"/>
    <w:rsid w:val="0079426B"/>
    <w:rsid w:val="007B4377"/>
    <w:rsid w:val="007D1682"/>
    <w:rsid w:val="007D1BD8"/>
    <w:rsid w:val="007D312A"/>
    <w:rsid w:val="007D3F19"/>
    <w:rsid w:val="007D4622"/>
    <w:rsid w:val="007E23B0"/>
    <w:rsid w:val="007E23E5"/>
    <w:rsid w:val="007F1145"/>
    <w:rsid w:val="007F1991"/>
    <w:rsid w:val="007F2469"/>
    <w:rsid w:val="007F2C2F"/>
    <w:rsid w:val="007F55FC"/>
    <w:rsid w:val="007F5665"/>
    <w:rsid w:val="00800112"/>
    <w:rsid w:val="00801630"/>
    <w:rsid w:val="00807B26"/>
    <w:rsid w:val="00813348"/>
    <w:rsid w:val="008253BB"/>
    <w:rsid w:val="0083706E"/>
    <w:rsid w:val="008408F6"/>
    <w:rsid w:val="008423A5"/>
    <w:rsid w:val="00850625"/>
    <w:rsid w:val="00853718"/>
    <w:rsid w:val="00855221"/>
    <w:rsid w:val="00860645"/>
    <w:rsid w:val="00864B06"/>
    <w:rsid w:val="00871F71"/>
    <w:rsid w:val="00872FD8"/>
    <w:rsid w:val="00882E32"/>
    <w:rsid w:val="00885AF4"/>
    <w:rsid w:val="00891116"/>
    <w:rsid w:val="008939CD"/>
    <w:rsid w:val="008B768C"/>
    <w:rsid w:val="008C4DB1"/>
    <w:rsid w:val="008C4EAF"/>
    <w:rsid w:val="008C5176"/>
    <w:rsid w:val="008C7FD0"/>
    <w:rsid w:val="008D7F5F"/>
    <w:rsid w:val="008E1DE7"/>
    <w:rsid w:val="008E707C"/>
    <w:rsid w:val="00900B08"/>
    <w:rsid w:val="00902155"/>
    <w:rsid w:val="00902FA3"/>
    <w:rsid w:val="009139F0"/>
    <w:rsid w:val="00914A9D"/>
    <w:rsid w:val="00923564"/>
    <w:rsid w:val="0092392E"/>
    <w:rsid w:val="00924D92"/>
    <w:rsid w:val="0092553D"/>
    <w:rsid w:val="00927929"/>
    <w:rsid w:val="009315F9"/>
    <w:rsid w:val="00933499"/>
    <w:rsid w:val="009334D8"/>
    <w:rsid w:val="00935C98"/>
    <w:rsid w:val="009452E4"/>
    <w:rsid w:val="00946945"/>
    <w:rsid w:val="00951248"/>
    <w:rsid w:val="0095152F"/>
    <w:rsid w:val="00954C49"/>
    <w:rsid w:val="00955E37"/>
    <w:rsid w:val="009577BA"/>
    <w:rsid w:val="00966AF1"/>
    <w:rsid w:val="0097099F"/>
    <w:rsid w:val="00971997"/>
    <w:rsid w:val="00971FFC"/>
    <w:rsid w:val="00973770"/>
    <w:rsid w:val="009845F5"/>
    <w:rsid w:val="0098660A"/>
    <w:rsid w:val="009931C3"/>
    <w:rsid w:val="009960D6"/>
    <w:rsid w:val="009A0D07"/>
    <w:rsid w:val="009A56D4"/>
    <w:rsid w:val="009B0D24"/>
    <w:rsid w:val="009B27B8"/>
    <w:rsid w:val="009B2C43"/>
    <w:rsid w:val="009B4EAE"/>
    <w:rsid w:val="009B7573"/>
    <w:rsid w:val="009C22F4"/>
    <w:rsid w:val="009C2A4B"/>
    <w:rsid w:val="009C2E98"/>
    <w:rsid w:val="009D3447"/>
    <w:rsid w:val="009D4711"/>
    <w:rsid w:val="009E6094"/>
    <w:rsid w:val="009F1185"/>
    <w:rsid w:val="009F18CD"/>
    <w:rsid w:val="009F2A13"/>
    <w:rsid w:val="009F7527"/>
    <w:rsid w:val="009F7907"/>
    <w:rsid w:val="00A04EB0"/>
    <w:rsid w:val="00A13CC1"/>
    <w:rsid w:val="00A16847"/>
    <w:rsid w:val="00A20F92"/>
    <w:rsid w:val="00A237D8"/>
    <w:rsid w:val="00A268C4"/>
    <w:rsid w:val="00A26EE2"/>
    <w:rsid w:val="00A307CD"/>
    <w:rsid w:val="00A331C8"/>
    <w:rsid w:val="00A348EF"/>
    <w:rsid w:val="00A40A00"/>
    <w:rsid w:val="00A4142F"/>
    <w:rsid w:val="00A422EB"/>
    <w:rsid w:val="00A43108"/>
    <w:rsid w:val="00A441BF"/>
    <w:rsid w:val="00A45BB7"/>
    <w:rsid w:val="00A56DF2"/>
    <w:rsid w:val="00A56E6E"/>
    <w:rsid w:val="00A67AB5"/>
    <w:rsid w:val="00A733B2"/>
    <w:rsid w:val="00A741C2"/>
    <w:rsid w:val="00A7587A"/>
    <w:rsid w:val="00A91760"/>
    <w:rsid w:val="00A93B00"/>
    <w:rsid w:val="00A93C21"/>
    <w:rsid w:val="00AA5DFC"/>
    <w:rsid w:val="00AB5906"/>
    <w:rsid w:val="00AB64C9"/>
    <w:rsid w:val="00AC0717"/>
    <w:rsid w:val="00AC2BCB"/>
    <w:rsid w:val="00AC3C6A"/>
    <w:rsid w:val="00AD5620"/>
    <w:rsid w:val="00AD656B"/>
    <w:rsid w:val="00AD7C1B"/>
    <w:rsid w:val="00AE16BA"/>
    <w:rsid w:val="00AE1EBE"/>
    <w:rsid w:val="00AE7070"/>
    <w:rsid w:val="00AF0919"/>
    <w:rsid w:val="00AF5910"/>
    <w:rsid w:val="00B03C9D"/>
    <w:rsid w:val="00B060AE"/>
    <w:rsid w:val="00B10517"/>
    <w:rsid w:val="00B14E76"/>
    <w:rsid w:val="00B161B8"/>
    <w:rsid w:val="00B2048C"/>
    <w:rsid w:val="00B2172D"/>
    <w:rsid w:val="00B310B9"/>
    <w:rsid w:val="00B35F3F"/>
    <w:rsid w:val="00B36CBB"/>
    <w:rsid w:val="00B36D19"/>
    <w:rsid w:val="00B425E0"/>
    <w:rsid w:val="00B440AA"/>
    <w:rsid w:val="00B44B70"/>
    <w:rsid w:val="00B50CE9"/>
    <w:rsid w:val="00B52941"/>
    <w:rsid w:val="00B53C56"/>
    <w:rsid w:val="00B569B3"/>
    <w:rsid w:val="00B57DAF"/>
    <w:rsid w:val="00B77EA6"/>
    <w:rsid w:val="00B81598"/>
    <w:rsid w:val="00B841F1"/>
    <w:rsid w:val="00B90E4E"/>
    <w:rsid w:val="00B93271"/>
    <w:rsid w:val="00B944D6"/>
    <w:rsid w:val="00B965DC"/>
    <w:rsid w:val="00B967F8"/>
    <w:rsid w:val="00BB4DF0"/>
    <w:rsid w:val="00BC2808"/>
    <w:rsid w:val="00BC289F"/>
    <w:rsid w:val="00BC2D50"/>
    <w:rsid w:val="00BC5361"/>
    <w:rsid w:val="00BC5460"/>
    <w:rsid w:val="00BC6B50"/>
    <w:rsid w:val="00BD0E25"/>
    <w:rsid w:val="00BD6C9C"/>
    <w:rsid w:val="00BE28B2"/>
    <w:rsid w:val="00BE4418"/>
    <w:rsid w:val="00BE5AC5"/>
    <w:rsid w:val="00BF5BD6"/>
    <w:rsid w:val="00C03E31"/>
    <w:rsid w:val="00C11C3C"/>
    <w:rsid w:val="00C21570"/>
    <w:rsid w:val="00C33E72"/>
    <w:rsid w:val="00C354B2"/>
    <w:rsid w:val="00C35554"/>
    <w:rsid w:val="00C42709"/>
    <w:rsid w:val="00C43C75"/>
    <w:rsid w:val="00C533CC"/>
    <w:rsid w:val="00C5751C"/>
    <w:rsid w:val="00C61BFC"/>
    <w:rsid w:val="00C62B85"/>
    <w:rsid w:val="00C65438"/>
    <w:rsid w:val="00C7747A"/>
    <w:rsid w:val="00C87FD8"/>
    <w:rsid w:val="00C91381"/>
    <w:rsid w:val="00C91CBB"/>
    <w:rsid w:val="00C93ACC"/>
    <w:rsid w:val="00C958D1"/>
    <w:rsid w:val="00CA0E3E"/>
    <w:rsid w:val="00CA3F1B"/>
    <w:rsid w:val="00CA41C5"/>
    <w:rsid w:val="00CA43D0"/>
    <w:rsid w:val="00CB4E70"/>
    <w:rsid w:val="00CC09B6"/>
    <w:rsid w:val="00CC666F"/>
    <w:rsid w:val="00CD1E3F"/>
    <w:rsid w:val="00CE44F6"/>
    <w:rsid w:val="00CE49DA"/>
    <w:rsid w:val="00CE60FB"/>
    <w:rsid w:val="00CE7B61"/>
    <w:rsid w:val="00D00095"/>
    <w:rsid w:val="00D034EC"/>
    <w:rsid w:val="00D04DAE"/>
    <w:rsid w:val="00D114F0"/>
    <w:rsid w:val="00D20620"/>
    <w:rsid w:val="00D254F7"/>
    <w:rsid w:val="00D26091"/>
    <w:rsid w:val="00D2685C"/>
    <w:rsid w:val="00D34E7C"/>
    <w:rsid w:val="00D35489"/>
    <w:rsid w:val="00D36AFE"/>
    <w:rsid w:val="00D439B2"/>
    <w:rsid w:val="00D51276"/>
    <w:rsid w:val="00D52758"/>
    <w:rsid w:val="00D5467F"/>
    <w:rsid w:val="00D7035F"/>
    <w:rsid w:val="00D835F8"/>
    <w:rsid w:val="00D861D2"/>
    <w:rsid w:val="00D90D44"/>
    <w:rsid w:val="00D939D8"/>
    <w:rsid w:val="00DA634F"/>
    <w:rsid w:val="00DA65AC"/>
    <w:rsid w:val="00DB1913"/>
    <w:rsid w:val="00DB64AB"/>
    <w:rsid w:val="00DC410D"/>
    <w:rsid w:val="00DC5A81"/>
    <w:rsid w:val="00DC68CA"/>
    <w:rsid w:val="00DC7CBA"/>
    <w:rsid w:val="00DD73B7"/>
    <w:rsid w:val="00DE6C4F"/>
    <w:rsid w:val="00DF28BC"/>
    <w:rsid w:val="00DF34B9"/>
    <w:rsid w:val="00DF4929"/>
    <w:rsid w:val="00E01053"/>
    <w:rsid w:val="00E05FFE"/>
    <w:rsid w:val="00E07ACF"/>
    <w:rsid w:val="00E32CAD"/>
    <w:rsid w:val="00E331A1"/>
    <w:rsid w:val="00E33202"/>
    <w:rsid w:val="00E336A9"/>
    <w:rsid w:val="00E4717A"/>
    <w:rsid w:val="00E472B1"/>
    <w:rsid w:val="00E50624"/>
    <w:rsid w:val="00E568DF"/>
    <w:rsid w:val="00E56EE3"/>
    <w:rsid w:val="00E618F5"/>
    <w:rsid w:val="00E64269"/>
    <w:rsid w:val="00E662EB"/>
    <w:rsid w:val="00E82267"/>
    <w:rsid w:val="00E853CE"/>
    <w:rsid w:val="00E867B6"/>
    <w:rsid w:val="00E97126"/>
    <w:rsid w:val="00EA010F"/>
    <w:rsid w:val="00EC13CE"/>
    <w:rsid w:val="00EC3E1C"/>
    <w:rsid w:val="00ED1B63"/>
    <w:rsid w:val="00ED32A5"/>
    <w:rsid w:val="00ED3C1F"/>
    <w:rsid w:val="00ED4085"/>
    <w:rsid w:val="00ED420E"/>
    <w:rsid w:val="00ED6FBE"/>
    <w:rsid w:val="00EE063D"/>
    <w:rsid w:val="00EE2497"/>
    <w:rsid w:val="00EE2F57"/>
    <w:rsid w:val="00EF4C34"/>
    <w:rsid w:val="00EF60EF"/>
    <w:rsid w:val="00EF77C6"/>
    <w:rsid w:val="00F05438"/>
    <w:rsid w:val="00F11EF0"/>
    <w:rsid w:val="00F1361C"/>
    <w:rsid w:val="00F156F0"/>
    <w:rsid w:val="00F160C7"/>
    <w:rsid w:val="00F2408F"/>
    <w:rsid w:val="00F240E9"/>
    <w:rsid w:val="00F2731F"/>
    <w:rsid w:val="00F31FDF"/>
    <w:rsid w:val="00F36D8F"/>
    <w:rsid w:val="00F417B1"/>
    <w:rsid w:val="00F45853"/>
    <w:rsid w:val="00F53C3B"/>
    <w:rsid w:val="00F555C0"/>
    <w:rsid w:val="00F602DF"/>
    <w:rsid w:val="00F62E0E"/>
    <w:rsid w:val="00F742BE"/>
    <w:rsid w:val="00F754A1"/>
    <w:rsid w:val="00F81FD9"/>
    <w:rsid w:val="00F841AA"/>
    <w:rsid w:val="00F84A94"/>
    <w:rsid w:val="00F87E96"/>
    <w:rsid w:val="00FA23E8"/>
    <w:rsid w:val="00FA42D2"/>
    <w:rsid w:val="00FA5B05"/>
    <w:rsid w:val="00FB7A8A"/>
    <w:rsid w:val="00FC0E1B"/>
    <w:rsid w:val="00FD1CF1"/>
    <w:rsid w:val="00FD3CC1"/>
    <w:rsid w:val="00FF1E02"/>
    <w:rsid w:val="00FF2829"/>
    <w:rsid w:val="00FF30B4"/>
    <w:rsid w:val="079D7215"/>
    <w:rsid w:val="0A2032A3"/>
    <w:rsid w:val="0B79666C"/>
    <w:rsid w:val="0B9F06A9"/>
    <w:rsid w:val="10C055FF"/>
    <w:rsid w:val="118107EC"/>
    <w:rsid w:val="16BB723D"/>
    <w:rsid w:val="1D155CEE"/>
    <w:rsid w:val="23F269B0"/>
    <w:rsid w:val="240371BF"/>
    <w:rsid w:val="245178B3"/>
    <w:rsid w:val="25725C88"/>
    <w:rsid w:val="28637D88"/>
    <w:rsid w:val="29FD04D3"/>
    <w:rsid w:val="2B857613"/>
    <w:rsid w:val="2F251571"/>
    <w:rsid w:val="319F7F4E"/>
    <w:rsid w:val="4ECE2238"/>
    <w:rsid w:val="583004B0"/>
    <w:rsid w:val="59BC0FD1"/>
    <w:rsid w:val="59D753FF"/>
    <w:rsid w:val="61A15D32"/>
    <w:rsid w:val="6C4A05C8"/>
    <w:rsid w:val="72734D90"/>
    <w:rsid w:val="7D9315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24"/>
      <w:szCs w:val="20"/>
      <w:lang w:val="zh-CN" w:eastAsia="zh-CN"/>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32"/>
    <w:qFormat/>
    <w:uiPriority w:val="0"/>
    <w:rPr>
      <w:rFonts w:ascii="宋体" w:hAnsi="Courier New" w:cs="Courier New"/>
      <w:szCs w:val="21"/>
    </w:rPr>
  </w:style>
  <w:style w:type="paragraph" w:styleId="8">
    <w:name w:val="Balloon Text"/>
    <w:basedOn w:val="1"/>
    <w:link w:val="21"/>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20"/>
      <w:lang w:val="zh-CN" w:eastAsia="zh-CN"/>
    </w:rPr>
  </w:style>
  <w:style w:type="paragraph" w:styleId="10">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4">
    <w:name w:val="Strong"/>
    <w:qFormat/>
    <w:uiPriority w:val="99"/>
    <w:rPr>
      <w:rFonts w:cs="Times New Roman"/>
      <w:b/>
    </w:rPr>
  </w:style>
  <w:style w:type="character" w:styleId="15">
    <w:name w:val="Hyperlink"/>
    <w:unhideWhenUsed/>
    <w:qFormat/>
    <w:uiPriority w:val="99"/>
    <w:rPr>
      <w:rFonts w:cs="Times New Roman"/>
      <w:color w:val="0000FF"/>
      <w:u w:val="single"/>
    </w:rPr>
  </w:style>
  <w:style w:type="character" w:customStyle="1" w:styleId="17">
    <w:name w:val="标题 1 Char"/>
    <w:link w:val="2"/>
    <w:qFormat/>
    <w:locked/>
    <w:uiPriority w:val="9"/>
    <w:rPr>
      <w:rFonts w:ascii="Times New Roman" w:hAnsi="Times New Roman" w:cs="Times New Roman"/>
      <w:b/>
      <w:bCs/>
      <w:kern w:val="44"/>
      <w:sz w:val="44"/>
      <w:szCs w:val="44"/>
    </w:rPr>
  </w:style>
  <w:style w:type="character" w:customStyle="1" w:styleId="18">
    <w:name w:val="标题 2 Char"/>
    <w:link w:val="3"/>
    <w:qFormat/>
    <w:locked/>
    <w:uiPriority w:val="9"/>
    <w:rPr>
      <w:rFonts w:ascii="Cambria" w:hAnsi="Cambria" w:eastAsia="宋体" w:cs="Times New Roman"/>
      <w:b/>
      <w:bCs/>
      <w:kern w:val="2"/>
      <w:sz w:val="32"/>
      <w:szCs w:val="32"/>
    </w:rPr>
  </w:style>
  <w:style w:type="character" w:customStyle="1" w:styleId="19">
    <w:name w:val="标题 3 Char"/>
    <w:link w:val="4"/>
    <w:qFormat/>
    <w:locked/>
    <w:uiPriority w:val="9"/>
    <w:rPr>
      <w:rFonts w:ascii="Times New Roman" w:hAnsi="Times New Roman" w:cs="Times New Roman"/>
      <w:b/>
      <w:bCs/>
      <w:kern w:val="2"/>
      <w:sz w:val="32"/>
      <w:szCs w:val="32"/>
    </w:rPr>
  </w:style>
  <w:style w:type="character" w:customStyle="1" w:styleId="20">
    <w:name w:val="Body Text Char"/>
    <w:semiHidden/>
    <w:qFormat/>
    <w:uiPriority w:val="99"/>
    <w:rPr>
      <w:rFonts w:ascii="Times New Roman" w:hAnsi="Times New Roman" w:cs="Times New Roman"/>
      <w:sz w:val="24"/>
      <w:szCs w:val="24"/>
    </w:rPr>
  </w:style>
  <w:style w:type="character" w:customStyle="1" w:styleId="21">
    <w:name w:val="批注框文本 Char"/>
    <w:link w:val="8"/>
    <w:semiHidden/>
    <w:qFormat/>
    <w:locked/>
    <w:uiPriority w:val="99"/>
    <w:rPr>
      <w:rFonts w:ascii="Times New Roman" w:hAnsi="Times New Roman" w:cs="Times New Roman"/>
      <w:kern w:val="2"/>
      <w:sz w:val="18"/>
      <w:szCs w:val="18"/>
    </w:rPr>
  </w:style>
  <w:style w:type="character" w:customStyle="1" w:styleId="22">
    <w:name w:val="Footer Char"/>
    <w:semiHidden/>
    <w:qFormat/>
    <w:uiPriority w:val="99"/>
    <w:rPr>
      <w:rFonts w:ascii="Times New Roman" w:hAnsi="Times New Roman" w:cs="Times New Roman"/>
      <w:sz w:val="18"/>
      <w:szCs w:val="18"/>
    </w:rPr>
  </w:style>
  <w:style w:type="character" w:customStyle="1" w:styleId="23">
    <w:name w:val="Header Char"/>
    <w:semiHidden/>
    <w:qFormat/>
    <w:uiPriority w:val="99"/>
    <w:rPr>
      <w:rFonts w:ascii="Times New Roman" w:hAnsi="Times New Roman" w:cs="Times New Roman"/>
      <w:sz w:val="18"/>
      <w:szCs w:val="18"/>
    </w:rPr>
  </w:style>
  <w:style w:type="character" w:customStyle="1" w:styleId="24">
    <w:name w:val="页眉 Char"/>
    <w:link w:val="10"/>
    <w:semiHidden/>
    <w:qFormat/>
    <w:locked/>
    <w:uiPriority w:val="99"/>
    <w:rPr>
      <w:sz w:val="18"/>
    </w:rPr>
  </w:style>
  <w:style w:type="character" w:customStyle="1" w:styleId="25">
    <w:name w:val="页脚 Char"/>
    <w:link w:val="9"/>
    <w:qFormat/>
    <w:locked/>
    <w:uiPriority w:val="99"/>
    <w:rPr>
      <w:sz w:val="18"/>
    </w:rPr>
  </w:style>
  <w:style w:type="character" w:customStyle="1" w:styleId="26">
    <w:name w:val="正文文本 Char"/>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List Paragraph"/>
    <w:basedOn w:val="1"/>
    <w:qFormat/>
    <w:uiPriority w:val="34"/>
    <w:pPr>
      <w:ind w:firstLine="420" w:firstLineChars="200"/>
    </w:pPr>
  </w:style>
  <w:style w:type="character" w:customStyle="1" w:styleId="32">
    <w:name w:val="纯文本 Char"/>
    <w:basedOn w:val="13"/>
    <w:link w:val="7"/>
    <w:qFormat/>
    <w:uiPriority w:val="0"/>
    <w:rPr>
      <w:rFonts w:ascii="宋体" w:hAnsi="Courier New" w:cs="Courier New"/>
      <w:kern w:val="2"/>
      <w:sz w:val="21"/>
      <w:szCs w:val="21"/>
    </w:rPr>
  </w:style>
  <w:style w:type="paragraph" w:customStyle="1" w:styleId="3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C:\Users\Administrator\Desktop\&#25910;&#25903;&#24635;&#34920;&#27169;&#26495;.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oleObject" Target="C:\Users\Administrator\Desktop\&#25910;&#25903;&#24635;&#34920;&#27169;&#2649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D:\Users\User\Desktop\&#65288;&#24066;&#24191;&#25773;&#30005;&#35270;&#21488;&#65289;2020&#24180;&#20915;&#31639;&#22270;&#34920;-&#27719;&#24635; .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tx1"/>
                </a:solidFill>
                <a:latin typeface="+mn-lt"/>
                <a:ea typeface="+mn-ea"/>
                <a:cs typeface="+mn-cs"/>
              </a:defRPr>
            </a:pPr>
            <a:r>
              <a:rPr lang="zh-CN" altLang="en-US" sz="1800"/>
              <a:t>收、支决算总计变动情况图</a:t>
            </a:r>
            <a:endParaRPr lang="zh-CN" altLang="en-US" sz="1800"/>
          </a:p>
        </c:rich>
      </c:tx>
      <c:layout/>
      <c:overlay val="0"/>
      <c:spPr>
        <a:noFill/>
        <a:ln>
          <a:noFill/>
        </a:ln>
        <a:effectLst/>
      </c:spPr>
    </c:title>
    <c:autoTitleDeleted val="0"/>
    <c:plotArea>
      <c:layout/>
      <c:barChart>
        <c:barDir val="col"/>
        <c:grouping val="clustered"/>
        <c:varyColors val="0"/>
        <c:ser>
          <c:idx val="0"/>
          <c:order val="0"/>
          <c:tx>
            <c:strRef>
              <c:f>[收支总表模板.xlsx]收支决算总计!$A$2</c:f>
              <c:strCache>
                <c:ptCount val="1"/>
                <c:pt idx="0">
                  <c:v>全年收入总计</c:v>
                </c:pt>
              </c:strCache>
            </c:strRef>
          </c:tx>
          <c:spPr>
            <a:solidFill>
              <a:schemeClr val="accent1"/>
            </a:solidFill>
            <a:ln>
              <a:noFill/>
            </a:ln>
            <a:effectLst/>
          </c:spPr>
          <c:invertIfNegative val="0"/>
          <c:dLbls>
            <c:delete val="1"/>
          </c:dLbls>
          <c:cat>
            <c:strRef>
              <c:f>[收支总表模板.xlsx]收支决算总计!$B$1:$E$1</c:f>
              <c:strCache>
                <c:ptCount val="4"/>
                <c:pt idx="0">
                  <c:v>2019年</c:v>
                </c:pt>
                <c:pt idx="1">
                  <c:v>2020年</c:v>
                </c:pt>
                <c:pt idx="2">
                  <c:v>同比增减额</c:v>
                </c:pt>
                <c:pt idx="3">
                  <c:v>同比增减率</c:v>
                </c:pt>
              </c:strCache>
            </c:strRef>
          </c:cat>
          <c:val>
            <c:numRef>
              <c:f>[收支总表模板.xlsx]收支决算总计!$B$2:$E$2</c:f>
              <c:numCache>
                <c:formatCode>#,##0.00</c:formatCode>
                <c:ptCount val="4"/>
                <c:pt idx="0">
                  <c:v>5145.5</c:v>
                </c:pt>
                <c:pt idx="1">
                  <c:v>4992.08</c:v>
                </c:pt>
                <c:pt idx="2" c:formatCode="General">
                  <c:v>-153.42</c:v>
                </c:pt>
                <c:pt idx="3" c:formatCode="0.00%">
                  <c:v>-0.0298163443785832</c:v>
                </c:pt>
              </c:numCache>
            </c:numRef>
          </c:val>
        </c:ser>
        <c:ser>
          <c:idx val="1"/>
          <c:order val="1"/>
          <c:tx>
            <c:strRef>
              <c:f>[收支总表模板.xlsx]收支决算总计!$A$3</c:f>
              <c:strCache>
                <c:ptCount val="1"/>
                <c:pt idx="0">
                  <c:v>全年支出总计</c:v>
                </c:pt>
              </c:strCache>
            </c:strRef>
          </c:tx>
          <c:spPr>
            <a:solidFill>
              <a:schemeClr val="accent2"/>
            </a:solidFill>
            <a:ln>
              <a:noFill/>
            </a:ln>
            <a:effectLst/>
          </c:spPr>
          <c:invertIfNegative val="0"/>
          <c:dLbls>
            <c:delete val="1"/>
          </c:dLbls>
          <c:cat>
            <c:strRef>
              <c:f>[收支总表模板.xlsx]收支决算总计!$B$1:$E$1</c:f>
              <c:strCache>
                <c:ptCount val="4"/>
                <c:pt idx="0">
                  <c:v>2019年</c:v>
                </c:pt>
                <c:pt idx="1">
                  <c:v>2020年</c:v>
                </c:pt>
                <c:pt idx="2">
                  <c:v>同比增减额</c:v>
                </c:pt>
                <c:pt idx="3">
                  <c:v>同比增减率</c:v>
                </c:pt>
              </c:strCache>
            </c:strRef>
          </c:cat>
          <c:val>
            <c:numRef>
              <c:f>[收支总表模板.xlsx]收支决算总计!$B$3:$E$3</c:f>
              <c:numCache>
                <c:formatCode>#,##0.00</c:formatCode>
                <c:ptCount val="4"/>
                <c:pt idx="0">
                  <c:v>5194.5</c:v>
                </c:pt>
                <c:pt idx="1">
                  <c:v>4992.08</c:v>
                </c:pt>
                <c:pt idx="2" c:formatCode="0.00_ ">
                  <c:v>-202.42</c:v>
                </c:pt>
                <c:pt idx="3" c:formatCode="0.00%">
                  <c:v>-0.0389681393781885</c:v>
                </c:pt>
              </c:numCache>
            </c:numRef>
          </c:val>
        </c:ser>
        <c:dLbls>
          <c:dLblPos val="outEnd"/>
          <c:showLegendKey val="0"/>
          <c:showVal val="0"/>
          <c:showCatName val="0"/>
          <c:showSerName val="0"/>
          <c:showPercent val="0"/>
          <c:showBubbleSize val="0"/>
        </c:dLbls>
        <c:gapWidth val="150"/>
        <c:axId val="145534976"/>
        <c:axId val="145536512"/>
      </c:barChart>
      <c:catAx>
        <c:axId val="145534976"/>
        <c:scaling>
          <c:orientation val="minMax"/>
        </c:scaling>
        <c:delete val="0"/>
        <c:axPos val="b"/>
        <c:numFmt formatCode="General" sourceLinked="1"/>
        <c:majorTickMark val="none"/>
        <c:minorTickMark val="none"/>
        <c:tickLblPos val="nextTo"/>
        <c:spPr>
          <a:noFill/>
          <a:ln w="6350"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crossAx val="145536512"/>
        <c:crosses val="autoZero"/>
        <c:auto val="1"/>
        <c:lblAlgn val="ctr"/>
        <c:lblOffset val="100"/>
        <c:tickMarkSkip val="1"/>
        <c:noMultiLvlLbl val="0"/>
      </c:catAx>
      <c:valAx>
        <c:axId val="145536512"/>
        <c:scaling>
          <c:orientation val="minMax"/>
        </c:scaling>
        <c:delete val="0"/>
        <c:axPos val="l"/>
        <c:majorGridlines>
          <c:spPr>
            <a:noFill/>
            <a:ln w="6350" cap="flat" cmpd="sng" algn="ctr">
              <a:solidFill>
                <a:schemeClr val="tx1">
                  <a:lumMod val="50000"/>
                  <a:lumOff val="50000"/>
                </a:schemeClr>
              </a:solidFill>
              <a:prstDash val="solid"/>
              <a:round/>
            </a:ln>
            <a:effectLst/>
          </c:spPr>
        </c:majorGridlines>
        <c:title>
          <c:layout/>
          <c:overlay val="0"/>
          <c:spPr>
            <a:noFill/>
            <a:ln>
              <a:noFill/>
            </a:ln>
            <a:effectLst/>
          </c:spPr>
          <c:txPr>
            <a:bodyPr rot="-5400000" spcFirstLastPara="0" vertOverflow="ellipsis" horzOverflow="overflow" vert="horz" wrap="square" anchor="ctr" anchorCtr="1"/>
            <a:lstStyle/>
            <a:p>
              <a:pPr>
                <a:defRPr lang="zh-CN" sz="1000" b="1" i="0" u="none" strike="noStrike" kern="1200" baseline="0">
                  <a:solidFill>
                    <a:schemeClr val="tx1"/>
                  </a:solidFill>
                  <a:latin typeface="+mn-lt"/>
                  <a:ea typeface="+mn-ea"/>
                  <a:cs typeface="+mn-cs"/>
                </a:defRPr>
              </a:pPr>
            </a:p>
          </c:txPr>
        </c:title>
        <c:numFmt formatCode="#,##0.00" sourceLinked="1"/>
        <c:majorTickMark val="none"/>
        <c:minorTickMark val="none"/>
        <c:tickLblPos val="nextTo"/>
        <c:spPr>
          <a:noFill/>
          <a:ln w="6350"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crossAx val="145534976"/>
        <c:crosses val="autoZero"/>
        <c:crossBetween val="between"/>
      </c:valAx>
      <c:dTable>
        <c:showHorzBorder val="1"/>
        <c:showVertBorder val="1"/>
        <c:showOutline val="1"/>
        <c:showKeys val="1"/>
        <c:spPr>
          <a:no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dTable>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tx1"/>
                </a:solidFill>
                <a:latin typeface="+mn-lt"/>
                <a:ea typeface="+mn-ea"/>
                <a:cs typeface="+mn-cs"/>
              </a:defRPr>
            </a:pPr>
            <a:r>
              <a:rPr lang="zh-CN" altLang="en-US" sz="1800"/>
              <a:t>收入决算结构图</a:t>
            </a:r>
            <a:endParaRPr lang="zh-CN" altLang="en-US" sz="1800"/>
          </a:p>
        </c:rich>
      </c:tx>
      <c:layout/>
      <c:overlay val="0"/>
      <c:spPr>
        <a:noFill/>
        <a:ln>
          <a:noFill/>
        </a:ln>
        <a:effectLst/>
      </c:spPr>
    </c:title>
    <c:autoTitleDeleted val="0"/>
    <c:plotArea>
      <c:layout/>
      <c:pieChart>
        <c:varyColors val="1"/>
        <c:ser>
          <c:idx val="0"/>
          <c:order val="0"/>
          <c:spPr>
            <a:effectLst/>
          </c:spPr>
          <c:explosion val="0"/>
          <c:dPt>
            <c:idx val="0"/>
            <c:bubble3D val="0"/>
            <c:explosion val="0"/>
            <c:spPr>
              <a:solidFill>
                <a:schemeClr val="accent1"/>
              </a:solidFill>
              <a:ln>
                <a:noFill/>
              </a:ln>
              <a:effectLst/>
            </c:spPr>
          </c:dPt>
          <c:dPt>
            <c:idx val="1"/>
            <c:bubble3D val="0"/>
            <c:explosion val="0"/>
            <c:spPr>
              <a:solidFill>
                <a:schemeClr val="accent2"/>
              </a:solidFill>
              <a:ln>
                <a:noFill/>
              </a:ln>
              <a:effectLst/>
            </c:spPr>
          </c:dPt>
          <c:dLbls>
            <c:dLbl>
              <c:idx val="0"/>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一般公共预算
</a:t>
                    </a:r>
                    <a:r>
                      <a:rPr lang="en-US" altLang="zh-CN"/>
                      <a:t>71.09%</a:t>
                    </a:r>
                    <a:endParaRPr lang="en-US" altLang="zh-CN"/>
                  </a:p>
                </c:rich>
              </c:tx>
              <c:numFmt formatCode="General" sourceLinked="1"/>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224133420822397"/>
                  <c:y val="0.0785495042286381"/>
                </c:manualLayout>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政府性基金预算
</a:t>
                    </a:r>
                    <a:r>
                      <a:rPr lang="en-US" altLang="zh-CN"/>
                      <a:t>28.91%</a:t>
                    </a:r>
                    <a:endParaRPr lang="en-US" altLang="zh-CN"/>
                  </a:p>
                </c:rich>
              </c:tx>
              <c:numFmt formatCode="General" sourceLinked="1"/>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noFill/>
                    <a:ln w="9525" cap="flat" cmpd="sng" algn="ctr">
                      <a:solidFill>
                        <a:schemeClr val="tx1"/>
                      </a:solidFill>
                      <a:prstDash val="solid"/>
                      <a:round/>
                    </a:ln>
                    <a:effectLst/>
                  </c:spPr>
                </c15:leaderLines>
              </c:ext>
            </c:extLst>
          </c:dLbls>
          <c:cat>
            <c:strRef>
              <c:f>收入决算结构!$A$1:$A$2</c:f>
              <c:strCache>
                <c:ptCount val="2"/>
                <c:pt idx="0">
                  <c:v>一般公共预算财政拨款收入</c:v>
                </c:pt>
                <c:pt idx="1">
                  <c:v>政府性基金预算财政拨款收入</c:v>
                </c:pt>
              </c:strCache>
            </c:strRef>
          </c:cat>
          <c:val>
            <c:numRef>
              <c:f>收入决算结构!$B$1:$B$2</c:f>
              <c:numCache>
                <c:formatCode>0.00%</c:formatCode>
                <c:ptCount val="2"/>
                <c:pt idx="0">
                  <c:v>0.714944472043718</c:v>
                </c:pt>
                <c:pt idx="1">
                  <c:v>0.285055527956283</c:v>
                </c:pt>
              </c:numCache>
            </c:numRef>
          </c:val>
        </c:ser>
        <c:dLbls>
          <c:dLblPos val="bestFit"/>
          <c:showLegendKey val="0"/>
          <c:showVal val="0"/>
          <c:showCatName val="1"/>
          <c:showSerName val="0"/>
          <c:showPercent val="1"/>
          <c:showBubbleSize val="0"/>
          <c:showLeaderLines val="1"/>
        </c:dLbls>
        <c:firstSliceAng val="0"/>
      </c:pieChart>
      <c:spPr>
        <a:solidFill>
          <a:schemeClr val="bg1"/>
        </a:solidFill>
        <a:ln>
          <a:noFill/>
        </a:ln>
        <a:effectLst/>
      </c:spPr>
    </c:plotArea>
    <c:plotVisOnly val="1"/>
    <c:dispBlanksAs val="zero"/>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tx1"/>
                </a:solidFill>
                <a:latin typeface="+mn-lt"/>
                <a:ea typeface="+mn-ea"/>
                <a:cs typeface="+mn-cs"/>
              </a:defRPr>
            </a:pPr>
            <a:r>
              <a:rPr lang="zh-CN" altLang="en-US" sz="1800"/>
              <a:t>支出决算结构图</a:t>
            </a:r>
            <a:endParaRPr lang="zh-CN" altLang="en-US" sz="1800"/>
          </a:p>
        </c:rich>
      </c:tx>
      <c:layout/>
      <c:overlay val="0"/>
      <c:spPr>
        <a:noFill/>
        <a:ln>
          <a:noFill/>
        </a:ln>
        <a:effectLst/>
      </c:spPr>
    </c:title>
    <c:autoTitleDeleted val="0"/>
    <c:plotArea>
      <c:layout>
        <c:manualLayout>
          <c:layoutTarget val="inner"/>
          <c:xMode val="edge"/>
          <c:yMode val="edge"/>
          <c:x val="0.0125"/>
          <c:y val="0.162890419947507"/>
          <c:w val="0.813888888888889"/>
          <c:h val="0.653524715660543"/>
        </c:manualLayout>
      </c:layout>
      <c:pieChart>
        <c:varyColors val="1"/>
        <c:ser>
          <c:idx val="0"/>
          <c:order val="0"/>
          <c:spPr>
            <a:effectLst/>
          </c:spPr>
          <c:explosion val="0"/>
          <c:dPt>
            <c:idx val="0"/>
            <c:bubble3D val="0"/>
            <c:explosion val="0"/>
            <c:spPr>
              <a:solidFill>
                <a:schemeClr val="accent5">
                  <a:shade val="76667"/>
                </a:schemeClr>
              </a:solidFill>
              <a:ln>
                <a:noFill/>
              </a:ln>
              <a:effectLst/>
            </c:spPr>
          </c:dPt>
          <c:dPt>
            <c:idx val="1"/>
            <c:bubble3D val="0"/>
            <c:explosion val="0"/>
            <c:spPr>
              <a:solidFill>
                <a:schemeClr val="accent5">
                  <a:tint val="76667"/>
                </a:schemeClr>
              </a:solidFill>
              <a:ln>
                <a:noFill/>
              </a:ln>
              <a:effectLst/>
            </c:spPr>
          </c:dPt>
          <c:dLbls>
            <c:dLbl>
              <c:idx val="0"/>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基本支出
</a:t>
                    </a:r>
                    <a:r>
                      <a:rPr lang="en-US" altLang="zh-CN"/>
                      <a:t>53.08%</a:t>
                    </a:r>
                    <a:endParaRPr lang="en-US" altLang="zh-CN"/>
                  </a:p>
                </c:rich>
              </c:tx>
              <c:numFmt formatCode="General" sourceLinked="1"/>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项目支出
</a:t>
                    </a:r>
                    <a:r>
                      <a:rPr lang="en-US" altLang="zh-CN"/>
                      <a:t>46.92%</a:t>
                    </a:r>
                    <a:endParaRPr lang="en-US" altLang="zh-CN"/>
                  </a:p>
                </c:rich>
              </c:tx>
              <c:numFmt formatCode="General" sourceLinked="1"/>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noFill/>
                    <a:ln w="9525" cap="flat" cmpd="sng" algn="ctr">
                      <a:solidFill>
                        <a:schemeClr val="tx1"/>
                      </a:solidFill>
                      <a:prstDash val="solid"/>
                      <a:round/>
                    </a:ln>
                    <a:effectLst/>
                  </c:spPr>
                </c15:leaderLines>
              </c:ext>
            </c:extLst>
          </c:dLbls>
          <c:cat>
            <c:strRef>
              <c:f>支出决算结构!$A$1:$A$2</c:f>
              <c:strCache>
                <c:ptCount val="2"/>
                <c:pt idx="0">
                  <c:v>基本支出</c:v>
                </c:pt>
                <c:pt idx="1">
                  <c:v>项目支出</c:v>
                </c:pt>
              </c:strCache>
            </c:strRef>
          </c:cat>
          <c:val>
            <c:numRef>
              <c:f>支出决算结构!$B$1:$B$2</c:f>
              <c:numCache>
                <c:formatCode>0.00%</c:formatCode>
                <c:ptCount val="2"/>
                <c:pt idx="0">
                  <c:v>0.530832561366361</c:v>
                </c:pt>
                <c:pt idx="1">
                  <c:v>0.469167438633638</c:v>
                </c:pt>
              </c:numCache>
            </c:numRef>
          </c:val>
        </c:ser>
        <c:dLbls>
          <c:dLblPos val="bestFit"/>
          <c:showLegendKey val="0"/>
          <c:showVal val="0"/>
          <c:showCatName val="1"/>
          <c:showSerName val="0"/>
          <c:showPercent val="1"/>
          <c:showBubbleSize val="0"/>
          <c:showLeaderLines val="1"/>
        </c:dLbls>
        <c:firstSliceAng val="0"/>
      </c:pieChart>
      <c:spPr>
        <a:solidFill>
          <a:schemeClr val="bg1"/>
        </a:solidFill>
        <a:ln>
          <a:noFill/>
        </a:ln>
        <a:effectLst/>
      </c:spPr>
    </c:plotArea>
    <c:plotVisOnly val="1"/>
    <c:dispBlanksAs val="zero"/>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tx1"/>
                </a:solidFill>
                <a:latin typeface="+mn-lt"/>
                <a:ea typeface="+mn-ea"/>
                <a:cs typeface="+mn-cs"/>
              </a:defRPr>
            </a:pPr>
            <a:r>
              <a:rPr lang="zh-CN" altLang="en-US" sz="1800"/>
              <a:t>收、支决算总计变动情况图</a:t>
            </a:r>
            <a:endParaRPr lang="zh-CN" altLang="en-US" sz="1800"/>
          </a:p>
        </c:rich>
      </c:tx>
      <c:layout/>
      <c:overlay val="0"/>
      <c:spPr>
        <a:noFill/>
        <a:ln>
          <a:noFill/>
        </a:ln>
        <a:effectLst/>
      </c:spPr>
    </c:title>
    <c:autoTitleDeleted val="0"/>
    <c:plotArea>
      <c:layout/>
      <c:barChart>
        <c:barDir val="col"/>
        <c:grouping val="clustered"/>
        <c:varyColors val="0"/>
        <c:ser>
          <c:idx val="0"/>
          <c:order val="0"/>
          <c:tx>
            <c:strRef>
              <c:f>[收支总表模板.xlsx]收支决算总计!$A$2</c:f>
              <c:strCache>
                <c:ptCount val="1"/>
                <c:pt idx="0">
                  <c:v>全年收入总计</c:v>
                </c:pt>
              </c:strCache>
            </c:strRef>
          </c:tx>
          <c:spPr>
            <a:solidFill>
              <a:schemeClr val="accent1"/>
            </a:solidFill>
            <a:ln>
              <a:noFill/>
            </a:ln>
            <a:effectLst/>
          </c:spPr>
          <c:invertIfNegative val="0"/>
          <c:dLbls>
            <c:delete val="1"/>
          </c:dLbls>
          <c:cat>
            <c:strRef>
              <c:f>[收支总表模板.xlsx]收支决算总计!$B$1:$E$1</c:f>
              <c:strCache>
                <c:ptCount val="4"/>
                <c:pt idx="0">
                  <c:v>2019年</c:v>
                </c:pt>
                <c:pt idx="1">
                  <c:v>2020年</c:v>
                </c:pt>
                <c:pt idx="2">
                  <c:v>同比增减额</c:v>
                </c:pt>
                <c:pt idx="3">
                  <c:v>同比增减率</c:v>
                </c:pt>
              </c:strCache>
            </c:strRef>
          </c:cat>
          <c:val>
            <c:numRef>
              <c:f>[收支总表模板.xlsx]收支决算总计!$B$2:$E$2</c:f>
              <c:numCache>
                <c:formatCode>#,##0.00</c:formatCode>
                <c:ptCount val="4"/>
                <c:pt idx="0">
                  <c:v>5145.5</c:v>
                </c:pt>
                <c:pt idx="1">
                  <c:v>4992.08</c:v>
                </c:pt>
                <c:pt idx="2" c:formatCode="General">
                  <c:v>-153.42</c:v>
                </c:pt>
                <c:pt idx="3" c:formatCode="0.00%">
                  <c:v>-0.0298163443785832</c:v>
                </c:pt>
              </c:numCache>
            </c:numRef>
          </c:val>
        </c:ser>
        <c:ser>
          <c:idx val="1"/>
          <c:order val="1"/>
          <c:tx>
            <c:strRef>
              <c:f>[收支总表模板.xlsx]收支决算总计!$A$3</c:f>
              <c:strCache>
                <c:ptCount val="1"/>
                <c:pt idx="0">
                  <c:v>全年支出总计</c:v>
                </c:pt>
              </c:strCache>
            </c:strRef>
          </c:tx>
          <c:spPr>
            <a:solidFill>
              <a:schemeClr val="accent2"/>
            </a:solidFill>
            <a:ln>
              <a:noFill/>
            </a:ln>
            <a:effectLst/>
          </c:spPr>
          <c:invertIfNegative val="0"/>
          <c:dLbls>
            <c:delete val="1"/>
          </c:dLbls>
          <c:cat>
            <c:strRef>
              <c:f>[收支总表模板.xlsx]收支决算总计!$B$1:$E$1</c:f>
              <c:strCache>
                <c:ptCount val="4"/>
                <c:pt idx="0">
                  <c:v>2019年</c:v>
                </c:pt>
                <c:pt idx="1">
                  <c:v>2020年</c:v>
                </c:pt>
                <c:pt idx="2">
                  <c:v>同比增减额</c:v>
                </c:pt>
                <c:pt idx="3">
                  <c:v>同比增减率</c:v>
                </c:pt>
              </c:strCache>
            </c:strRef>
          </c:cat>
          <c:val>
            <c:numRef>
              <c:f>[收支总表模板.xlsx]收支决算总计!$B$3:$E$3</c:f>
              <c:numCache>
                <c:formatCode>#,##0.00</c:formatCode>
                <c:ptCount val="4"/>
                <c:pt idx="0">
                  <c:v>5194.5</c:v>
                </c:pt>
                <c:pt idx="1">
                  <c:v>4992.08</c:v>
                </c:pt>
                <c:pt idx="2" c:formatCode="0.00_ ">
                  <c:v>-202.42</c:v>
                </c:pt>
                <c:pt idx="3" c:formatCode="0.00%">
                  <c:v>-0.0389681393781885</c:v>
                </c:pt>
              </c:numCache>
            </c:numRef>
          </c:val>
        </c:ser>
        <c:dLbls>
          <c:dLblPos val="outEnd"/>
          <c:showLegendKey val="0"/>
          <c:showVal val="0"/>
          <c:showCatName val="0"/>
          <c:showSerName val="0"/>
          <c:showPercent val="0"/>
          <c:showBubbleSize val="0"/>
        </c:dLbls>
        <c:gapWidth val="150"/>
        <c:axId val="145534976"/>
        <c:axId val="145536512"/>
      </c:barChart>
      <c:catAx>
        <c:axId val="145534976"/>
        <c:scaling>
          <c:orientation val="minMax"/>
        </c:scaling>
        <c:delete val="0"/>
        <c:axPos val="b"/>
        <c:numFmt formatCode="General" sourceLinked="1"/>
        <c:majorTickMark val="none"/>
        <c:minorTickMark val="none"/>
        <c:tickLblPos val="nextTo"/>
        <c:spPr>
          <a:noFill/>
          <a:ln w="6350"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crossAx val="145536512"/>
        <c:crosses val="autoZero"/>
        <c:auto val="1"/>
        <c:lblAlgn val="ctr"/>
        <c:lblOffset val="100"/>
        <c:tickMarkSkip val="1"/>
        <c:noMultiLvlLbl val="0"/>
      </c:catAx>
      <c:valAx>
        <c:axId val="145536512"/>
        <c:scaling>
          <c:orientation val="minMax"/>
        </c:scaling>
        <c:delete val="0"/>
        <c:axPos val="l"/>
        <c:majorGridlines>
          <c:spPr>
            <a:noFill/>
            <a:ln w="6350" cap="flat" cmpd="sng" algn="ctr">
              <a:solidFill>
                <a:schemeClr val="tx1">
                  <a:lumMod val="50000"/>
                  <a:lumOff val="50000"/>
                </a:schemeClr>
              </a:solidFill>
              <a:prstDash val="solid"/>
              <a:round/>
            </a:ln>
            <a:effectLst/>
          </c:spPr>
        </c:majorGridlines>
        <c:title>
          <c:layout/>
          <c:overlay val="0"/>
          <c:spPr>
            <a:noFill/>
            <a:ln>
              <a:noFill/>
            </a:ln>
            <a:effectLst/>
          </c:spPr>
          <c:txPr>
            <a:bodyPr rot="-5400000" spcFirstLastPara="0" vertOverflow="ellipsis" horzOverflow="overflow" vert="horz" wrap="square" anchor="ctr" anchorCtr="1"/>
            <a:lstStyle/>
            <a:p>
              <a:pPr>
                <a:defRPr lang="zh-CN" sz="1000" b="1" i="0" u="none" strike="noStrike" kern="1200" baseline="0">
                  <a:solidFill>
                    <a:schemeClr val="tx1"/>
                  </a:solidFill>
                  <a:latin typeface="+mn-lt"/>
                  <a:ea typeface="+mn-ea"/>
                  <a:cs typeface="+mn-cs"/>
                </a:defRPr>
              </a:pPr>
            </a:p>
          </c:txPr>
        </c:title>
        <c:numFmt formatCode="#,##0.00" sourceLinked="1"/>
        <c:majorTickMark val="none"/>
        <c:minorTickMark val="none"/>
        <c:tickLblPos val="nextTo"/>
        <c:spPr>
          <a:noFill/>
          <a:ln w="6350"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crossAx val="145534976"/>
        <c:crosses val="autoZero"/>
        <c:crossBetween val="between"/>
      </c:valAx>
      <c:dTable>
        <c:showHorzBorder val="1"/>
        <c:showVertBorder val="1"/>
        <c:showOutline val="1"/>
        <c:showKeys val="1"/>
        <c:spPr>
          <a:no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dTable>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tx1"/>
                </a:solidFill>
                <a:latin typeface="+mn-lt"/>
                <a:ea typeface="+mn-ea"/>
                <a:cs typeface="+mn-cs"/>
              </a:defRPr>
            </a:pPr>
            <a:r>
              <a:rPr lang="zh-CN" altLang="en-US" sz="1400" baseline="0"/>
              <a:t>一般公共预算财政拨款支出决算变动情况</a:t>
            </a:r>
            <a:endParaRPr lang="zh-CN" altLang="en-US" sz="1400" baseline="0"/>
          </a:p>
        </c:rich>
      </c:tx>
      <c:layout/>
      <c:overlay val="0"/>
      <c:spPr>
        <a:noFill/>
        <a:ln>
          <a:noFill/>
        </a:ln>
        <a:effectLst/>
      </c:spPr>
    </c:title>
    <c:autoTitleDeleted val="0"/>
    <c:plotArea>
      <c:layout>
        <c:manualLayout>
          <c:layoutTarget val="inner"/>
          <c:xMode val="edge"/>
          <c:yMode val="edge"/>
          <c:x val="0.0444444444444445"/>
          <c:y val="0.255202166184923"/>
          <c:w val="0.938888888888889"/>
          <c:h val="0.744797833815078"/>
        </c:manualLayout>
      </c:layout>
      <c:barChart>
        <c:barDir val="col"/>
        <c:grouping val="clustered"/>
        <c:varyColors val="0"/>
        <c:ser>
          <c:idx val="0"/>
          <c:order val="0"/>
          <c:tx>
            <c:strRef>
              <c:f>一般公共预算财政拨款支出!$A$2</c:f>
              <c:strCache>
                <c:ptCount val="1"/>
                <c:pt idx="0">
                  <c:v>一般公共预算财政拨款支出</c:v>
                </c:pt>
              </c:strCache>
            </c:strRef>
          </c:tx>
          <c:spPr>
            <a:solidFill>
              <a:schemeClr val="accent1"/>
            </a:solidFill>
            <a:ln>
              <a:noFill/>
            </a:ln>
            <a:effectLst/>
          </c:spPr>
          <c:invertIfNegative val="0"/>
          <c:dLbls>
            <c:dLbl>
              <c:idx val="0"/>
              <c:layout>
                <c:manualLayout>
                  <c:x val="-0.0270833333333333"/>
                  <c:y val="0.00632911392405063"/>
                </c:manualLayout>
              </c:layout>
              <c:numFmt formatCode="General" sourceLinked="1"/>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en-US" altLang="en-US"/>
                      <a:t>3564.24</a:t>
                    </a:r>
                    <a:endParaRPr lang="en-US" altLang="en-US"/>
                  </a:p>
                </c:rich>
              </c:tx>
              <c:numFmt formatCode="General" sourceLinked="1"/>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00833333333333327"/>
                  <c:y val="0.0434483568175022"/>
                </c:manualLayout>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en-US" altLang="en-US"/>
                      <a:t>-1493.26</a:t>
                    </a:r>
                    <a:endParaRPr lang="en-US" altLang="en-US"/>
                  </a:p>
                </c:rich>
              </c:tx>
              <c:numFmt formatCode="General" sourceLinked="1"/>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24305774278215"/>
                  <c:y val="-0.0358643144290508"/>
                </c:manualLayout>
              </c:layout>
              <c:numFmt formatCode="General" sourceLinked="1"/>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noFill/>
                    <a:ln w="9525" cap="flat" cmpd="sng" algn="ctr">
                      <a:solidFill>
                        <a:schemeClr val="tx1"/>
                      </a:solidFill>
                      <a:prstDash val="solid"/>
                      <a:round/>
                    </a:ln>
                    <a:effectLst/>
                  </c:spPr>
                </c15:leaderLines>
              </c:ext>
            </c:extLst>
          </c:dLbls>
          <c:cat>
            <c:strRef>
              <c:f>一般公共预算财政拨款支出!$B$1:$E$1</c:f>
              <c:strCache>
                <c:ptCount val="4"/>
                <c:pt idx="0">
                  <c:v>2019年</c:v>
                </c:pt>
                <c:pt idx="1">
                  <c:v>2020年</c:v>
                </c:pt>
                <c:pt idx="2">
                  <c:v>同比减少</c:v>
                </c:pt>
                <c:pt idx="3">
                  <c:v>同比减少</c:v>
                </c:pt>
              </c:strCache>
            </c:strRef>
          </c:cat>
          <c:val>
            <c:numRef>
              <c:f>一般公共预算财政拨款支出!$B$2:$E$2</c:f>
              <c:numCache>
                <c:formatCode>General</c:formatCode>
                <c:ptCount val="4"/>
                <c:pt idx="0" c:formatCode="General">
                  <c:v>5057.5</c:v>
                </c:pt>
                <c:pt idx="1" c:formatCode="General">
                  <c:v>3569.06</c:v>
                </c:pt>
                <c:pt idx="2" c:formatCode="General">
                  <c:v>-1488.44</c:v>
                </c:pt>
                <c:pt idx="3" c:formatCode="0.00%">
                  <c:v>-0.29430350963915</c:v>
                </c:pt>
              </c:numCache>
            </c:numRef>
          </c:val>
        </c:ser>
        <c:ser>
          <c:idx val="1"/>
          <c:order val="1"/>
          <c:tx>
            <c:strRef>
              <c:f>一般公共预算财政拨款支出!$A$3</c:f>
              <c:strCache>
                <c:ptCount val="1"/>
                <c:pt idx="0">
                  <c:v>全年支出</c:v>
                </c:pt>
              </c:strCache>
            </c:strRef>
          </c:tx>
          <c:spPr>
            <a:solidFill>
              <a:schemeClr val="accent2"/>
            </a:solidFill>
            <a:ln>
              <a:noFill/>
            </a:ln>
            <a:effectLst/>
          </c:spPr>
          <c:invertIfNegative val="0"/>
          <c:dLbls>
            <c:dLbl>
              <c:idx val="0"/>
              <c:layout>
                <c:manualLayout>
                  <c:x val="0.0333333333333333"/>
                  <c:y val="0.0126582278481013"/>
                </c:manualLayout>
              </c:layout>
              <c:numFmt formatCode="General" sourceLinked="1"/>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lgn="ctr" defTabSz="914400">
                      <a:defRPr lang="zh-CN" sz="1000" b="0" i="0" u="none" strike="noStrike" kern="1200" baseline="0">
                        <a:solidFill>
                          <a:schemeClr val="tx1"/>
                        </a:solidFill>
                        <a:latin typeface="+mn-lt"/>
                        <a:ea typeface="+mn-ea"/>
                        <a:cs typeface="+mn-cs"/>
                      </a:defRPr>
                    </a:pPr>
                    <a:r>
                      <a:t>4987.2</a:t>
                    </a:r>
                    <a:r>
                      <a:rPr lang="en-US" altLang="zh-CN"/>
                      <a:t>7</a:t>
                    </a:r>
                    <a:endParaRPr lang="en-US" altLang="zh-CN"/>
                  </a:p>
                </c:rich>
              </c:tx>
              <c:numFmt formatCode="General" sourceLinked="1"/>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150694444444445"/>
                  <c:y val="-0.0601255855676268"/>
                </c:manualLayout>
              </c:layout>
              <c:numFmt formatCode="General" sourceLinked="1"/>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7079323417906"/>
                  <c:y val="-0.0495777268347786"/>
                </c:manualLayout>
              </c:layout>
              <c:numFmt formatCode="General" sourceLinked="1"/>
              <c:spPr>
                <a:noFill/>
                <a:ln>
                  <a:noFill/>
                </a:ln>
                <a:effectLst/>
              </c:sp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noFill/>
                    <a:ln w="9525" cap="flat" cmpd="sng" algn="ctr">
                      <a:solidFill>
                        <a:schemeClr val="tx1"/>
                      </a:solidFill>
                      <a:prstDash val="solid"/>
                      <a:round/>
                    </a:ln>
                    <a:effectLst/>
                  </c:spPr>
                </c15:leaderLines>
              </c:ext>
            </c:extLst>
          </c:dLbls>
          <c:cat>
            <c:strRef>
              <c:f>一般公共预算财政拨款支出!$B$1:$E$1</c:f>
              <c:strCache>
                <c:ptCount val="4"/>
                <c:pt idx="0">
                  <c:v>2019年</c:v>
                </c:pt>
                <c:pt idx="1">
                  <c:v>2020年</c:v>
                </c:pt>
                <c:pt idx="2">
                  <c:v>同比减少</c:v>
                </c:pt>
                <c:pt idx="3">
                  <c:v>同比减少</c:v>
                </c:pt>
              </c:strCache>
            </c:strRef>
          </c:cat>
          <c:val>
            <c:numRef>
              <c:f>一般公共预算财政拨款支出!$B$3:$E$3</c:f>
              <c:numCache>
                <c:formatCode>General</c:formatCode>
                <c:ptCount val="4"/>
                <c:pt idx="0" c:formatCode="General">
                  <c:v>5194.5</c:v>
                </c:pt>
                <c:pt idx="1" c:formatCode="General">
                  <c:v>4987.26</c:v>
                </c:pt>
                <c:pt idx="2" c:formatCode="0.00_ ">
                  <c:v>-207.24</c:v>
                </c:pt>
                <c:pt idx="3" c:formatCode="0.00%">
                  <c:v>-0.0398960438925786</c:v>
                </c:pt>
              </c:numCache>
            </c:numRef>
          </c:val>
        </c:ser>
        <c:dLbls>
          <c:dLblPos val="outEnd"/>
          <c:showLegendKey val="0"/>
          <c:showVal val="1"/>
          <c:showCatName val="0"/>
          <c:showSerName val="0"/>
          <c:showPercent val="0"/>
          <c:showBubbleSize val="0"/>
        </c:dLbls>
        <c:gapWidth val="150"/>
        <c:overlap val="-25"/>
        <c:axId val="87690624"/>
        <c:axId val="138675328"/>
      </c:barChart>
      <c:catAx>
        <c:axId val="87690624"/>
        <c:scaling>
          <c:orientation val="minMax"/>
        </c:scaling>
        <c:delete val="0"/>
        <c:axPos val="b"/>
        <c:numFmt formatCode="General" sourceLinked="0"/>
        <c:majorTickMark val="none"/>
        <c:minorTickMark val="none"/>
        <c:tickLblPos val="nextTo"/>
        <c:spPr>
          <a:noFill/>
          <a:ln w="6350"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crossAx val="138675328"/>
        <c:crosses val="autoZero"/>
        <c:auto val="1"/>
        <c:lblAlgn val="ctr"/>
        <c:lblOffset val="100"/>
        <c:tickMarkSkip val="1"/>
        <c:noMultiLvlLbl val="0"/>
      </c:catAx>
      <c:valAx>
        <c:axId val="138675328"/>
        <c:scaling>
          <c:orientation val="minMax"/>
        </c:scaling>
        <c:delete val="1"/>
        <c:axPos val="l"/>
        <c:numFmt formatCode="General" sourceLinked="1"/>
        <c:majorTickMark val="none"/>
        <c:minorTickMark val="none"/>
        <c:tickLblPos val="nextTo"/>
        <c:spPr>
          <a:noFill/>
          <a:ln>
            <a:solidFill>
              <a:schemeClr val="tx1">
                <a:lumMod val="50000"/>
                <a:lumOff val="50000"/>
              </a:schemeClr>
            </a:solidFill>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crossAx val="87690624"/>
        <c:crosses val="autoZero"/>
        <c:crossBetween val="between"/>
      </c:valAx>
      <c:spPr>
        <a:solidFill>
          <a:schemeClr val="bg1"/>
        </a:solidFill>
        <a:ln>
          <a:noFill/>
        </a:ln>
        <a:effectLst/>
      </c:spPr>
    </c:plotArea>
    <c:legend>
      <c:legendPos val="t"/>
      <c:layout/>
      <c:overlay val="0"/>
      <c:spPr>
        <a:noFill/>
        <a:ln>
          <a:noFill/>
        </a:ln>
        <a:effectLst/>
      </c:spPr>
      <c:txPr>
        <a:bodyPr rot="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400" b="1" i="0" u="none" strike="noStrike" kern="1200" baseline="0">
                <a:solidFill>
                  <a:schemeClr val="tx1"/>
                </a:solidFill>
                <a:latin typeface="+mn-lt"/>
                <a:ea typeface="+mn-ea"/>
                <a:cs typeface="+mn-cs"/>
              </a:defRPr>
            </a:pPr>
            <a:r>
              <a:rPr lang="zh-CN" altLang="en-US" sz="1400"/>
              <a:t>一般公共预算财政拨款支出决算结构</a:t>
            </a:r>
            <a:endParaRPr lang="zh-CN" altLang="en-US" sz="1400"/>
          </a:p>
        </c:rich>
      </c:tx>
      <c:layout>
        <c:manualLayout>
          <c:xMode val="edge"/>
          <c:yMode val="edge"/>
          <c:x val="0.0145833333333333"/>
          <c:y val="0.02601908065915"/>
        </c:manualLayout>
      </c:layout>
      <c:overlay val="0"/>
      <c:spPr>
        <a:noFill/>
        <a:ln>
          <a:noFill/>
        </a:ln>
        <a:effectLst/>
      </c:spPr>
    </c:title>
    <c:autoTitleDeleted val="0"/>
    <c:plotArea>
      <c:layout/>
      <c:pieChart>
        <c:varyColors val="1"/>
        <c:ser>
          <c:idx val="0"/>
          <c:order val="0"/>
          <c:spPr>
            <a:effectLst/>
          </c:spPr>
          <c:explosion val="0"/>
          <c:dPt>
            <c:idx val="0"/>
            <c:bubble3D val="0"/>
            <c:explosion val="0"/>
            <c:spPr>
              <a:solidFill>
                <a:schemeClr val="accent1">
                  <a:shade val="76667"/>
                </a:schemeClr>
              </a:solidFill>
              <a:ln>
                <a:noFill/>
              </a:ln>
              <a:effectLst/>
            </c:spPr>
          </c:dPt>
          <c:dPt>
            <c:idx val="1"/>
            <c:bubble3D val="0"/>
            <c:explosion val="0"/>
            <c:spPr>
              <a:solidFill>
                <a:schemeClr val="accent2">
                  <a:shade val="76667"/>
                </a:schemeClr>
              </a:solidFill>
              <a:ln>
                <a:noFill/>
              </a:ln>
              <a:effectLst/>
            </c:spPr>
          </c:dPt>
          <c:dPt>
            <c:idx val="2"/>
            <c:bubble3D val="0"/>
            <c:explosion val="0"/>
            <c:spPr>
              <a:solidFill>
                <a:schemeClr val="accent3">
                  <a:shade val="76667"/>
                </a:schemeClr>
              </a:solidFill>
              <a:ln>
                <a:noFill/>
              </a:ln>
              <a:effectLst/>
            </c:spPr>
          </c:dPt>
          <c:dPt>
            <c:idx val="3"/>
            <c:bubble3D val="0"/>
            <c:explosion val="0"/>
            <c:spPr>
              <a:solidFill>
                <a:schemeClr val="accent4">
                  <a:shade val="76667"/>
                </a:schemeClr>
              </a:solidFill>
              <a:ln>
                <a:noFill/>
              </a:ln>
              <a:effectLst/>
            </c:spPr>
          </c:dPt>
          <c:dPt>
            <c:idx val="4"/>
            <c:bubble3D val="0"/>
            <c:explosion val="0"/>
            <c:spPr>
              <a:solidFill>
                <a:schemeClr val="accent5">
                  <a:shade val="76667"/>
                </a:schemeClr>
              </a:solidFill>
              <a:ln>
                <a:noFill/>
              </a:ln>
              <a:effectLst/>
            </c:spPr>
          </c:dPt>
          <c:dPt>
            <c:idx val="5"/>
            <c:bubble3D val="0"/>
            <c:explosion val="0"/>
            <c:spPr>
              <a:solidFill>
                <a:schemeClr val="accent6">
                  <a:shade val="76667"/>
                </a:schemeClr>
              </a:solidFill>
              <a:ln>
                <a:noFill/>
              </a:ln>
              <a:effectLst/>
            </c:spPr>
          </c:dPt>
          <c:dPt>
            <c:idx val="6"/>
            <c:bubble3D val="0"/>
            <c:explosion val="0"/>
            <c:spPr>
              <a:solidFill>
                <a:schemeClr val="accent1">
                  <a:tint val="76667"/>
                </a:schemeClr>
              </a:solidFill>
              <a:ln>
                <a:noFill/>
              </a:ln>
              <a:effectLst/>
            </c:spPr>
          </c:dPt>
          <c:dLbls>
            <c:dLbl>
              <c:idx val="0"/>
              <c:layout>
                <c:manualLayout>
                  <c:x val="0.272916666666667"/>
                  <c:y val="0.0683000867302689"/>
                </c:manualLayout>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一般公共服务支出
</a:t>
                    </a:r>
                    <a:r>
                      <a:rPr lang="en-US" altLang="zh-CN"/>
                      <a:t>0.24%</a:t>
                    </a:r>
                    <a:endParaRPr lang="en-US" altLang="zh-CN"/>
                  </a:p>
                </c:rich>
              </c:tx>
              <c:numFmt formatCode="General" sourceLinked="1"/>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583333333333333"/>
                  <c:y val="0.0617953165654814"/>
                </c:manualLayout>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公共安全支出
</a:t>
                    </a:r>
                    <a:r>
                      <a:rPr lang="en-US" altLang="zh-CN"/>
                      <a:t>2.38%</a:t>
                    </a:r>
                    <a:endParaRPr lang="en-US" altLang="zh-CN"/>
                  </a:p>
                </c:rich>
              </c:tx>
              <c:numFmt formatCode="General" sourceLinked="1"/>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文化旅游体育与传媒支出
</a:t>
                    </a:r>
                    <a:r>
                      <a:rPr lang="en-US" altLang="zh-CN"/>
                      <a:t>29.63%</a:t>
                    </a:r>
                    <a:endParaRPr lang="en-US" altLang="zh-CN"/>
                  </a:p>
                </c:rich>
              </c:tx>
              <c:numFmt formatCode="General" sourceLinked="1"/>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社会保障和就业支出
</a:t>
                    </a:r>
                    <a:r>
                      <a:rPr lang="en-US" altLang="zh-CN"/>
                      <a:t>5.63%</a:t>
                    </a:r>
                    <a:endParaRPr lang="en-US" altLang="zh-CN"/>
                  </a:p>
                </c:rich>
              </c:tx>
              <c:numFmt formatCode="General" sourceLinked="1"/>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城乡社区支出
</a:t>
                    </a:r>
                    <a:r>
                      <a:rPr lang="en-US" altLang="zh-CN"/>
                      <a:t>55.66%</a:t>
                    </a:r>
                    <a:endParaRPr lang="en-US" altLang="zh-CN"/>
                  </a:p>
                </c:rich>
              </c:tx>
              <c:numFmt formatCode="General" sourceLinked="1"/>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5"/>
              <c:layout>
                <c:manualLayout>
                  <c:x val="-0.147093503937008"/>
                  <c:y val="0.0705820374650538"/>
                </c:manualLayout>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农林水支出
</a:t>
                    </a:r>
                    <a:r>
                      <a:rPr lang="en-US" altLang="zh-CN"/>
                      <a:t>1.26%</a:t>
                    </a:r>
                    <a:endParaRPr lang="en-US" altLang="zh-CN"/>
                  </a:p>
                </c:rich>
              </c:tx>
              <c:numFmt formatCode="General" sourceLinked="1"/>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354166666666667"/>
                  <c:y val="0.0487857762359063"/>
                </c:manualLayout>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住房保障支出
</a:t>
                    </a:r>
                    <a:r>
                      <a:rPr lang="en-US" altLang="zh-CN"/>
                      <a:t>5.20%</a:t>
                    </a:r>
                    <a:endParaRPr lang="en-US" altLang="zh-CN"/>
                  </a:p>
                </c:rich>
              </c:tx>
              <c:numFmt formatCode="General" sourceLinked="1"/>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spPr>
                    <a:noFill/>
                    <a:ln w="9525" cap="flat" cmpd="sng" algn="ctr">
                      <a:solidFill>
                        <a:schemeClr val="tx1"/>
                      </a:solidFill>
                      <a:prstDash val="solid"/>
                      <a:round/>
                    </a:ln>
                    <a:effectLst/>
                  </c:spPr>
                </c15:leaderLines>
              </c:ext>
            </c:extLst>
          </c:dLbls>
          <c:cat>
            <c:strRef>
              <c:f>一般公共预算财政拨款支出决算结构!$A$1:$A$7</c:f>
              <c:strCache>
                <c:ptCount val="7"/>
                <c:pt idx="0">
                  <c:v>一般公共服务支出</c:v>
                </c:pt>
                <c:pt idx="1">
                  <c:v>公共安全支出</c:v>
                </c:pt>
                <c:pt idx="2">
                  <c:v>文化旅游体育与传媒支出</c:v>
                </c:pt>
                <c:pt idx="3">
                  <c:v>社会保障和就业支出</c:v>
                </c:pt>
                <c:pt idx="4">
                  <c:v>城乡社区支出</c:v>
                </c:pt>
                <c:pt idx="5">
                  <c:v>农林水支出</c:v>
                </c:pt>
                <c:pt idx="6">
                  <c:v>住房保障支出</c:v>
                </c:pt>
              </c:strCache>
            </c:strRef>
          </c:cat>
          <c:val>
            <c:numRef>
              <c:f>一般公共预算财政拨款支出决算结构!$B$1:$B$7</c:f>
              <c:numCache>
                <c:formatCode>0.00%</c:formatCode>
                <c:ptCount val="7"/>
                <c:pt idx="0">
                  <c:v>0.0022</c:v>
                </c:pt>
                <c:pt idx="1">
                  <c:v>0.0238</c:v>
                </c:pt>
                <c:pt idx="2">
                  <c:v>0.2963</c:v>
                </c:pt>
                <c:pt idx="3">
                  <c:v>0.0563</c:v>
                </c:pt>
                <c:pt idx="4">
                  <c:v>0.5566</c:v>
                </c:pt>
                <c:pt idx="5">
                  <c:v>0.0126</c:v>
                </c:pt>
                <c:pt idx="6">
                  <c:v>0.052</c:v>
                </c:pt>
              </c:numCache>
            </c:numRef>
          </c:val>
        </c:ser>
        <c:ser>
          <c:idx val="1"/>
          <c:order val="1"/>
          <c:spPr>
            <a:effectLst/>
          </c:spPr>
          <c:explosion val="0"/>
          <c:dPt>
            <c:idx val="0"/>
            <c:bubble3D val="0"/>
            <c:explosion val="0"/>
            <c:spPr>
              <a:solidFill>
                <a:schemeClr val="accent1">
                  <a:shade val="76667"/>
                </a:schemeClr>
              </a:solidFill>
              <a:ln>
                <a:noFill/>
              </a:ln>
              <a:effectLst/>
            </c:spPr>
          </c:dPt>
          <c:dPt>
            <c:idx val="1"/>
            <c:bubble3D val="0"/>
            <c:explosion val="0"/>
            <c:spPr>
              <a:solidFill>
                <a:schemeClr val="accent2">
                  <a:shade val="76667"/>
                </a:schemeClr>
              </a:solidFill>
              <a:ln>
                <a:noFill/>
              </a:ln>
              <a:effectLst/>
            </c:spPr>
          </c:dPt>
          <c:dPt>
            <c:idx val="2"/>
            <c:bubble3D val="0"/>
            <c:explosion val="0"/>
            <c:spPr>
              <a:solidFill>
                <a:schemeClr val="accent3">
                  <a:shade val="76667"/>
                </a:schemeClr>
              </a:solidFill>
              <a:ln>
                <a:noFill/>
              </a:ln>
              <a:effectLst/>
            </c:spPr>
          </c:dPt>
          <c:dPt>
            <c:idx val="3"/>
            <c:bubble3D val="0"/>
            <c:explosion val="0"/>
            <c:spPr>
              <a:solidFill>
                <a:schemeClr val="accent4">
                  <a:shade val="76667"/>
                </a:schemeClr>
              </a:solidFill>
              <a:ln>
                <a:noFill/>
              </a:ln>
              <a:effectLst/>
            </c:spPr>
          </c:dPt>
          <c:dPt>
            <c:idx val="4"/>
            <c:bubble3D val="0"/>
            <c:explosion val="0"/>
            <c:spPr>
              <a:solidFill>
                <a:schemeClr val="accent5">
                  <a:shade val="76667"/>
                </a:schemeClr>
              </a:solidFill>
              <a:ln>
                <a:noFill/>
              </a:ln>
              <a:effectLst/>
            </c:spPr>
          </c:dPt>
          <c:dPt>
            <c:idx val="5"/>
            <c:bubble3D val="0"/>
            <c:explosion val="0"/>
            <c:spPr>
              <a:solidFill>
                <a:schemeClr val="accent6">
                  <a:shade val="76667"/>
                </a:schemeClr>
              </a:solidFill>
              <a:ln>
                <a:noFill/>
              </a:ln>
              <a:effectLst/>
            </c:spPr>
          </c:dPt>
          <c:dPt>
            <c:idx val="6"/>
            <c:bubble3D val="0"/>
            <c:explosion val="0"/>
            <c:spPr>
              <a:solidFill>
                <a:schemeClr val="accent1">
                  <a:tint val="76667"/>
                </a:schemeClr>
              </a:solidFill>
              <a:ln>
                <a:noFill/>
              </a:ln>
              <a:effectLst/>
            </c:spPr>
          </c:dPt>
          <c:dLbls>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spPr>
                    <a:noFill/>
                    <a:ln w="9525" cap="flat" cmpd="sng" algn="ctr">
                      <a:solidFill>
                        <a:schemeClr val="tx1"/>
                      </a:solidFill>
                      <a:prstDash val="solid"/>
                      <a:round/>
                    </a:ln>
                    <a:effectLst/>
                  </c:spPr>
                </c15:leaderLines>
              </c:ext>
            </c:extLst>
          </c:dLbls>
          <c:cat>
            <c:strRef>
              <c:f>一般公共预算财政拨款支出决算结构!$A$1:$A$7</c:f>
              <c:strCache>
                <c:ptCount val="7"/>
                <c:pt idx="0">
                  <c:v>一般公共服务支出</c:v>
                </c:pt>
                <c:pt idx="1">
                  <c:v>公共安全支出</c:v>
                </c:pt>
                <c:pt idx="2">
                  <c:v>文化旅游体育与传媒支出</c:v>
                </c:pt>
                <c:pt idx="3">
                  <c:v>社会保障和就业支出</c:v>
                </c:pt>
                <c:pt idx="4">
                  <c:v>城乡社区支出</c:v>
                </c:pt>
                <c:pt idx="5">
                  <c:v>农林水支出</c:v>
                </c:pt>
                <c:pt idx="6">
                  <c:v>住房保障支出</c:v>
                </c:pt>
              </c:strCache>
            </c:strRef>
          </c:cat>
          <c:val>
            <c:numRef>
              <c:f>一般公共预算财政拨款支出决算结构!$C$1:$C$7</c:f>
              <c:numCache>
                <c:formatCode>0.00_);[Red]\(0.00\)</c:formatCode>
                <c:ptCount val="7"/>
                <c:pt idx="0" c:formatCode="0.00_);[Red]\(0.00\)">
                  <c:v>7.97</c:v>
                </c:pt>
                <c:pt idx="1" c:formatCode="0.00_);[Red]\(0.00\)">
                  <c:v>85</c:v>
                </c:pt>
                <c:pt idx="2" c:formatCode="#,##0.00">
                  <c:v>1057.54</c:v>
                </c:pt>
                <c:pt idx="3" c:formatCode="0.00_);[Red]\(0.00\)">
                  <c:v>201.06</c:v>
                </c:pt>
                <c:pt idx="4" c:formatCode="#,##0.00">
                  <c:v>1986.94</c:v>
                </c:pt>
                <c:pt idx="5" c:formatCode="0.00_);[Red]\(0.00\)">
                  <c:v>45</c:v>
                </c:pt>
                <c:pt idx="6" c:formatCode="#,##0.00">
                  <c:v>185.55</c:v>
                </c:pt>
              </c:numCache>
            </c:numRef>
          </c:val>
        </c:ser>
        <c:dLbls>
          <c:dLblPos val="bestFit"/>
          <c:showLegendKey val="0"/>
          <c:showVal val="0"/>
          <c:showCatName val="1"/>
          <c:showSerName val="0"/>
          <c:showPercent val="1"/>
          <c:showBubbleSize val="0"/>
          <c:showLeaderLines val="1"/>
        </c:dLbls>
        <c:firstSliceAng val="0"/>
      </c:pieChart>
      <c:spPr>
        <a:solidFill>
          <a:schemeClr val="bg1"/>
        </a:solidFill>
        <a:ln>
          <a:noFill/>
        </a:ln>
        <a:effectLst/>
      </c:spPr>
    </c:plotArea>
    <c:plotVisOnly val="1"/>
    <c:dispBlanksAs val="zero"/>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tx1"/>
                </a:solidFill>
                <a:latin typeface="+mn-lt"/>
                <a:ea typeface="+mn-ea"/>
                <a:cs typeface="+mn-cs"/>
              </a:defRPr>
            </a:pPr>
            <a:r>
              <a:rPr lang="zh-CN" altLang="en-US" sz="1800"/>
              <a:t>“三公”经费财政拨款支出结构</a:t>
            </a:r>
            <a:endParaRPr lang="zh-CN" altLang="en-US" sz="1800"/>
          </a:p>
        </c:rich>
      </c:tx>
      <c:layout/>
      <c:overlay val="0"/>
      <c:spPr>
        <a:noFill/>
        <a:ln>
          <a:noFill/>
        </a:ln>
        <a:effectLst/>
      </c:spPr>
    </c:title>
    <c:autoTitleDeleted val="0"/>
    <c:plotArea>
      <c:layout>
        <c:manualLayout>
          <c:layoutTarget val="inner"/>
          <c:xMode val="edge"/>
          <c:yMode val="edge"/>
          <c:x val="0.0847222222222223"/>
          <c:y val="0.24622375328084"/>
          <c:w val="0.813888888888889"/>
          <c:h val="0.653524715660543"/>
        </c:manualLayout>
      </c:layout>
      <c:pieChart>
        <c:varyColors val="1"/>
        <c:ser>
          <c:idx val="0"/>
          <c:order val="0"/>
          <c:spPr>
            <a:effectLst/>
          </c:spPr>
          <c:explosion val="25"/>
          <c:dPt>
            <c:idx val="0"/>
            <c:bubble3D val="0"/>
            <c:explosion val="25"/>
            <c:spPr>
              <a:solidFill>
                <a:schemeClr val="accent1"/>
              </a:solidFill>
              <a:ln>
                <a:noFill/>
              </a:ln>
              <a:effectLst/>
            </c:spPr>
          </c:dPt>
          <c:dPt>
            <c:idx val="1"/>
            <c:bubble3D val="0"/>
            <c:explosion val="25"/>
            <c:spPr>
              <a:solidFill>
                <a:schemeClr val="accent2"/>
              </a:solidFill>
              <a:ln>
                <a:noFill/>
              </a:ln>
              <a:effectLst/>
            </c:spPr>
          </c:dPt>
          <c:dLbls>
            <c:dLbl>
              <c:idx val="0"/>
              <c:layout>
                <c:manualLayout>
                  <c:x val="0.0166666666666667"/>
                  <c:y val="-0.268305108787731"/>
                </c:manualLayout>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公务用车购置及运行维护费支出
</a:t>
                    </a:r>
                    <a:r>
                      <a:rPr lang="en-US" altLang="zh-CN"/>
                      <a:t>95.39%</a:t>
                    </a:r>
                    <a:endParaRPr lang="en-US" altLang="zh-CN"/>
                  </a:p>
                </c:rich>
              </c:tx>
              <c:numFmt formatCode="General" sourceLinked="1"/>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20744750656168"/>
                  <c:y val="0.179626348789735"/>
                </c:manualLayout>
              </c:layout>
              <c:tx>
                <c:rich>
                  <a:bodyPr rot="0" spcFirstLastPara="0" vertOverflow="ellipsis" vert="horz" wrap="square" lIns="38100" tIns="19050" rIns="38100" bIns="19050" anchor="ctr" anchorCtr="1"/>
                  <a:lstStyle/>
                  <a:p>
                    <a:pPr algn="ctr">
                      <a:defRPr lang="zh-CN" sz="1000" b="0" i="0" u="none" strike="noStrike" kern="1200" baseline="0">
                        <a:solidFill>
                          <a:schemeClr val="tx1"/>
                        </a:solidFill>
                        <a:latin typeface="+mn-lt"/>
                        <a:ea typeface="+mn-ea"/>
                        <a:cs typeface="+mn-cs"/>
                      </a:defRPr>
                    </a:pPr>
                    <a:r>
                      <a:rPr lang="zh-CN" altLang="en-US"/>
                      <a:t>公务接待费支出
</a:t>
                    </a:r>
                    <a:r>
                      <a:rPr lang="en-US" altLang="zh-CN"/>
                      <a:t>4.61%</a:t>
                    </a:r>
                    <a:endParaRPr lang="en-US" altLang="zh-CN"/>
                  </a:p>
                </c:rich>
              </c:tx>
              <c:numFmt formatCode="General" sourceLinked="1"/>
              <c:spPr>
                <a:noFill/>
                <a:ln>
                  <a:noFill/>
                </a:ln>
                <a:effectLst/>
              </c:sp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noFill/>
                    <a:ln w="9525" cap="flat" cmpd="sng" algn="ctr">
                      <a:solidFill>
                        <a:schemeClr val="tx1"/>
                      </a:solidFill>
                      <a:prstDash val="solid"/>
                      <a:round/>
                    </a:ln>
                    <a:effectLst/>
                  </c:spPr>
                </c15:leaderLines>
              </c:ext>
            </c:extLst>
          </c:dLbls>
          <c:cat>
            <c:strRef>
              <c:f>“三公”经费财政拨款支出结构!$A$1:$A$2</c:f>
              <c:strCache>
                <c:ptCount val="2"/>
                <c:pt idx="0">
                  <c:v>公务用车购置及运行维护费支出</c:v>
                </c:pt>
                <c:pt idx="1">
                  <c:v>公务接待费支出</c:v>
                </c:pt>
              </c:strCache>
            </c:strRef>
          </c:cat>
          <c:val>
            <c:numRef>
              <c:f>“三公”经费财政拨款支出结构!$B$1:$B$2</c:f>
              <c:numCache>
                <c:formatCode>0.00%</c:formatCode>
                <c:ptCount val="2"/>
                <c:pt idx="0">
                  <c:v>0.9539</c:v>
                </c:pt>
                <c:pt idx="1">
                  <c:v>0.0461</c:v>
                </c:pt>
              </c:numCache>
            </c:numRef>
          </c:val>
        </c:ser>
        <c:dLbls>
          <c:dLblPos val="bestFit"/>
          <c:showLegendKey val="0"/>
          <c:showVal val="0"/>
          <c:showCatName val="1"/>
          <c:showSerName val="0"/>
          <c:showPercent val="1"/>
          <c:showBubbleSize val="0"/>
          <c:showLeaderLines val="1"/>
        </c:dLbls>
        <c:firstSliceAng val="0"/>
      </c:pieChart>
      <c:spPr>
        <a:solidFill>
          <a:schemeClr val="bg1"/>
        </a:solidFill>
        <a:ln>
          <a:noFill/>
        </a:ln>
        <a:effectLst/>
      </c:spPr>
    </c:plotArea>
    <c:plotVisOnly val="1"/>
    <c:dispBlanksAs val="zero"/>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700065-FCD3-4220-B3A5-9F377165AF04}">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58</Pages>
  <Words>4494</Words>
  <Characters>25619</Characters>
  <Lines>213</Lines>
  <Paragraphs>60</Paragraphs>
  <TotalTime>0</TotalTime>
  <ScaleCrop>false</ScaleCrop>
  <LinksUpToDate>false</LinksUpToDate>
  <CharactersWithSpaces>30053</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2021-10-15T08:29:00Z</dcterms:created>
  <dc:creator>曹颖</dc:creator>
  <cp:lastModifiedBy>王国钢</cp:lastModifiedBy>
  <cp:lastPrinted>2021-07-29T03:56:00Z</cp:lastPrinted>
  <dcterms:modified xsi:type="dcterms:W3CDTF">2021-10-18T09:06:52Z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231329718BAA4923A24704BAD67FE323</vt:lpwstr>
  </property>
</Properties>
</file>