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olor w:val="000000"/>
          <w:sz w:val="72"/>
          <w:szCs w:val="72"/>
        </w:rPr>
      </w:pPr>
      <w:bookmarkStart w:id="0" w:name="_Toc15306267"/>
    </w:p>
    <w:p>
      <w:pPr>
        <w:spacing w:line="600" w:lineRule="exact"/>
        <w:jc w:val="center"/>
        <w:rPr>
          <w:rFonts w:eastAsia="方正小标宋简体"/>
          <w:color w:val="000000"/>
          <w:sz w:val="72"/>
          <w:szCs w:val="72"/>
        </w:rPr>
      </w:pPr>
    </w:p>
    <w:p>
      <w:pPr>
        <w:spacing w:line="600" w:lineRule="exact"/>
        <w:jc w:val="center"/>
        <w:rPr>
          <w:rFonts w:eastAsia="方正小标宋简体"/>
          <w:color w:val="000000"/>
          <w:sz w:val="72"/>
          <w:szCs w:val="72"/>
        </w:rPr>
      </w:pPr>
    </w:p>
    <w:p>
      <w:pPr>
        <w:adjustRightInd w:val="0"/>
        <w:snapToGrid w:val="0"/>
        <w:spacing w:line="660" w:lineRule="exact"/>
        <w:jc w:val="center"/>
        <w:outlineLvl w:val="0"/>
        <w:rPr>
          <w:rFonts w:ascii="方正小标宋简体" w:hAnsi="方正小标宋简体" w:eastAsia="方正小标宋简体" w:cs="方正小标宋简体"/>
          <w:color w:val="000000"/>
          <w:sz w:val="52"/>
          <w:szCs w:val="52"/>
        </w:rPr>
      </w:pPr>
      <w:bookmarkStart w:id="1" w:name="_Toc2825"/>
      <w:bookmarkStart w:id="2" w:name="_Toc9075"/>
      <w:bookmarkStart w:id="3" w:name="_Toc15377193"/>
      <w:bookmarkStart w:id="4" w:name="_Toc15377425"/>
      <w:bookmarkStart w:id="5" w:name="_Toc19846"/>
      <w:bookmarkStart w:id="6" w:name="_Toc14892"/>
      <w:bookmarkStart w:id="7" w:name="_Toc2090"/>
      <w:bookmarkStart w:id="8" w:name="_Toc15396597"/>
      <w:bookmarkStart w:id="9" w:name="_Toc15396475"/>
      <w:bookmarkStart w:id="10" w:name="_Toc7282"/>
      <w:bookmarkStart w:id="11" w:name="_Toc19578"/>
      <w:bookmarkStart w:id="12" w:name="_Toc15378441"/>
    </w:p>
    <w:p>
      <w:pPr>
        <w:adjustRightInd w:val="0"/>
        <w:snapToGrid w:val="0"/>
        <w:spacing w:line="660" w:lineRule="exact"/>
        <w:jc w:val="center"/>
        <w:outlineLvl w:val="0"/>
        <w:rPr>
          <w:rFonts w:ascii="方正小标宋简体" w:hAnsi="方正小标宋简体" w:eastAsia="方正小标宋简体" w:cs="方正小标宋简体"/>
          <w:color w:val="000000"/>
          <w:sz w:val="52"/>
          <w:szCs w:val="52"/>
        </w:rPr>
      </w:pPr>
    </w:p>
    <w:p>
      <w:pPr>
        <w:adjustRightInd w:val="0"/>
        <w:snapToGrid w:val="0"/>
        <w:spacing w:line="660" w:lineRule="exact"/>
        <w:jc w:val="center"/>
        <w:outlineLvl w:val="0"/>
        <w:rPr>
          <w:rFonts w:ascii="方正小标宋简体" w:hAnsi="方正小标宋简体" w:eastAsia="方正小标宋简体" w:cs="方正小标宋简体"/>
          <w:color w:val="000000"/>
          <w:sz w:val="52"/>
          <w:szCs w:val="52"/>
        </w:rPr>
      </w:pPr>
    </w:p>
    <w:p>
      <w:pPr>
        <w:adjustRightInd w:val="0"/>
        <w:snapToGrid w:val="0"/>
        <w:spacing w:line="660" w:lineRule="exact"/>
        <w:ind w:firstLine="3120" w:firstLineChars="600"/>
        <w:outlineLvl w:val="0"/>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2020年度</w:t>
      </w:r>
      <w:bookmarkEnd w:id="1"/>
      <w:bookmarkEnd w:id="2"/>
      <w:bookmarkEnd w:id="3"/>
      <w:bookmarkEnd w:id="4"/>
      <w:bookmarkEnd w:id="5"/>
      <w:bookmarkEnd w:id="6"/>
      <w:bookmarkEnd w:id="7"/>
      <w:bookmarkEnd w:id="8"/>
      <w:bookmarkEnd w:id="9"/>
      <w:bookmarkEnd w:id="10"/>
      <w:bookmarkEnd w:id="11"/>
      <w:bookmarkEnd w:id="12"/>
    </w:p>
    <w:p>
      <w:pPr>
        <w:adjustRightInd w:val="0"/>
        <w:snapToGrid w:val="0"/>
        <w:spacing w:line="660" w:lineRule="exact"/>
        <w:jc w:val="center"/>
        <w:outlineLvl w:val="0"/>
        <w:rPr>
          <w:rFonts w:ascii="方正小标宋简体" w:hAnsi="方正小标宋简体" w:eastAsia="方正小标宋简体" w:cs="方正小标宋简体"/>
          <w:color w:val="000000"/>
          <w:sz w:val="52"/>
          <w:szCs w:val="52"/>
        </w:rPr>
      </w:pPr>
      <w:bookmarkStart w:id="13" w:name="_Toc9215"/>
      <w:bookmarkStart w:id="14" w:name="_Toc15396476"/>
      <w:bookmarkStart w:id="15" w:name="_Toc15378442"/>
      <w:bookmarkStart w:id="16" w:name="_Toc28274"/>
      <w:bookmarkStart w:id="17" w:name="_Toc17830"/>
      <w:bookmarkStart w:id="18" w:name="_Toc12305"/>
      <w:bookmarkStart w:id="19" w:name="_Toc7355"/>
      <w:bookmarkStart w:id="20" w:name="_Toc15396598"/>
      <w:bookmarkStart w:id="21" w:name="_Toc15377194"/>
      <w:bookmarkStart w:id="22" w:name="_Toc15377426"/>
      <w:bookmarkStart w:id="23" w:name="_Toc1281"/>
      <w:bookmarkStart w:id="24" w:name="_Toc307"/>
      <w:r>
        <w:rPr>
          <w:rFonts w:hint="eastAsia" w:ascii="方正小标宋简体" w:hAnsi="方正小标宋简体" w:eastAsia="方正小标宋简体" w:cs="方正小标宋简体"/>
          <w:color w:val="000000"/>
          <w:sz w:val="52"/>
          <w:szCs w:val="52"/>
        </w:rPr>
        <w:t>四川省</w:t>
      </w:r>
      <w:bookmarkEnd w:id="0"/>
      <w:bookmarkStart w:id="25" w:name="_Toc15306268"/>
      <w:r>
        <w:rPr>
          <w:rFonts w:hint="eastAsia" w:ascii="方正小标宋简体" w:hAnsi="方正小标宋简体" w:eastAsia="方正小标宋简体" w:cs="方正小标宋简体"/>
          <w:color w:val="000000"/>
          <w:sz w:val="52"/>
          <w:szCs w:val="52"/>
        </w:rPr>
        <w:t>攀枝花市文艺创评室</w:t>
      </w:r>
      <w:bookmarkEnd w:id="13"/>
    </w:p>
    <w:p>
      <w:pPr>
        <w:adjustRightInd w:val="0"/>
        <w:snapToGrid w:val="0"/>
        <w:spacing w:line="660" w:lineRule="exact"/>
        <w:ind w:firstLine="3120" w:firstLineChars="600"/>
        <w:outlineLvl w:val="0"/>
        <w:rPr>
          <w:rFonts w:ascii="方正小标宋简体" w:hAnsi="方正小标宋简体" w:eastAsia="方正小标宋简体" w:cs="方正小标宋简体"/>
          <w:color w:val="000000"/>
          <w:sz w:val="52"/>
          <w:szCs w:val="52"/>
        </w:rPr>
      </w:pPr>
      <w:bookmarkStart w:id="26" w:name="_Toc684"/>
      <w:r>
        <w:rPr>
          <w:rFonts w:hint="eastAsia" w:ascii="方正小标宋简体" w:hAnsi="方正小标宋简体" w:eastAsia="方正小标宋简体" w:cs="方正小标宋简体"/>
          <w:color w:val="000000"/>
          <w:sz w:val="52"/>
          <w:szCs w:val="52"/>
        </w:rPr>
        <w:t>部门决算</w:t>
      </w:r>
      <w:bookmarkEnd w:id="14"/>
      <w:bookmarkEnd w:id="15"/>
      <w:bookmarkEnd w:id="16"/>
      <w:bookmarkEnd w:id="17"/>
      <w:bookmarkEnd w:id="18"/>
      <w:bookmarkEnd w:id="19"/>
      <w:bookmarkEnd w:id="20"/>
      <w:bookmarkEnd w:id="21"/>
      <w:bookmarkEnd w:id="22"/>
      <w:bookmarkEnd w:id="23"/>
      <w:bookmarkEnd w:id="24"/>
      <w:bookmarkEnd w:id="25"/>
      <w:bookmarkEnd w:id="26"/>
    </w:p>
    <w:p>
      <w:pPr>
        <w:adjustRightInd w:val="0"/>
        <w:snapToGrid w:val="0"/>
        <w:spacing w:line="600" w:lineRule="exact"/>
        <w:jc w:val="center"/>
        <w:rPr>
          <w:rFonts w:eastAsia="方正小标宋简体"/>
          <w:color w:val="000000"/>
          <w:sz w:val="52"/>
          <w:szCs w:val="52"/>
        </w:rPr>
      </w:pPr>
    </w:p>
    <w:p>
      <w:pPr>
        <w:widowControl/>
        <w:spacing w:line="600" w:lineRule="exact"/>
        <w:jc w:val="center"/>
        <w:rPr>
          <w:rFonts w:eastAsia="黑体"/>
          <w:color w:val="000000"/>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p>
    <w:p>
      <w:pPr>
        <w:widowControl/>
        <w:spacing w:line="600" w:lineRule="exact"/>
        <w:jc w:val="center"/>
        <w:rPr>
          <w:rFonts w:eastAsia="黑体"/>
          <w:color w:val="000000"/>
          <w:sz w:val="48"/>
          <w:szCs w:val="48"/>
        </w:rPr>
      </w:pPr>
      <w:r>
        <w:rPr>
          <w:rFonts w:eastAsia="黑体"/>
          <w:color w:val="000000"/>
          <w:sz w:val="48"/>
          <w:szCs w:val="48"/>
        </w:rPr>
        <w:t>目录</w:t>
      </w:r>
    </w:p>
    <w:p>
      <w:pPr>
        <w:widowControl/>
        <w:spacing w:line="600" w:lineRule="exact"/>
        <w:jc w:val="center"/>
        <w:rPr>
          <w:rFonts w:eastAsia="黑体"/>
          <w:sz w:val="28"/>
          <w:szCs w:val="28"/>
        </w:rPr>
      </w:pPr>
    </w:p>
    <w:p>
      <w:pPr>
        <w:pStyle w:val="12"/>
        <w:spacing w:line="600" w:lineRule="exact"/>
        <w:rPr>
          <w:rFonts w:ascii="Times New Roman" w:hAnsi="Times New Roman"/>
        </w:rPr>
      </w:pPr>
      <w:r>
        <w:rPr>
          <w:rFonts w:ascii="Times New Roman" w:hAnsi="Times New Roman"/>
        </w:rPr>
        <w:t>公开时间：2021年</w:t>
      </w:r>
      <w:r>
        <w:rPr>
          <w:rFonts w:hint="eastAsia" w:ascii="Times New Roman" w:hAnsi="Times New Roman"/>
        </w:rPr>
        <w:t>9</w:t>
      </w:r>
      <w:r>
        <w:rPr>
          <w:rFonts w:ascii="Times New Roman" w:hAnsi="Times New Roman"/>
        </w:rPr>
        <w:t>月1</w:t>
      </w:r>
      <w:r>
        <w:rPr>
          <w:rFonts w:hint="eastAsia" w:ascii="Times New Roman" w:hAnsi="Times New Roman"/>
        </w:rPr>
        <w:t>0</w:t>
      </w:r>
      <w:r>
        <w:rPr>
          <w:rFonts w:ascii="Times New Roman" w:hAnsi="Times New Roman"/>
        </w:rPr>
        <w:t>日</w:t>
      </w:r>
    </w:p>
    <w:p>
      <w:pPr>
        <w:spacing w:line="600" w:lineRule="exact"/>
      </w:pPr>
    </w:p>
    <w:p>
      <w:pPr>
        <w:widowControl/>
        <w:spacing w:line="600" w:lineRule="exact"/>
        <w:jc w:val="left"/>
        <w:rPr>
          <w:rFonts w:eastAsia="仿宋"/>
          <w:bCs/>
          <w:kern w:val="44"/>
          <w:sz w:val="24"/>
        </w:rPr>
      </w:pPr>
      <w:bookmarkStart w:id="27" w:name="_Toc15377196"/>
      <w:bookmarkStart w:id="28" w:name="_Toc15396599"/>
    </w:p>
    <w:p>
      <w:pPr>
        <w:pStyle w:val="12"/>
        <w:tabs>
          <w:tab w:val="right" w:leader="dot" w:pos="8306"/>
          <w:tab w:val="clear" w:pos="8296"/>
        </w:tabs>
        <w:spacing w:line="580" w:lineRule="exact"/>
        <w:jc w:val="both"/>
        <w:rPr>
          <w:rFonts w:eastAsia="黑体"/>
        </w:rPr>
      </w:pPr>
      <w:bookmarkStart w:id="29" w:name="_Toc13576"/>
      <w:r>
        <w:rPr>
          <w:rFonts w:eastAsia="黑体"/>
          <w:b/>
        </w:rPr>
        <w:fldChar w:fldCharType="begin"/>
      </w:r>
      <w:r>
        <w:rPr>
          <w:rFonts w:eastAsia="黑体"/>
          <w:b/>
        </w:rPr>
        <w:instrText xml:space="preserve">TOC \o "1-2" \h \u </w:instrText>
      </w:r>
      <w:r>
        <w:rPr>
          <w:rFonts w:eastAsia="黑体"/>
          <w:b/>
        </w:rPr>
        <w:fldChar w:fldCharType="separate"/>
      </w:r>
      <w:r>
        <w:fldChar w:fldCharType="begin"/>
      </w:r>
      <w:r>
        <w:instrText xml:space="preserve"> HYPERLINK \l "_Toc12642" </w:instrText>
      </w:r>
      <w:r>
        <w:fldChar w:fldCharType="separate"/>
      </w:r>
      <w:r>
        <w:rPr>
          <w:rFonts w:hint="eastAsia" w:ascii="黑体" w:hAnsi="黑体" w:eastAsia="黑体"/>
        </w:rPr>
        <w:t>第一部分部门概况</w:t>
      </w:r>
      <w:r>
        <w:tab/>
      </w:r>
      <w:r>
        <w:fldChar w:fldCharType="begin"/>
      </w:r>
      <w:r>
        <w:instrText xml:space="preserve"> PAGEREF _Toc12642 \h </w:instrText>
      </w:r>
      <w:r>
        <w:fldChar w:fldCharType="separate"/>
      </w:r>
      <w:r>
        <w:t>1</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"_Toc25905" </w:instrText>
      </w:r>
      <w:r>
        <w:fldChar w:fldCharType="separate"/>
      </w:r>
      <w:r>
        <w:rPr>
          <w:rFonts w:hint="eastAsia" w:ascii="黑体" w:hAnsi="黑体" w:eastAsia="黑体" w:cs="黑体"/>
          <w:szCs w:val="32"/>
        </w:rPr>
        <w:t>一、基本职能及主要工作</w:t>
      </w:r>
      <w:r>
        <w:tab/>
      </w:r>
      <w:r>
        <w:rPr>
          <w:rFonts w:hint="eastAsia"/>
        </w:rPr>
        <w:t>1</w:t>
      </w:r>
      <w:r>
        <w:rPr>
          <w:rFonts w:hint="eastAsia"/>
        </w:rPr>
        <w:fldChar w:fldCharType="end"/>
      </w:r>
    </w:p>
    <w:p>
      <w:pPr>
        <w:pStyle w:val="13"/>
        <w:tabs>
          <w:tab w:val="right" w:leader="dot" w:pos="8306"/>
          <w:tab w:val="clear" w:pos="8296"/>
        </w:tabs>
        <w:spacing w:line="580" w:lineRule="exact"/>
      </w:pPr>
      <w:r>
        <w:fldChar w:fldCharType="begin"/>
      </w:r>
      <w:r>
        <w:instrText xml:space="preserve"> HYPERLINK \l "_Toc25905" </w:instrText>
      </w:r>
      <w:r>
        <w:fldChar w:fldCharType="separate"/>
      </w:r>
      <w:r>
        <w:rPr>
          <w:rFonts w:hint="eastAsia" w:ascii="黑体" w:hAnsi="黑体" w:eastAsia="黑体" w:cs="黑体"/>
          <w:szCs w:val="32"/>
        </w:rPr>
        <w:t>一、机构设置</w:t>
      </w:r>
      <w:r>
        <w:tab/>
      </w:r>
      <w:r>
        <w:rPr>
          <w:rFonts w:hint="eastAsia"/>
        </w:rPr>
        <w:t>3</w:t>
      </w:r>
      <w:r>
        <w:rPr>
          <w:rFonts w:hint="eastAsia"/>
        </w:rPr>
        <w:fldChar w:fldCharType="end"/>
      </w:r>
    </w:p>
    <w:p>
      <w:pPr>
        <w:pStyle w:val="12"/>
        <w:tabs>
          <w:tab w:val="right" w:leader="dot" w:pos="8306"/>
          <w:tab w:val="clear" w:pos="8296"/>
        </w:tabs>
        <w:spacing w:line="580" w:lineRule="exact"/>
      </w:pPr>
      <w:r>
        <w:fldChar w:fldCharType="begin"/>
      </w:r>
      <w:r>
        <w:instrText xml:space="preserve"> HYPERLINK \l "_Toc5563" </w:instrText>
      </w:r>
      <w:r>
        <w:fldChar w:fldCharType="separate"/>
      </w:r>
      <w:r>
        <w:rPr>
          <w:rFonts w:hint="eastAsia" w:ascii="黑体" w:hAnsi="黑体" w:eastAsia="黑体"/>
        </w:rPr>
        <w:t>第二部分</w:t>
      </w:r>
      <w:r>
        <w:rPr>
          <w:rFonts w:ascii="黑体" w:hAnsi="黑体" w:eastAsia="黑体"/>
        </w:rPr>
        <w:t xml:space="preserve"> 2020</w:t>
      </w:r>
      <w:r>
        <w:rPr>
          <w:rFonts w:hint="eastAsia" w:ascii="黑体" w:hAnsi="黑体" w:eastAsia="黑体"/>
        </w:rPr>
        <w:t>年度部门决算情况说明</w:t>
      </w:r>
      <w:r>
        <w:tab/>
      </w:r>
      <w:r>
        <w:fldChar w:fldCharType="begin"/>
      </w:r>
      <w:r>
        <w:instrText xml:space="preserve"> PAGEREF _Toc5563 \h </w:instrText>
      </w:r>
      <w:r>
        <w:fldChar w:fldCharType="separate"/>
      </w:r>
      <w:r>
        <w:t>4</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"_Toc25905" </w:instrText>
      </w:r>
      <w:r>
        <w:fldChar w:fldCharType="separate"/>
      </w:r>
      <w:r>
        <w:rPr>
          <w:rFonts w:hint="eastAsia" w:ascii="黑体" w:hAnsi="黑体" w:eastAsia="黑体" w:cs="黑体"/>
          <w:szCs w:val="32"/>
        </w:rPr>
        <w:t>一、收</w:t>
      </w:r>
      <w:r>
        <w:rPr>
          <w:rFonts w:hint="eastAsia" w:ascii="黑体" w:hAnsi="黑体" w:eastAsia="黑体" w:cs="黑体"/>
        </w:rPr>
        <w:t>入支出决算总体情况说明</w:t>
      </w:r>
      <w:r>
        <w:tab/>
      </w:r>
      <w:r>
        <w:fldChar w:fldCharType="begin"/>
      </w:r>
      <w:r>
        <w:instrText xml:space="preserve"> PAGEREF _Toc25905 \h </w:instrText>
      </w:r>
      <w:r>
        <w:fldChar w:fldCharType="separate"/>
      </w:r>
      <w:r>
        <w:t>4</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"_Toc22400" </w:instrText>
      </w:r>
      <w:r>
        <w:fldChar w:fldCharType="separate"/>
      </w:r>
      <w:r>
        <w:rPr>
          <w:rFonts w:hint="eastAsia" w:ascii="黑体" w:hAnsi="黑体" w:eastAsia="黑体" w:cs="黑体"/>
          <w:szCs w:val="32"/>
        </w:rPr>
        <w:t>二、收</w:t>
      </w:r>
      <w:r>
        <w:rPr>
          <w:rFonts w:hint="eastAsia" w:ascii="黑体" w:hAnsi="黑体" w:eastAsia="黑体" w:cs="黑体"/>
        </w:rPr>
        <w:t>入决算情况说明</w:t>
      </w:r>
      <w:r>
        <w:tab/>
      </w:r>
      <w:r>
        <w:fldChar w:fldCharType="begin"/>
      </w:r>
      <w:r>
        <w:instrText xml:space="preserve"> PAGEREF _Toc22400 \h </w:instrText>
      </w:r>
      <w:r>
        <w:fldChar w:fldCharType="separate"/>
      </w:r>
      <w:r>
        <w:t>4</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"_Toc1075" </w:instrText>
      </w:r>
      <w:r>
        <w:fldChar w:fldCharType="separate"/>
      </w:r>
      <w:r>
        <w:rPr>
          <w:rFonts w:hint="eastAsia" w:ascii="黑体" w:hAnsi="黑体" w:eastAsia="黑体"/>
        </w:rPr>
        <w:t>三、支出决算情况说明</w:t>
      </w:r>
      <w:r>
        <w:tab/>
      </w:r>
      <w:r>
        <w:fldChar w:fldCharType="begin"/>
      </w:r>
      <w:r>
        <w:instrText xml:space="preserve"> PAGEREF _Toc1075 \h </w:instrText>
      </w:r>
      <w:r>
        <w:fldChar w:fldCharType="separate"/>
      </w:r>
      <w:r>
        <w:t>5</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"_Toc4611" </w:instrText>
      </w:r>
      <w:r>
        <w:fldChar w:fldCharType="separate"/>
      </w:r>
      <w:r>
        <w:rPr>
          <w:rFonts w:hint="eastAsia" w:ascii="黑体" w:hAnsi="黑体" w:eastAsia="黑体" w:cs="黑体"/>
          <w:szCs w:val="32"/>
        </w:rPr>
        <w:t>四、财</w:t>
      </w:r>
      <w:r>
        <w:rPr>
          <w:rFonts w:hint="eastAsia" w:ascii="黑体" w:hAnsi="黑体" w:eastAsia="黑体" w:cs="黑体"/>
        </w:rPr>
        <w:t>政拨款收入支出决算总体情况说明</w:t>
      </w:r>
      <w:r>
        <w:tab/>
      </w:r>
      <w:r>
        <w:fldChar w:fldCharType="begin"/>
      </w:r>
      <w:r>
        <w:instrText xml:space="preserve"> PAGEREF _Toc4611 \h </w:instrText>
      </w:r>
      <w:r>
        <w:fldChar w:fldCharType="separate"/>
      </w:r>
      <w:r>
        <w:t>5</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"_Toc16729"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_Toc16729 \h </w:instrText>
      </w:r>
      <w:r>
        <w:fldChar w:fldCharType="separate"/>
      </w:r>
      <w:r>
        <w:t>6</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"_Toc25189" </w:instrText>
      </w:r>
      <w:r>
        <w:fldChar w:fldCharType="separate"/>
      </w:r>
      <w:r>
        <w:rPr>
          <w:rFonts w:hint="eastAsia" w:ascii="黑体" w:hAnsi="黑体" w:eastAsia="黑体" w:cs="黑体"/>
          <w:szCs w:val="32"/>
        </w:rPr>
        <w:t>六、一</w:t>
      </w:r>
      <w:r>
        <w:rPr>
          <w:rFonts w:hint="eastAsia" w:ascii="黑体" w:hAnsi="黑体" w:eastAsia="黑体" w:cs="黑体"/>
        </w:rPr>
        <w:t>般公共预算财政拨款基本支出决算情况说明</w:t>
      </w:r>
      <w:r>
        <w:tab/>
      </w:r>
      <w:r>
        <w:fldChar w:fldCharType="begin"/>
      </w:r>
      <w:r>
        <w:instrText xml:space="preserve"> PAGEREF _Toc25189 \h </w:instrText>
      </w:r>
      <w:r>
        <w:fldChar w:fldCharType="separate"/>
      </w:r>
      <w:r>
        <w:t>7</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"_Toc26125" </w:instrText>
      </w:r>
      <w:r>
        <w:fldChar w:fldCharType="separate"/>
      </w:r>
      <w:r>
        <w:rPr>
          <w:rFonts w:hint="eastAsia" w:ascii="黑体" w:hAnsi="黑体" w:eastAsia="黑体" w:cs="黑体"/>
          <w:szCs w:val="32"/>
        </w:rPr>
        <w:t>七、</w:t>
      </w:r>
      <w:r>
        <w:rPr>
          <w:rFonts w:hint="eastAsia" w:ascii="黑体" w:hAnsi="黑体" w:eastAsia="黑体" w:cs="黑体"/>
        </w:rPr>
        <w:t>“三公”经费财政拨款支出决算情况说明</w:t>
      </w:r>
      <w:r>
        <w:tab/>
      </w:r>
      <w:r>
        <w:fldChar w:fldCharType="begin"/>
      </w:r>
      <w:r>
        <w:instrText xml:space="preserve"> PAGEREF _Toc26125 \h </w:instrText>
      </w:r>
      <w:r>
        <w:fldChar w:fldCharType="separate"/>
      </w:r>
      <w:r>
        <w:t>8</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"_Toc2787" </w:instrText>
      </w:r>
      <w:r>
        <w:fldChar w:fldCharType="separate"/>
      </w:r>
      <w:r>
        <w:rPr>
          <w:rFonts w:hint="eastAsia" w:ascii="黑体" w:hAnsi="黑体" w:eastAsia="黑体" w:cs="黑体"/>
          <w:szCs w:val="32"/>
        </w:rPr>
        <w:t>八、政府性基金预算支出决算情况说明</w:t>
      </w:r>
      <w:r>
        <w:tab/>
      </w:r>
      <w:r>
        <w:fldChar w:fldCharType="begin"/>
      </w:r>
      <w:r>
        <w:instrText xml:space="preserve"> PAGEREF _Toc2787 \h </w:instrText>
      </w:r>
      <w:r>
        <w:fldChar w:fldCharType="separate"/>
      </w:r>
      <w:r>
        <w:t>10</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"_Toc8294" </w:instrText>
      </w:r>
      <w:r>
        <w:fldChar w:fldCharType="separate"/>
      </w:r>
      <w:r>
        <w:rPr>
          <w:rFonts w:hint="eastAsia" w:ascii="黑体" w:hAnsi="黑体" w:eastAsia="黑体" w:cs="黑体"/>
          <w:szCs w:val="32"/>
        </w:rPr>
        <w:t>九、国有资本经营预算支出决算情况说明</w:t>
      </w:r>
      <w:r>
        <w:tab/>
      </w:r>
      <w:r>
        <w:fldChar w:fldCharType="begin"/>
      </w:r>
      <w:r>
        <w:instrText xml:space="preserve"> PAGEREF _Toc8294 \h </w:instrText>
      </w:r>
      <w:r>
        <w:fldChar w:fldCharType="separate"/>
      </w:r>
      <w:r>
        <w:t>10</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"_Toc22907" </w:instrText>
      </w:r>
      <w:r>
        <w:fldChar w:fldCharType="separate"/>
      </w:r>
      <w:r>
        <w:rPr>
          <w:rFonts w:hint="eastAsia" w:ascii="黑体" w:hAnsi="黑体" w:eastAsia="黑体" w:cs="黑体"/>
          <w:szCs w:val="32"/>
        </w:rPr>
        <w:t>十、其他重要事项的情况说明</w:t>
      </w:r>
      <w:r>
        <w:tab/>
      </w:r>
      <w:r>
        <w:fldChar w:fldCharType="begin"/>
      </w:r>
      <w:r>
        <w:instrText xml:space="preserve"> PAGEREF _Toc22907 \h </w:instrText>
      </w:r>
      <w:r>
        <w:fldChar w:fldCharType="separate"/>
      </w:r>
      <w:r>
        <w:t>10</w:t>
      </w:r>
      <w:r>
        <w:fldChar w:fldCharType="end"/>
      </w:r>
      <w:r>
        <w:fldChar w:fldCharType="end"/>
      </w:r>
    </w:p>
    <w:p>
      <w:pPr>
        <w:pStyle w:val="12"/>
        <w:tabs>
          <w:tab w:val="right" w:leader="dot" w:pos="8306"/>
          <w:tab w:val="clear" w:pos="8296"/>
        </w:tabs>
        <w:spacing w:line="580" w:lineRule="exact"/>
      </w:pPr>
      <w:r>
        <w:fldChar w:fldCharType="begin"/>
      </w:r>
      <w:r>
        <w:instrText xml:space="preserve"> HYPERLINK \l "_Toc28752" </w:instrText>
      </w:r>
      <w:r>
        <w:fldChar w:fldCharType="separate"/>
      </w:r>
      <w:r>
        <w:rPr>
          <w:rFonts w:hint="eastAsia" w:ascii="黑体" w:hAnsi="黑体" w:eastAsia="黑体"/>
        </w:rPr>
        <w:t>第三部分名词解释</w:t>
      </w:r>
      <w:r>
        <w:tab/>
      </w:r>
      <w:r>
        <w:fldChar w:fldCharType="begin"/>
      </w:r>
      <w:r>
        <w:instrText xml:space="preserve"> PAGEREF _Toc28752 \h </w:instrText>
      </w:r>
      <w:r>
        <w:fldChar w:fldCharType="separate"/>
      </w:r>
      <w:r>
        <w:t>18</w:t>
      </w:r>
      <w:r>
        <w:fldChar w:fldCharType="end"/>
      </w:r>
      <w:r>
        <w:fldChar w:fldCharType="end"/>
      </w:r>
    </w:p>
    <w:p>
      <w:pPr>
        <w:pStyle w:val="12"/>
        <w:tabs>
          <w:tab w:val="right" w:leader="dot" w:pos="8306"/>
          <w:tab w:val="clear" w:pos="8296"/>
        </w:tabs>
        <w:spacing w:line="580" w:lineRule="exact"/>
      </w:pPr>
      <w:r>
        <w:fldChar w:fldCharType="begin"/>
      </w:r>
      <w:r>
        <w:instrText xml:space="preserve"> HYPERLINK \l "_Toc6342" </w:instrText>
      </w:r>
      <w:r>
        <w:fldChar w:fldCharType="separate"/>
      </w:r>
      <w:r>
        <w:rPr>
          <w:rFonts w:hint="eastAsia" w:ascii="黑体" w:hAnsi="黑体" w:eastAsia="黑体"/>
          <w:szCs w:val="44"/>
        </w:rPr>
        <w:t>第</w:t>
      </w:r>
      <w:r>
        <w:rPr>
          <w:rFonts w:hint="eastAsia" w:ascii="黑体" w:hAnsi="黑体" w:eastAsia="黑体"/>
        </w:rPr>
        <w:t>四部分附件</w:t>
      </w:r>
      <w:r>
        <w:tab/>
      </w:r>
      <w:r>
        <w:fldChar w:fldCharType="begin"/>
      </w:r>
      <w:r>
        <w:instrText xml:space="preserve"> PAGEREF _Toc6342 \h </w:instrText>
      </w:r>
      <w:r>
        <w:fldChar w:fldCharType="separate"/>
      </w:r>
      <w:r>
        <w:t>21</w:t>
      </w:r>
      <w:r>
        <w:fldChar w:fldCharType="end"/>
      </w:r>
      <w:r>
        <w:fldChar w:fldCharType="end"/>
      </w:r>
    </w:p>
    <w:p>
      <w:pPr>
        <w:pStyle w:val="12"/>
        <w:tabs>
          <w:tab w:val="right" w:leader="dot" w:pos="8306"/>
          <w:tab w:val="clear" w:pos="8296"/>
        </w:tabs>
        <w:spacing w:line="580" w:lineRule="exact"/>
        <w:rPr>
          <w:rFonts w:eastAsia="黑体"/>
        </w:rPr>
      </w:pPr>
      <w:r>
        <w:fldChar w:fldCharType="begin"/>
      </w:r>
      <w:r>
        <w:instrText xml:space="preserve"> HYPERLINK \l "_Toc32496" </w:instrText>
      </w:r>
      <w:r>
        <w:fldChar w:fldCharType="separate"/>
      </w:r>
      <w:r>
        <w:rPr>
          <w:rFonts w:hint="eastAsia" w:ascii="黑体" w:hAnsi="黑体" w:eastAsia="黑体" w:cs="黑体"/>
          <w:szCs w:val="32"/>
        </w:rPr>
        <w:t>附件</w:t>
      </w:r>
      <w:r>
        <w:rPr>
          <w:rFonts w:ascii="黑体" w:hAnsi="黑体" w:eastAsia="黑体" w:cs="黑体"/>
          <w:szCs w:val="32"/>
        </w:rPr>
        <w:t>1</w:t>
      </w:r>
      <w:r>
        <w:tab/>
      </w:r>
      <w:r>
        <w:fldChar w:fldCharType="begin"/>
      </w:r>
      <w:r>
        <w:instrText xml:space="preserve"> PAGEREF _Toc32496 \h </w:instrText>
      </w:r>
      <w:r>
        <w:fldChar w:fldCharType="separate"/>
      </w:r>
      <w:r>
        <w:t>21</w:t>
      </w:r>
      <w:r>
        <w:fldChar w:fldCharType="end"/>
      </w:r>
      <w:r>
        <w:fldChar w:fldCharType="end"/>
      </w:r>
    </w:p>
    <w:p>
      <w:pPr>
        <w:pStyle w:val="12"/>
        <w:tabs>
          <w:tab w:val="right" w:leader="dot" w:pos="8306"/>
          <w:tab w:val="clear" w:pos="8296"/>
        </w:tabs>
        <w:spacing w:line="580" w:lineRule="exact"/>
      </w:pPr>
      <w:r>
        <w:fldChar w:fldCharType="begin"/>
      </w:r>
      <w:r>
        <w:instrText xml:space="preserve"> HYPERLINK \l "_Toc32496" </w:instrText>
      </w:r>
      <w:r>
        <w:fldChar w:fldCharType="separate"/>
      </w:r>
      <w:r>
        <w:rPr>
          <w:rFonts w:hint="eastAsia" w:ascii="黑体" w:hAnsi="黑体" w:eastAsia="黑体" w:cs="黑体"/>
          <w:szCs w:val="32"/>
        </w:rPr>
        <w:t>附件2</w:t>
      </w:r>
      <w:r>
        <w:tab/>
      </w:r>
      <w:r>
        <w:fldChar w:fldCharType="begin"/>
      </w:r>
      <w:r>
        <w:instrText xml:space="preserve"> PAGEREF _Toc32496 \h </w:instrText>
      </w:r>
      <w:r>
        <w:fldChar w:fldCharType="separate"/>
      </w:r>
      <w:r>
        <w:t>2</w:t>
      </w:r>
      <w:r>
        <w:rPr>
          <w:rFonts w:hint="eastAsia"/>
        </w:rPr>
        <w:t>5</w:t>
      </w:r>
      <w:r>
        <w:fldChar w:fldCharType="end"/>
      </w:r>
      <w:r>
        <w:fldChar w:fldCharType="end"/>
      </w:r>
    </w:p>
    <w:p>
      <w:pPr>
        <w:pStyle w:val="12"/>
        <w:tabs>
          <w:tab w:val="right" w:leader="dot" w:pos="8306"/>
          <w:tab w:val="clear" w:pos="8296"/>
        </w:tabs>
        <w:spacing w:line="580" w:lineRule="exact"/>
        <w:jc w:val="both"/>
        <w:rPr>
          <w:rFonts w:eastAsia="黑体"/>
        </w:rPr>
      </w:pPr>
      <w:r>
        <w:fldChar w:fldCharType="begin"/>
      </w:r>
      <w:r>
        <w:instrText xml:space="preserve"> HYPERLINK \l "_Toc22426" </w:instrText>
      </w:r>
      <w:r>
        <w:fldChar w:fldCharType="separate"/>
      </w:r>
      <w:r>
        <w:rPr>
          <w:rFonts w:hint="eastAsia" w:ascii="黑体" w:hAnsi="黑体" w:eastAsia="黑体"/>
          <w:szCs w:val="44"/>
        </w:rPr>
        <w:t>第</w:t>
      </w:r>
      <w:r>
        <w:rPr>
          <w:rFonts w:hint="eastAsia" w:ascii="黑体" w:hAnsi="黑体" w:eastAsia="黑体"/>
        </w:rPr>
        <w:t>五部分附表</w:t>
      </w:r>
      <w:r>
        <w:tab/>
      </w:r>
      <w:r>
        <w:rPr>
          <w:rFonts w:hint="eastAsia"/>
        </w:rPr>
        <w:t>4</w:t>
      </w:r>
      <w:r>
        <w:rPr>
          <w:rFonts w:hint="eastAsia"/>
        </w:rPr>
        <w:fldChar w:fldCharType="end"/>
      </w:r>
      <w:r>
        <w:rPr>
          <w:rFonts w:hint="eastAsia" w:eastAsia="黑体"/>
        </w:rPr>
        <w:t>3</w:t>
      </w:r>
    </w:p>
    <w:p>
      <w:pPr>
        <w:pStyle w:val="13"/>
        <w:tabs>
          <w:tab w:val="right" w:leader="dot" w:pos="8306"/>
          <w:tab w:val="clear" w:pos="8296"/>
        </w:tabs>
        <w:spacing w:line="580" w:lineRule="exact"/>
        <w:rPr>
          <w:rFonts w:eastAsia="黑体"/>
        </w:rPr>
      </w:pPr>
      <w:r>
        <w:fldChar w:fldCharType="begin"/>
      </w:r>
      <w:r>
        <w:instrText xml:space="preserve"> HYPERLINK \l "_Toc806" </w:instrText>
      </w:r>
      <w:r>
        <w:fldChar w:fldCharType="separate"/>
      </w:r>
      <w:r>
        <w:rPr>
          <w:rFonts w:hint="eastAsia" w:ascii="仿宋" w:hAnsi="仿宋" w:eastAsia="仿宋"/>
        </w:rPr>
        <w:t>一、收入支出决算总表</w:t>
      </w:r>
      <w:r>
        <w:tab/>
      </w:r>
      <w:r>
        <w:rPr>
          <w:rFonts w:hint="eastAsia"/>
        </w:rPr>
        <w:t>4</w:t>
      </w:r>
      <w:r>
        <w:rPr>
          <w:rFonts w:hint="eastAsia"/>
        </w:rPr>
        <w:fldChar w:fldCharType="end"/>
      </w:r>
      <w:r>
        <w:rPr>
          <w:rFonts w:hint="eastAsia" w:eastAsia="黑体"/>
        </w:rPr>
        <w:t>3</w:t>
      </w:r>
    </w:p>
    <w:p>
      <w:pPr>
        <w:pStyle w:val="13"/>
        <w:tabs>
          <w:tab w:val="right" w:leader="dot" w:pos="8306"/>
          <w:tab w:val="clear" w:pos="8296"/>
        </w:tabs>
        <w:spacing w:line="580" w:lineRule="exact"/>
      </w:pPr>
      <w:r>
        <w:fldChar w:fldCharType="begin"/>
      </w:r>
      <w:r>
        <w:instrText xml:space="preserve"> HYPERLINK \l "_Toc24926" </w:instrText>
      </w:r>
      <w:r>
        <w:fldChar w:fldCharType="separate"/>
      </w:r>
      <w:r>
        <w:rPr>
          <w:rFonts w:hint="eastAsia" w:ascii="仿宋" w:hAnsi="仿宋" w:eastAsia="仿宋"/>
        </w:rPr>
        <w:t>二、收入决算表</w:t>
      </w:r>
      <w:r>
        <w:tab/>
      </w:r>
      <w:r>
        <w:fldChar w:fldCharType="begin"/>
      </w:r>
      <w:r>
        <w:instrText xml:space="preserve"> PAGEREF _Toc24926 \h </w:instrText>
      </w:r>
      <w:r>
        <w:fldChar w:fldCharType="separate"/>
      </w:r>
      <w:r>
        <w:t>43</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"_Toc26574" </w:instrText>
      </w:r>
      <w:r>
        <w:fldChar w:fldCharType="separate"/>
      </w:r>
      <w:r>
        <w:rPr>
          <w:rFonts w:hint="eastAsia" w:ascii="仿宋" w:hAnsi="仿宋" w:eastAsia="仿宋"/>
        </w:rPr>
        <w:t>三、支出决算表</w:t>
      </w:r>
      <w:r>
        <w:tab/>
      </w:r>
      <w:r>
        <w:fldChar w:fldCharType="begin"/>
      </w:r>
      <w:r>
        <w:instrText xml:space="preserve"> PAGEREF _Toc26574 \h </w:instrText>
      </w:r>
      <w:r>
        <w:fldChar w:fldCharType="separate"/>
      </w:r>
      <w:r>
        <w:t>43</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"_Toc26148" </w:instrText>
      </w:r>
      <w:r>
        <w:fldChar w:fldCharType="separate"/>
      </w:r>
      <w:r>
        <w:rPr>
          <w:rFonts w:hint="eastAsia" w:ascii="仿宋" w:hAnsi="仿宋" w:eastAsia="仿宋"/>
        </w:rPr>
        <w:t>四、财政拨款收入支出决算总表</w:t>
      </w:r>
      <w:r>
        <w:tab/>
      </w:r>
      <w:r>
        <w:fldChar w:fldCharType="begin"/>
      </w:r>
      <w:r>
        <w:instrText xml:space="preserve"> PAGEREF _Toc26148 \h </w:instrText>
      </w:r>
      <w:r>
        <w:fldChar w:fldCharType="separate"/>
      </w:r>
      <w:r>
        <w:t>43</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"_Toc5983" </w:instrText>
      </w:r>
      <w:r>
        <w:fldChar w:fldCharType="separate"/>
      </w:r>
      <w:r>
        <w:rPr>
          <w:rFonts w:hint="eastAsia" w:ascii="仿宋" w:hAnsi="仿宋" w:eastAsia="仿宋"/>
        </w:rPr>
        <w:t>五、财政拨款支出决算明细表</w:t>
      </w:r>
      <w:r>
        <w:tab/>
      </w:r>
      <w:r>
        <w:fldChar w:fldCharType="begin"/>
      </w:r>
      <w:r>
        <w:instrText xml:space="preserve"> PAGEREF _Toc5983 \h </w:instrText>
      </w:r>
      <w:r>
        <w:fldChar w:fldCharType="separate"/>
      </w:r>
      <w:r>
        <w:t>43</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"_Toc7017" </w:instrText>
      </w:r>
      <w:r>
        <w:fldChar w:fldCharType="separate"/>
      </w:r>
      <w:r>
        <w:rPr>
          <w:rFonts w:hint="eastAsia" w:ascii="仿宋" w:hAnsi="仿宋" w:eastAsia="仿宋"/>
        </w:rPr>
        <w:t>六、一般公共预算财政拨款支出决算表</w:t>
      </w:r>
      <w:r>
        <w:tab/>
      </w:r>
      <w:r>
        <w:fldChar w:fldCharType="begin"/>
      </w:r>
      <w:r>
        <w:instrText xml:space="preserve"> PAGEREF _Toc7017 \h </w:instrText>
      </w:r>
      <w:r>
        <w:fldChar w:fldCharType="separate"/>
      </w:r>
      <w:r>
        <w:t>43</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"_Toc13002" </w:instrText>
      </w:r>
      <w:r>
        <w:fldChar w:fldCharType="separate"/>
      </w:r>
      <w:r>
        <w:rPr>
          <w:rFonts w:hint="eastAsia" w:ascii="仿宋" w:hAnsi="仿宋" w:eastAsia="仿宋"/>
        </w:rPr>
        <w:t>七、一般公共预算财政拨款支出决算明细表</w:t>
      </w:r>
      <w:r>
        <w:tab/>
      </w:r>
      <w:r>
        <w:fldChar w:fldCharType="begin"/>
      </w:r>
      <w:r>
        <w:instrText xml:space="preserve"> PAGEREF _Toc13002 \h </w:instrText>
      </w:r>
      <w:r>
        <w:fldChar w:fldCharType="separate"/>
      </w:r>
      <w:r>
        <w:t>43</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"_Toc537" </w:instrText>
      </w:r>
      <w:r>
        <w:fldChar w:fldCharType="separate"/>
      </w:r>
      <w:r>
        <w:rPr>
          <w:rFonts w:hint="eastAsia" w:ascii="仿宋" w:hAnsi="仿宋" w:eastAsia="仿宋"/>
        </w:rPr>
        <w:t>八、一般公共预算财政拨款基本支出决算表</w:t>
      </w:r>
      <w:r>
        <w:tab/>
      </w:r>
      <w:r>
        <w:fldChar w:fldCharType="begin"/>
      </w:r>
      <w:r>
        <w:instrText xml:space="preserve"> PAGEREF _Toc537 \h </w:instrText>
      </w:r>
      <w:r>
        <w:fldChar w:fldCharType="separate"/>
      </w:r>
      <w:r>
        <w:t>43</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"_Toc5126" </w:instrText>
      </w:r>
      <w:r>
        <w:fldChar w:fldCharType="separate"/>
      </w:r>
      <w:r>
        <w:rPr>
          <w:rFonts w:hint="eastAsia" w:ascii="仿宋" w:hAnsi="仿宋" w:eastAsia="仿宋"/>
        </w:rPr>
        <w:t>九、一般公共预算财政拨款项目支出决算表</w:t>
      </w:r>
      <w:r>
        <w:tab/>
      </w:r>
      <w:r>
        <w:fldChar w:fldCharType="begin"/>
      </w:r>
      <w:r>
        <w:instrText xml:space="preserve"> PAGEREF _Toc5126 \h </w:instrText>
      </w:r>
      <w:r>
        <w:fldChar w:fldCharType="separate"/>
      </w:r>
      <w:r>
        <w:t>43</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"_Toc24099"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_Toc24099 \h </w:instrText>
      </w:r>
      <w:r>
        <w:fldChar w:fldCharType="separate"/>
      </w:r>
      <w:r>
        <w:t>43</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"_Toc16848"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_Toc16848 \h </w:instrText>
      </w:r>
      <w:r>
        <w:fldChar w:fldCharType="separate"/>
      </w:r>
      <w:r>
        <w:t>43</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"_Toc19378"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_Toc19378 \h </w:instrText>
      </w:r>
      <w:r>
        <w:fldChar w:fldCharType="separate"/>
      </w:r>
      <w:r>
        <w:t>43</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"_Toc24189"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_Toc24189 \h </w:instrText>
      </w:r>
      <w:r>
        <w:fldChar w:fldCharType="separate"/>
      </w:r>
      <w:r>
        <w:t>43</w:t>
      </w:r>
      <w:r>
        <w:fldChar w:fldCharType="end"/>
      </w:r>
      <w:r>
        <w:fldChar w:fldCharType="end"/>
      </w:r>
    </w:p>
    <w:p>
      <w:pPr>
        <w:pStyle w:val="13"/>
        <w:tabs>
          <w:tab w:val="right" w:leader="dot" w:pos="8306"/>
          <w:tab w:val="clear" w:pos="8296"/>
        </w:tabs>
        <w:spacing w:line="580" w:lineRule="exact"/>
      </w:pPr>
      <w:r>
        <w:fldChar w:fldCharType="begin"/>
      </w:r>
      <w:r>
        <w:instrText xml:space="preserve"> HYPERLINK \l "_Toc26423"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_Toc26423 \h </w:instrText>
      </w:r>
      <w:r>
        <w:fldChar w:fldCharType="separate"/>
      </w:r>
      <w:r>
        <w:t>43</w:t>
      </w:r>
      <w:r>
        <w:fldChar w:fldCharType="end"/>
      </w:r>
      <w:r>
        <w:fldChar w:fldCharType="end"/>
      </w:r>
    </w:p>
    <w:p>
      <w:pPr>
        <w:pStyle w:val="2"/>
        <w:spacing w:line="580" w:lineRule="exact"/>
        <w:jc w:val="center"/>
        <w:rPr>
          <w:rFonts w:eastAsia="黑体"/>
          <w:b w:val="0"/>
        </w:rPr>
        <w:sectPr>
          <w:footerReference r:id="rId10" w:type="first"/>
          <w:footerReference r:id="rId9" w:type="default"/>
          <w:pgSz w:w="11906" w:h="16838"/>
          <w:pgMar w:top="1440" w:right="1800" w:bottom="1440" w:left="1800" w:header="851" w:footer="992" w:gutter="0"/>
          <w:cols w:space="720" w:num="1"/>
          <w:docGrid w:type="lines" w:linePitch="312" w:charSpace="0"/>
        </w:sectPr>
      </w:pPr>
      <w:r>
        <w:rPr>
          <w:rFonts w:eastAsia="黑体"/>
        </w:rPr>
        <w:fldChar w:fldCharType="end"/>
      </w:r>
    </w:p>
    <w:bookmarkEnd w:id="27"/>
    <w:bookmarkEnd w:id="28"/>
    <w:bookmarkEnd w:id="29"/>
    <w:p>
      <w:pPr>
        <w:pStyle w:val="2"/>
        <w:spacing w:line="600" w:lineRule="exact"/>
        <w:jc w:val="center"/>
        <w:rPr>
          <w:rStyle w:val="20"/>
          <w:rFonts w:ascii="黑体" w:hAnsi="黑体" w:eastAsia="黑体"/>
          <w:b w:val="0"/>
          <w:bCs w:val="0"/>
        </w:rPr>
      </w:pPr>
      <w:bookmarkStart w:id="30" w:name="_Toc12642"/>
      <w:r>
        <w:rPr>
          <w:rFonts w:hint="eastAsia" w:ascii="黑体" w:hAnsi="黑体" w:eastAsia="黑体"/>
          <w:b w:val="0"/>
        </w:rPr>
        <w:t>第一部分</w:t>
      </w:r>
      <w:r>
        <w:rPr>
          <w:rStyle w:val="20"/>
          <w:rFonts w:hint="eastAsia" w:ascii="黑体" w:hAnsi="黑体" w:eastAsia="黑体"/>
          <w:b w:val="0"/>
          <w:bCs w:val="0"/>
        </w:rPr>
        <w:t>部门概况</w:t>
      </w:r>
      <w:bookmarkEnd w:id="30"/>
    </w:p>
    <w:p>
      <w:pPr>
        <w:widowControl/>
        <w:spacing w:line="600" w:lineRule="exact"/>
        <w:jc w:val="left"/>
        <w:rPr>
          <w:rFonts w:ascii="黑体" w:eastAsia="黑体"/>
          <w:color w:val="000000"/>
          <w:sz w:val="32"/>
          <w:szCs w:val="32"/>
        </w:rPr>
      </w:pPr>
    </w:p>
    <w:p>
      <w:pPr>
        <w:spacing w:line="580" w:lineRule="exact"/>
        <w:ind w:firstLine="640" w:firstLineChars="200"/>
        <w:rPr>
          <w:rFonts w:ascii="黑体" w:hAnsi="黑体" w:eastAsia="黑体" w:cs="黑体"/>
          <w:sz w:val="32"/>
          <w:szCs w:val="32"/>
        </w:rPr>
      </w:pPr>
      <w:bookmarkStart w:id="31" w:name="_Toc15396600"/>
      <w:bookmarkStart w:id="32" w:name="_Toc15377197"/>
      <w:r>
        <w:rPr>
          <w:rFonts w:hint="eastAsia" w:ascii="黑体" w:hAnsi="黑体" w:eastAsia="黑体" w:cs="黑体"/>
          <w:sz w:val="32"/>
          <w:szCs w:val="32"/>
        </w:rPr>
        <w:t>一、基本职能及主要工作</w:t>
      </w:r>
      <w:bookmarkEnd w:id="31"/>
      <w:bookmarkEnd w:id="32"/>
      <w:bookmarkStart w:id="33" w:name="_Toc15396601"/>
      <w:bookmarkStart w:id="34" w:name="_Toc15377200"/>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（一）主要职能</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开展艺术创评，促进艺术繁荣。艺术创评艺术评论艺术研究艺术学术书刊编辑艺术创评人才的培养。</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（二）2020年重点工作完成情况。</w:t>
      </w:r>
    </w:p>
    <w:p>
      <w:pPr>
        <w:spacing w:line="580" w:lineRule="exact"/>
        <w:ind w:firstLine="643" w:firstLineChars="200"/>
        <w:rPr>
          <w:rFonts w:ascii="仿宋_GB2312" w:hAnsi="仿宋_GB2312" w:cs="仿宋_GB2312"/>
          <w:b/>
          <w:bCs/>
          <w:sz w:val="32"/>
          <w:szCs w:val="32"/>
        </w:rPr>
      </w:pPr>
      <w:r>
        <w:rPr>
          <w:rFonts w:hint="eastAsia" w:ascii="仿宋_GB2312" w:hAnsi="仿宋_GB2312" w:cs="仿宋_GB2312"/>
          <w:b/>
          <w:bCs/>
          <w:sz w:val="32"/>
          <w:szCs w:val="32"/>
        </w:rPr>
        <w:t>1.通过民族文化、康养文化、三线历史文化、芒果产业文化等的写作，建设攀枝花特色文化品牌。</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（1）精准扶贫题材写作。普光泉创作的非虚构作品集《英雄花开——攀枝花脱贫攻坚纪实》已进入终校阶段，全书20余万字。</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2）康养文化写作。继出版了我市第一部康养文化书籍《身意轻安》后，我室以加入康养课题组为契机，深入学习领会十九大精神，进一步从理论与实践方面加大攀枝花康养文化的写作力度。课题组成员曹晓燕在我室的指导和帮助下，现已完成《青叶》初稿。</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3）三线历史文化写作。普光泉创作的30万字报告文学《三线蔬菜密码（攀枝花篇）》已完成初稿，今年经过深入一线采访、寻找补充素材，进一步进行修改，争取2021年出版发行；我室与瓜子坪街办合作的画册《英雄攀枝花》《阳光康养地》经过多次研讨、审校，目前已进行第六稿修改。画册分别以展现三线建设历史、讴歌三线精神和传承三线精神、发展中国康养胜地为主题，制作精良、内涵广阔、意义重大。</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4）我室深入挖掘拉鲊古渡历史文化，并与1965年11月邓小平来攀考察调研，在此地指导三线建设的三线历史相结合，配合我市对该遗址的规划和保护工作，创作书籍《可以栖迟》。该书将为打造三线文化旅游项目，提升我市历史文化影响力贡献重大力量。</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5）芒果写作。从2017年3月1日起，市文艺创评室紧紧围绕市委市政府关于唱响主旋律、讲好攀枝花故事的宣传导向，加大主题文艺创作力度，积极策划、撰写攀枝花芒果故事。在十九大召开后，又进一步调整工作思路，加大采访写作力度，创作画册《芒果公园》，已公开出版。</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6）旅游文化写作。为落实我市首届文旅大会精神，加快推进我市文化旅游高质量发展，根据市文化广播电视和旅游局工作安排，我室组织作家、文化工作者通过实地踏勘、现场走访、调研、查找文献史料等方式，创作出《文话攀枝花》（全市旅游景点解说词）书稿。这是我市“5115”工程及五大文旅线点位文化包装打造工程的具体成果，是以美文的形式对各旅游景点进行挖掘打造、规范包装和重点推介。</w:t>
      </w:r>
    </w:p>
    <w:p>
      <w:pPr>
        <w:spacing w:line="580" w:lineRule="exact"/>
        <w:ind w:firstLine="643" w:firstLineChars="200"/>
        <w:rPr>
          <w:rFonts w:ascii="仿宋_GB2312" w:hAnsi="仿宋_GB2312" w:cs="仿宋_GB2312"/>
          <w:b/>
          <w:bCs/>
          <w:sz w:val="32"/>
          <w:szCs w:val="32"/>
        </w:rPr>
      </w:pPr>
      <w:r>
        <w:rPr>
          <w:rFonts w:hint="eastAsia" w:ascii="仿宋_GB2312" w:hAnsi="仿宋_GB2312" w:cs="仿宋_GB2312"/>
          <w:b/>
          <w:bCs/>
          <w:sz w:val="32"/>
          <w:szCs w:val="32"/>
        </w:rPr>
        <w:t>2.加强组织微电影、小品、舞台剧等舞台创作，不断为我市舞台艺术人才发掘人才、培养有生力量。</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1）抗击新冠疫情舞台艺术作品创作。新冠疫情发生以来，我室积极响应全国上下文艺抗“疫”的号召，组织作家艺术家创作了小品、快板、广播剧等大量形式多样、内容丰富的舞台艺术作品。其中：讴歌医护工作者的广播剧《星夜》登上“学习强国”平台，歌颂志愿者的诗朗诵《我志愿》在我市志愿者线上表彰会中演出，为市委宣传部出品的抗疫宣传片《春山可望》撰写文案。</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2）纪念攀枝花开发建设55周年暨成昆铁路通车50周年舞台艺术作品创作。为纪念攀枝花开发建设55周年暨成昆铁路通车50周年，我室组织作家艺术家创作弘扬三线精神的舞台艺术作品。其中：由李骊编剧、市文化艺术中心出品的大型现代京剧《浩然成昆》获四川省艺术基金大型剧目扶持。</w:t>
      </w:r>
    </w:p>
    <w:p>
      <w:pPr>
        <w:spacing w:line="580" w:lineRule="exact"/>
        <w:ind w:firstLine="640" w:firstLineChars="200"/>
        <w:rPr>
          <w:rFonts w:ascii="仿宋_GB2312" w:hAnsi="仿宋_GB2312" w:cs="仿宋_GB2312"/>
          <w:b/>
          <w:bCs/>
          <w:sz w:val="32"/>
          <w:szCs w:val="32"/>
        </w:rPr>
      </w:pPr>
      <w:r>
        <w:rPr>
          <w:rFonts w:hint="eastAsia" w:ascii="仿宋_GB2312" w:hAnsi="仿宋_GB2312" w:cs="仿宋_GB2312"/>
          <w:sz w:val="32"/>
          <w:szCs w:val="32"/>
        </w:rPr>
        <w:t>3.</w:t>
      </w:r>
      <w:r>
        <w:rPr>
          <w:rFonts w:hint="eastAsia" w:ascii="仿宋_GB2312" w:hAnsi="仿宋_GB2312" w:cs="仿宋_GB2312"/>
          <w:b/>
          <w:bCs/>
          <w:sz w:val="32"/>
          <w:szCs w:val="32"/>
        </w:rPr>
        <w:t>承办“纪念攀枝花开发建设55周年暨成昆铁路通车50周年”征文活动、“抗击新冠疫情”征文活动。</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由市委宣传部、市文广旅局主办，我室承办的“弘扬三线精神抗击新冠疫情”攀枝花开发建设55周年暨成昆铁路通车50周年文学作品征集活动，共收到来稿215件，最终评选出入围作品共计45篇，圆满完成活动任务。</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二、机构设置</w:t>
      </w:r>
      <w:bookmarkEnd w:id="33"/>
      <w:bookmarkEnd w:id="34"/>
    </w:p>
    <w:p>
      <w:pPr>
        <w:widowControl/>
        <w:spacing w:line="580" w:lineRule="exact"/>
        <w:ind w:firstLine="640" w:firstLineChars="200"/>
        <w:jc w:val="left"/>
        <w:rPr>
          <w:rFonts w:ascii="仿宋_GB2312" w:hAnsi="仿宋_GB2312" w:cs="仿宋_GB2312"/>
          <w:color w:val="000000"/>
          <w:kern w:val="0"/>
          <w:sz w:val="32"/>
          <w:szCs w:val="32"/>
        </w:rPr>
      </w:pPr>
      <w:r>
        <w:rPr>
          <w:rFonts w:hint="eastAsia" w:ascii="仿宋_GB2312" w:hAnsi="仿宋_GB2312" w:cs="仿宋_GB2312"/>
          <w:sz w:val="32"/>
        </w:rPr>
        <w:t>市文艺创评室系市文广旅局下属全额拨款事业单位。</w:t>
      </w:r>
    </w:p>
    <w:p>
      <w:pPr>
        <w:spacing w:line="600" w:lineRule="exact"/>
      </w:pPr>
      <w:bookmarkStart w:id="35" w:name="_Toc15396602"/>
      <w:bookmarkStart w:id="36" w:name="_Toc15377204"/>
    </w:p>
    <w:p>
      <w:pPr>
        <w:spacing w:line="600" w:lineRule="exact"/>
      </w:pPr>
    </w:p>
    <w:p>
      <w:pPr>
        <w:spacing w:line="600" w:lineRule="exact"/>
        <w:rPr>
          <w:rStyle w:val="20"/>
          <w:rFonts w:ascii="黑体" w:hAnsi="黑体" w:eastAsia="黑体"/>
        </w:rPr>
      </w:pPr>
    </w:p>
    <w:p>
      <w:pPr>
        <w:spacing w:line="600" w:lineRule="exact"/>
        <w:jc w:val="center"/>
        <w:rPr>
          <w:rStyle w:val="20"/>
          <w:rFonts w:ascii="黑体" w:hAnsi="黑体" w:eastAsia="黑体"/>
        </w:rPr>
      </w:pPr>
    </w:p>
    <w:p>
      <w:pPr>
        <w:spacing w:line="600" w:lineRule="exact"/>
        <w:jc w:val="center"/>
        <w:rPr>
          <w:rStyle w:val="20"/>
          <w:rFonts w:ascii="黑体" w:hAnsi="黑体" w:eastAsia="黑体"/>
        </w:rPr>
      </w:pPr>
    </w:p>
    <w:p>
      <w:pPr>
        <w:spacing w:line="560" w:lineRule="exact"/>
        <w:jc w:val="center"/>
        <w:rPr>
          <w:rStyle w:val="20"/>
          <w:rFonts w:ascii="黑体" w:hAnsi="黑体"/>
        </w:rPr>
      </w:pPr>
      <w:bookmarkStart w:id="37" w:name="_Toc5563"/>
      <w:r>
        <w:rPr>
          <w:rStyle w:val="20"/>
          <w:rFonts w:hint="eastAsia" w:ascii="黑体" w:hAnsi="黑体" w:eastAsia="黑体"/>
        </w:rPr>
        <w:t>第二部分</w:t>
      </w:r>
      <w:r>
        <w:rPr>
          <w:rStyle w:val="20"/>
          <w:rFonts w:ascii="黑体" w:hAnsi="黑体" w:eastAsia="黑体"/>
          <w:b w:val="0"/>
          <w:bCs w:val="0"/>
        </w:rPr>
        <w:t>2020</w:t>
      </w:r>
      <w:r>
        <w:rPr>
          <w:rStyle w:val="20"/>
          <w:rFonts w:hint="eastAsia" w:ascii="黑体" w:hAnsi="黑体" w:eastAsia="黑体"/>
          <w:b w:val="0"/>
          <w:bCs w:val="0"/>
        </w:rPr>
        <w:t>年度部门决算情况说明</w:t>
      </w:r>
      <w:bookmarkEnd w:id="35"/>
      <w:bookmarkEnd w:id="36"/>
    </w:p>
    <w:bookmarkEnd w:id="37"/>
    <w:p>
      <w:pPr>
        <w:pStyle w:val="35"/>
        <w:spacing w:line="560" w:lineRule="exact"/>
        <w:ind w:firstLine="640"/>
        <w:outlineLvl w:val="1"/>
        <w:rPr>
          <w:rStyle w:val="21"/>
          <w:rFonts w:ascii="黑体" w:hAnsi="黑体" w:eastAsia="黑体" w:cs="黑体"/>
          <w:b w:val="0"/>
        </w:rPr>
      </w:pPr>
      <w:bookmarkStart w:id="38" w:name="_Toc25905"/>
      <w:bookmarkStart w:id="39" w:name="_Toc15377205"/>
      <w:bookmarkStart w:id="40" w:name="_Toc15396603"/>
      <w:r>
        <w:rPr>
          <w:rFonts w:hint="eastAsia" w:ascii="黑体" w:hAnsi="黑体" w:eastAsia="黑体" w:cs="黑体"/>
          <w:color w:val="000000"/>
          <w:sz w:val="32"/>
          <w:szCs w:val="32"/>
        </w:rPr>
        <w:t>一、收</w:t>
      </w:r>
      <w:r>
        <w:rPr>
          <w:rStyle w:val="21"/>
          <w:rFonts w:hint="eastAsia" w:ascii="黑体" w:hAnsi="黑体" w:eastAsia="黑体" w:cs="黑体"/>
          <w:b w:val="0"/>
        </w:rPr>
        <w:t>入支出决算总体情况说明</w:t>
      </w:r>
      <w:bookmarkEnd w:id="38"/>
      <w:bookmarkEnd w:id="39"/>
      <w:bookmarkEnd w:id="40"/>
    </w:p>
    <w:p>
      <w:pPr>
        <w:spacing w:line="560" w:lineRule="exact"/>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2020年度收、支总计166.77万元。与2019年相比收、支减少10.58万元，下降5.97%。主要变动原因是其他收入项目减少造成。</w:t>
      </w:r>
    </w:p>
    <w:p>
      <w:pPr>
        <w:ind w:firstLine="638" w:firstLineChars="304"/>
      </w:pPr>
      <w:r>
        <w:drawing>
          <wp:inline distT="0" distB="0" distL="0" distR="0">
            <wp:extent cx="4572000" cy="227647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580" w:lineRule="exact"/>
        <w:ind w:firstLine="1440" w:firstLineChars="450"/>
        <w:rPr>
          <w:rFonts w:ascii="仿宋_GB2312" w:hAnsi="仿宋_GB2312" w:cs="仿宋_GB2312"/>
          <w:color w:val="000000"/>
          <w:sz w:val="32"/>
          <w:szCs w:val="32"/>
        </w:rPr>
      </w:pPr>
      <w:r>
        <w:rPr>
          <w:rFonts w:hint="eastAsia" w:ascii="仿宋_GB2312" w:hAnsi="仿宋_GB2312" w:cs="仿宋_GB2312"/>
          <w:color w:val="000000"/>
          <w:sz w:val="32"/>
          <w:szCs w:val="32"/>
        </w:rPr>
        <w:t>（图1：收、支决算总计变动情况图）</w:t>
      </w:r>
    </w:p>
    <w:p>
      <w:pPr>
        <w:pStyle w:val="35"/>
        <w:spacing w:line="560" w:lineRule="exact"/>
        <w:ind w:firstLine="640"/>
        <w:outlineLvl w:val="1"/>
        <w:rPr>
          <w:rStyle w:val="21"/>
          <w:rFonts w:ascii="黑体" w:hAnsi="黑体" w:eastAsia="黑体" w:cs="黑体"/>
          <w:b w:val="0"/>
        </w:rPr>
      </w:pPr>
      <w:bookmarkStart w:id="41" w:name="_Toc22400"/>
      <w:bookmarkStart w:id="42" w:name="_Toc15396604"/>
      <w:bookmarkStart w:id="43" w:name="_Toc15377206"/>
      <w:r>
        <w:rPr>
          <w:rFonts w:hint="eastAsia" w:ascii="黑体" w:hAnsi="黑体" w:eastAsia="黑体" w:cs="黑体"/>
          <w:color w:val="000000"/>
          <w:sz w:val="32"/>
          <w:szCs w:val="32"/>
        </w:rPr>
        <w:t>二、收</w:t>
      </w:r>
      <w:r>
        <w:rPr>
          <w:rStyle w:val="21"/>
          <w:rFonts w:hint="eastAsia" w:ascii="黑体" w:hAnsi="黑体" w:eastAsia="黑体" w:cs="黑体"/>
          <w:b w:val="0"/>
        </w:rPr>
        <w:t>入决算情况说明</w:t>
      </w:r>
      <w:bookmarkEnd w:id="41"/>
      <w:bookmarkEnd w:id="42"/>
      <w:bookmarkEnd w:id="43"/>
    </w:p>
    <w:p>
      <w:pPr>
        <w:spacing w:line="560" w:lineRule="exact"/>
        <w:ind w:firstLine="640" w:firstLineChars="200"/>
        <w:outlineLvl w:val="1"/>
        <w:rPr>
          <w:rFonts w:ascii="仿宋_GB2312" w:hAnsi="仿宋_GB2312" w:cs="仿宋_GB2312"/>
          <w:color w:val="000000"/>
          <w:sz w:val="32"/>
          <w:szCs w:val="32"/>
        </w:rPr>
      </w:pPr>
      <w:bookmarkStart w:id="44" w:name="_Toc7153"/>
      <w:r>
        <w:rPr>
          <w:rFonts w:hint="eastAsia" w:ascii="仿宋_GB2312" w:hAnsi="仿宋_GB2312" w:cs="仿宋_GB2312"/>
          <w:color w:val="000000"/>
          <w:sz w:val="32"/>
          <w:szCs w:val="32"/>
        </w:rPr>
        <w:t>2020年本年收入合计152.23万元，其中：一般公共预算财政拨款收入95.37万元，占62.65%；政府性基金预算财政拨款收入8.36万元，占5.49%；上级补助收入0万元，占0%；事业收入0万元，占0%；经营收入0万元，占0%；附属单位上缴收入0万元，占0%；其他收入48.5万元，占31.86%。</w:t>
      </w:r>
      <w:bookmarkEnd w:id="44"/>
    </w:p>
    <w:p>
      <w:pPr>
        <w:jc w:val="center"/>
      </w:pPr>
      <w:r>
        <w:drawing>
          <wp:inline distT="0" distB="0" distL="114300" distR="114300">
            <wp:extent cx="4600575" cy="1771650"/>
            <wp:effectExtent l="0" t="0" r="9525"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20"/>
                    <a:stretch>
                      <a:fillRect/>
                    </a:stretch>
                  </pic:blipFill>
                  <pic:spPr>
                    <a:xfrm>
                      <a:off x="0" y="0"/>
                      <a:ext cx="4600575" cy="1771650"/>
                    </a:xfrm>
                    <a:prstGeom prst="rect">
                      <a:avLst/>
                    </a:prstGeom>
                    <a:noFill/>
                    <a:ln w="9525">
                      <a:noFill/>
                      <a:miter/>
                    </a:ln>
                  </pic:spPr>
                </pic:pic>
              </a:graphicData>
            </a:graphic>
          </wp:inline>
        </w:drawing>
      </w:r>
    </w:p>
    <w:p>
      <w:pPr>
        <w:spacing w:line="600" w:lineRule="exact"/>
        <w:jc w:val="center"/>
        <w:rPr>
          <w:rFonts w:ascii="仿宋_GB2312" w:hAnsi="仿宋_GB2312" w:cs="仿宋_GB2312"/>
          <w:color w:val="000000"/>
          <w:sz w:val="32"/>
          <w:szCs w:val="32"/>
        </w:rPr>
      </w:pPr>
      <w:r>
        <w:rPr>
          <w:rFonts w:hint="eastAsia" w:ascii="仿宋_GB2312" w:hAnsi="仿宋_GB2312" w:cs="仿宋_GB2312"/>
          <w:color w:val="000000"/>
          <w:sz w:val="32"/>
          <w:szCs w:val="32"/>
        </w:rPr>
        <w:t>（图2：收入决算结构图）</w:t>
      </w:r>
      <w:bookmarkStart w:id="45" w:name="_Toc15377207"/>
      <w:bookmarkStart w:id="46" w:name="_Toc15396605"/>
    </w:p>
    <w:p>
      <w:pPr>
        <w:spacing w:line="560" w:lineRule="exact"/>
        <w:ind w:firstLine="643" w:firstLineChars="200"/>
        <w:rPr>
          <w:rStyle w:val="21"/>
          <w:rFonts w:ascii="仿宋" w:hAnsi="仿宋" w:eastAsia="仿宋"/>
          <w:b w:val="0"/>
          <w:bCs w:val="0"/>
          <w:color w:val="000000"/>
        </w:rPr>
      </w:pPr>
      <w:bookmarkStart w:id="47" w:name="_Toc1075"/>
      <w:r>
        <w:rPr>
          <w:rStyle w:val="21"/>
          <w:rFonts w:hint="eastAsia" w:ascii="黑体" w:hAnsi="黑体" w:eastAsia="黑体"/>
        </w:rPr>
        <w:t>三、支</w:t>
      </w:r>
      <w:r>
        <w:rPr>
          <w:rStyle w:val="21"/>
          <w:rFonts w:hint="eastAsia" w:ascii="黑体" w:hAnsi="黑体" w:eastAsia="黑体"/>
          <w:b w:val="0"/>
        </w:rPr>
        <w:t>出决算情况说明</w:t>
      </w:r>
      <w:bookmarkEnd w:id="45"/>
      <w:bookmarkEnd w:id="46"/>
    </w:p>
    <w:bookmarkEnd w:id="47"/>
    <w:p>
      <w:pPr>
        <w:spacing w:line="560" w:lineRule="exact"/>
        <w:ind w:firstLine="640" w:firstLineChars="200"/>
        <w:outlineLvl w:val="1"/>
        <w:rPr>
          <w:rFonts w:ascii="仿宋_GB2312" w:hAnsi="仿宋_GB2312" w:cs="仿宋_GB2312"/>
          <w:color w:val="000000"/>
          <w:sz w:val="32"/>
          <w:szCs w:val="32"/>
        </w:rPr>
      </w:pPr>
      <w:bookmarkStart w:id="48" w:name="_Toc21404"/>
      <w:r>
        <w:rPr>
          <w:rFonts w:hint="eastAsia" w:ascii="仿宋_GB2312" w:hAnsi="仿宋_GB2312" w:cs="仿宋_GB2312"/>
          <w:color w:val="000000"/>
          <w:sz w:val="32"/>
          <w:szCs w:val="32"/>
        </w:rPr>
        <w:t>2020年本年支出合计156.3</w:t>
      </w:r>
      <w:r>
        <w:rPr>
          <w:rFonts w:hint="eastAsia" w:ascii="仿宋_GB2312" w:hAnsi="仿宋_GB2312" w:cs="仿宋_GB2312"/>
          <w:color w:val="000000"/>
          <w:sz w:val="32"/>
          <w:szCs w:val="32"/>
          <w:lang w:val="en-US" w:eastAsia="zh-CN"/>
        </w:rPr>
        <w:t>0</w:t>
      </w:r>
      <w:r>
        <w:rPr>
          <w:rFonts w:hint="eastAsia" w:ascii="仿宋_GB2312" w:hAnsi="仿宋_GB2312" w:cs="仿宋_GB2312"/>
          <w:color w:val="000000"/>
          <w:sz w:val="32"/>
          <w:szCs w:val="32"/>
        </w:rPr>
        <w:t>万元，其中：基本支出75.9</w:t>
      </w:r>
      <w:r>
        <w:rPr>
          <w:rFonts w:hint="eastAsia" w:ascii="仿宋_GB2312" w:hAnsi="仿宋_GB2312" w:cs="仿宋_GB2312"/>
          <w:color w:val="000000"/>
          <w:sz w:val="32"/>
          <w:szCs w:val="32"/>
          <w:lang w:val="en-US" w:eastAsia="zh-CN"/>
        </w:rPr>
        <w:t>7</w:t>
      </w:r>
      <w:r>
        <w:rPr>
          <w:rFonts w:hint="eastAsia" w:ascii="仿宋_GB2312" w:hAnsi="仿宋_GB2312" w:cs="仿宋_GB2312"/>
          <w:color w:val="000000"/>
          <w:sz w:val="32"/>
          <w:szCs w:val="32"/>
        </w:rPr>
        <w:t>万元，占48.61%；项目支出80.33万元，占51.39%；上缴上级支出0万元，占0%；经营支出0万元，占0%；对附属单位补助支出0万元，占0%。</w:t>
      </w:r>
      <w:bookmarkEnd w:id="48"/>
    </w:p>
    <w:p>
      <w:pPr>
        <w:jc w:val="center"/>
      </w:pPr>
      <w:r>
        <w:drawing>
          <wp:inline distT="0" distB="0" distL="114300" distR="114300">
            <wp:extent cx="4599940" cy="1828800"/>
            <wp:effectExtent l="0" t="0" r="1016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21"/>
                    <a:stretch>
                      <a:fillRect/>
                    </a:stretch>
                  </pic:blipFill>
                  <pic:spPr>
                    <a:xfrm>
                      <a:off x="0" y="0"/>
                      <a:ext cx="4599940" cy="1828800"/>
                    </a:xfrm>
                    <a:prstGeom prst="rect">
                      <a:avLst/>
                    </a:prstGeom>
                    <a:noFill/>
                    <a:ln w="9525">
                      <a:noFill/>
                      <a:miter/>
                    </a:ln>
                  </pic:spPr>
                </pic:pic>
              </a:graphicData>
            </a:graphic>
          </wp:inline>
        </w:drawing>
      </w:r>
    </w:p>
    <w:p>
      <w:pPr>
        <w:spacing w:line="560" w:lineRule="exact"/>
        <w:ind w:firstLine="2240" w:firstLineChars="7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560" w:lineRule="exact"/>
        <w:ind w:firstLine="640" w:firstLineChars="200"/>
        <w:outlineLvl w:val="1"/>
        <w:rPr>
          <w:rStyle w:val="21"/>
          <w:rFonts w:ascii="黑体" w:hAnsi="黑体" w:eastAsia="黑体" w:cs="黑体"/>
          <w:b w:val="0"/>
        </w:rPr>
      </w:pPr>
      <w:bookmarkStart w:id="49" w:name="_Toc4611"/>
      <w:bookmarkStart w:id="50" w:name="_Toc15377208"/>
      <w:bookmarkStart w:id="51" w:name="_Toc15396606"/>
      <w:r>
        <w:rPr>
          <w:rFonts w:hint="eastAsia" w:ascii="黑体" w:hAnsi="黑体" w:eastAsia="黑体" w:cs="黑体"/>
          <w:color w:val="000000"/>
          <w:sz w:val="32"/>
          <w:szCs w:val="32"/>
        </w:rPr>
        <w:t>四、财</w:t>
      </w:r>
      <w:r>
        <w:rPr>
          <w:rStyle w:val="21"/>
          <w:rFonts w:hint="eastAsia" w:ascii="黑体" w:hAnsi="黑体" w:eastAsia="黑体" w:cs="黑体"/>
          <w:b w:val="0"/>
        </w:rPr>
        <w:t>政拨款收入支出决算总体情况说明</w:t>
      </w:r>
      <w:bookmarkEnd w:id="49"/>
      <w:bookmarkEnd w:id="50"/>
      <w:bookmarkEnd w:id="51"/>
    </w:p>
    <w:p>
      <w:pPr>
        <w:spacing w:line="560" w:lineRule="exact"/>
        <w:ind w:firstLine="640"/>
        <w:rPr>
          <w:rFonts w:ascii="仿宋_GB2312" w:hAnsi="仿宋_GB2312" w:cs="仿宋_GB2312"/>
          <w:color w:val="000000"/>
          <w:sz w:val="32"/>
          <w:szCs w:val="32"/>
        </w:rPr>
      </w:pPr>
      <w:r>
        <w:rPr>
          <w:rFonts w:hint="eastAsia" w:ascii="仿宋_GB2312" w:hAnsi="仿宋_GB2312" w:cs="仿宋_GB2312"/>
          <w:color w:val="000000"/>
          <w:sz w:val="32"/>
          <w:szCs w:val="32"/>
        </w:rPr>
        <w:t>2020年财政拨款收、支总计</w:t>
      </w:r>
      <w:r>
        <w:rPr>
          <w:rFonts w:hint="eastAsia" w:ascii="仿宋_GB2312" w:hAnsi="仿宋_GB2312" w:cs="仿宋_GB2312"/>
          <w:color w:val="000000"/>
          <w:sz w:val="32"/>
          <w:szCs w:val="32"/>
          <w:lang w:val="en-US" w:eastAsia="zh-CN"/>
        </w:rPr>
        <w:t>1</w:t>
      </w:r>
      <w:r>
        <w:rPr>
          <w:rFonts w:hint="eastAsia" w:ascii="仿宋_GB2312" w:hAnsi="仿宋_GB2312" w:cs="仿宋_GB2312"/>
          <w:color w:val="000000"/>
          <w:sz w:val="32"/>
          <w:szCs w:val="32"/>
        </w:rPr>
        <w:t>08.73万元。与2019年相比财政拨款收、支减少3.62万元，下降3.22%。主要变动原因是日常公用经费预算压缩、项目支出减少造成。</w:t>
      </w:r>
    </w:p>
    <w:p>
      <w:pPr>
        <w:ind w:left="1260" w:hanging="1260" w:hangingChars="600"/>
        <w:jc w:val="center"/>
      </w:pPr>
      <w:r>
        <w:drawing>
          <wp:inline distT="0" distB="0" distL="0" distR="0">
            <wp:extent cx="4572000" cy="27432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ind w:left="1920" w:hanging="1920" w:hangingChars="600"/>
        <w:jc w:val="cente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560" w:lineRule="exact"/>
        <w:ind w:firstLine="640" w:firstLineChars="200"/>
        <w:outlineLvl w:val="1"/>
        <w:rPr>
          <w:rStyle w:val="21"/>
          <w:rFonts w:ascii="黑体" w:hAnsi="黑体" w:eastAsia="黑体"/>
          <w:b w:val="0"/>
        </w:rPr>
      </w:pPr>
      <w:bookmarkStart w:id="52" w:name="_Toc15377209"/>
      <w:bookmarkStart w:id="53" w:name="_Toc16729"/>
      <w:bookmarkStart w:id="54"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1"/>
          <w:rFonts w:hint="eastAsia" w:ascii="黑体" w:hAnsi="黑体" w:eastAsia="黑体"/>
          <w:b w:val="0"/>
        </w:rPr>
        <w:t>般公共预算财政拨款支出决算情况说明</w:t>
      </w:r>
      <w:bookmarkEnd w:id="52"/>
      <w:bookmarkEnd w:id="53"/>
      <w:bookmarkEnd w:id="54"/>
    </w:p>
    <w:p>
      <w:pPr>
        <w:spacing w:line="560" w:lineRule="exact"/>
        <w:ind w:firstLine="643" w:firstLineChars="200"/>
        <w:outlineLvl w:val="2"/>
        <w:rPr>
          <w:rFonts w:ascii="楷体_GB2312" w:hAnsi="楷体_GB2312" w:eastAsia="楷体_GB2312" w:cs="楷体_GB2312"/>
          <w:b/>
          <w:color w:val="000000"/>
          <w:sz w:val="32"/>
          <w:szCs w:val="32"/>
        </w:rPr>
      </w:pPr>
      <w:bookmarkStart w:id="55" w:name="_Toc15377210"/>
      <w:r>
        <w:rPr>
          <w:rFonts w:hint="eastAsia" w:ascii="楷体_GB2312" w:hAnsi="楷体_GB2312" w:eastAsia="楷体_GB2312" w:cs="楷体_GB2312"/>
          <w:b/>
          <w:color w:val="000000"/>
          <w:sz w:val="32"/>
          <w:szCs w:val="32"/>
        </w:rPr>
        <w:t>（一）一般公共预算财政拨款支出决算总体情况</w:t>
      </w:r>
      <w:bookmarkEnd w:id="55"/>
    </w:p>
    <w:p>
      <w:pPr>
        <w:spacing w:line="560" w:lineRule="exact"/>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2020年一般公共预算财政拨款支出91.37万元，占本年支出合计的58.46%。与2019年相比一般公共预算财政拨款减少20.98万元，下降18.67%。主要变动原因是日常公用经费预算压缩、项目支出减少造成。</w:t>
      </w:r>
    </w:p>
    <w:p>
      <w:pPr>
        <w:jc w:val="center"/>
      </w:pPr>
      <w:r>
        <w:drawing>
          <wp:inline distT="0" distB="0" distL="114300" distR="114300">
            <wp:extent cx="4600575" cy="2152650"/>
            <wp:effectExtent l="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3"/>
                    <a:stretch>
                      <a:fillRect/>
                    </a:stretch>
                  </pic:blipFill>
                  <pic:spPr>
                    <a:xfrm>
                      <a:off x="0" y="0"/>
                      <a:ext cx="4600575" cy="2152650"/>
                    </a:xfrm>
                    <a:prstGeom prst="rect">
                      <a:avLst/>
                    </a:prstGeom>
                    <a:noFill/>
                    <a:ln w="9525">
                      <a:noFill/>
                      <a:miter/>
                    </a:ln>
                  </pic:spPr>
                </pic:pic>
              </a:graphicData>
            </a:graphic>
          </wp:inline>
        </w:drawing>
      </w:r>
    </w:p>
    <w:p>
      <w:pPr>
        <w:spacing w:line="540" w:lineRule="exact"/>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（图5：一般公共预算财政拨款支出决算变动情况）</w:t>
      </w:r>
    </w:p>
    <w:p>
      <w:pPr>
        <w:spacing w:line="540" w:lineRule="exact"/>
        <w:ind w:firstLine="643" w:firstLineChars="200"/>
        <w:outlineLvl w:val="2"/>
        <w:rPr>
          <w:rFonts w:ascii="楷体_GB2312" w:hAnsi="楷体_GB2312" w:eastAsia="楷体_GB2312" w:cs="楷体_GB2312"/>
          <w:b/>
          <w:color w:val="000000"/>
          <w:sz w:val="32"/>
          <w:szCs w:val="32"/>
        </w:rPr>
      </w:pPr>
      <w:bookmarkStart w:id="56" w:name="_Toc15377211"/>
      <w:r>
        <w:rPr>
          <w:rFonts w:hint="eastAsia" w:ascii="楷体_GB2312" w:hAnsi="楷体_GB2312" w:eastAsia="楷体_GB2312" w:cs="楷体_GB2312"/>
          <w:b/>
          <w:color w:val="000000"/>
          <w:sz w:val="32"/>
          <w:szCs w:val="32"/>
        </w:rPr>
        <w:t>（二）一般公共预算财政拨款支出决算结构情况</w:t>
      </w:r>
      <w:bookmarkEnd w:id="56"/>
    </w:p>
    <w:p>
      <w:pPr>
        <w:spacing w:line="540" w:lineRule="exact"/>
        <w:ind w:firstLine="640"/>
        <w:rPr>
          <w:rFonts w:ascii="仿宋_GB2312" w:hAnsi="仿宋_GB2312" w:cs="仿宋_GB2312"/>
          <w:b/>
          <w:color w:val="000000"/>
          <w:sz w:val="32"/>
          <w:szCs w:val="32"/>
        </w:rPr>
      </w:pPr>
      <w:r>
        <w:rPr>
          <w:rFonts w:hint="eastAsia" w:ascii="仿宋_GB2312" w:hAnsi="仿宋_GB2312" w:cs="仿宋_GB2312"/>
          <w:color w:val="000000"/>
          <w:sz w:val="32"/>
          <w:szCs w:val="32"/>
        </w:rPr>
        <w:t>2020年一般公共预算财政拨款支出91.37万元，主要用于以下方面</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文化旅游体育与传媒支出70.17万元，占76.80%；社会保障和就业支出16.63万元，占18.20%；住房保障支出4.57万元，占5%。</w:t>
      </w:r>
    </w:p>
    <w:p>
      <w:pPr>
        <w:jc w:val="center"/>
      </w:pPr>
      <w:r>
        <w:drawing>
          <wp:inline distT="0" distB="0" distL="114300" distR="114300">
            <wp:extent cx="4600575" cy="1905000"/>
            <wp:effectExtent l="0" t="0" r="9525"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24"/>
                    <a:stretch>
                      <a:fillRect/>
                    </a:stretch>
                  </pic:blipFill>
                  <pic:spPr>
                    <a:xfrm>
                      <a:off x="0" y="0"/>
                      <a:ext cx="4600575" cy="1905000"/>
                    </a:xfrm>
                    <a:prstGeom prst="rect">
                      <a:avLst/>
                    </a:prstGeom>
                    <a:noFill/>
                    <a:ln w="9525">
                      <a:noFill/>
                      <a:miter/>
                    </a:ln>
                  </pic:spPr>
                </pic:pic>
              </a:graphicData>
            </a:graphic>
          </wp:inline>
        </w:drawing>
      </w:r>
    </w:p>
    <w:p>
      <w:pPr>
        <w:spacing w:line="600" w:lineRule="exact"/>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（图6：一般公共预算财政拨款支出决算结构）</w:t>
      </w:r>
    </w:p>
    <w:p>
      <w:pPr>
        <w:spacing w:line="560" w:lineRule="exact"/>
        <w:ind w:firstLine="321" w:firstLineChars="100"/>
        <w:outlineLvl w:val="2"/>
        <w:rPr>
          <w:rFonts w:ascii="楷体_GB2312" w:hAnsi="楷体_GB2312" w:eastAsia="楷体_GB2312" w:cs="楷体_GB2312"/>
          <w:b/>
          <w:color w:val="000000"/>
          <w:sz w:val="32"/>
          <w:szCs w:val="32"/>
        </w:rPr>
      </w:pPr>
      <w:bookmarkStart w:id="57" w:name="_Toc15377212"/>
      <w:r>
        <w:rPr>
          <w:rFonts w:hint="eastAsia" w:ascii="楷体_GB2312" w:hAnsi="楷体_GB2312" w:eastAsia="楷体_GB2312" w:cs="楷体_GB2312"/>
          <w:b/>
          <w:color w:val="000000"/>
          <w:sz w:val="32"/>
          <w:szCs w:val="32"/>
        </w:rPr>
        <w:t>（三）一般公共预算财政拨款支出决算具体情况</w:t>
      </w:r>
      <w:bookmarkEnd w:id="57"/>
    </w:p>
    <w:p>
      <w:pPr>
        <w:spacing w:line="560" w:lineRule="exact"/>
        <w:ind w:firstLine="643" w:firstLineChars="200"/>
        <w:outlineLvl w:val="2"/>
        <w:rPr>
          <w:rFonts w:ascii="仿宋_GB2312" w:hAnsi="仿宋_GB2312" w:cs="仿宋_GB2312"/>
          <w:color w:val="FF0000"/>
          <w:sz w:val="32"/>
          <w:szCs w:val="32"/>
        </w:rPr>
      </w:pPr>
      <w:bookmarkStart w:id="58" w:name="_Toc15377213"/>
      <w:bookmarkStart w:id="59" w:name="_Toc15378460"/>
      <w:bookmarkStart w:id="60" w:name="_Toc15377444"/>
      <w:r>
        <w:rPr>
          <w:rFonts w:hint="eastAsia" w:ascii="仿宋_GB2312" w:hAnsi="仿宋_GB2312" w:cs="仿宋_GB2312"/>
          <w:b/>
          <w:color w:val="000000"/>
          <w:sz w:val="32"/>
          <w:szCs w:val="32"/>
        </w:rPr>
        <w:t>2020年一般公共预算支出决算数为91.37万元</w:t>
      </w:r>
      <w:r>
        <w:rPr>
          <w:rFonts w:hint="eastAsia" w:ascii="仿宋_GB2312" w:hAnsi="仿宋_GB2312" w:cs="仿宋_GB2312"/>
          <w:color w:val="000000"/>
          <w:sz w:val="32"/>
          <w:szCs w:val="32"/>
        </w:rPr>
        <w:t>，</w:t>
      </w:r>
      <w:r>
        <w:rPr>
          <w:rStyle w:val="18"/>
          <w:rFonts w:hint="eastAsia" w:ascii="仿宋_GB2312" w:hAnsi="仿宋_GB2312" w:cs="仿宋_GB2312"/>
          <w:bCs/>
          <w:color w:val="000000"/>
          <w:sz w:val="32"/>
          <w:szCs w:val="32"/>
        </w:rPr>
        <w:t>完成预算100%。其中：</w:t>
      </w:r>
      <w:bookmarkEnd w:id="58"/>
      <w:bookmarkEnd w:id="59"/>
      <w:bookmarkEnd w:id="60"/>
    </w:p>
    <w:p>
      <w:pPr>
        <w:spacing w:line="560" w:lineRule="exact"/>
        <w:ind w:firstLine="643" w:firstLineChars="200"/>
        <w:rPr>
          <w:rStyle w:val="18"/>
          <w:rFonts w:ascii="仿宋_GB2312" w:hAnsi="仿宋_GB2312" w:cs="仿宋_GB2312"/>
          <w:b w:val="0"/>
          <w:bCs/>
          <w:color w:val="000000"/>
          <w:sz w:val="32"/>
          <w:szCs w:val="32"/>
        </w:rPr>
      </w:pPr>
      <w:r>
        <w:rPr>
          <w:rStyle w:val="18"/>
          <w:rFonts w:hint="eastAsia" w:ascii="仿宋_GB2312" w:hAnsi="仿宋_GB2312" w:cs="仿宋_GB2312"/>
          <w:bCs/>
          <w:color w:val="000000"/>
          <w:sz w:val="32"/>
          <w:szCs w:val="32"/>
        </w:rPr>
        <w:t>1.文化旅游体育与传媒（类）文化和旅游（款）文化创作与保护（项）:</w:t>
      </w:r>
      <w:r>
        <w:rPr>
          <w:rStyle w:val="18"/>
          <w:rFonts w:hint="eastAsia" w:ascii="仿宋_GB2312" w:hAnsi="仿宋_GB2312" w:cs="仿宋_GB2312"/>
          <w:b w:val="0"/>
          <w:bCs/>
          <w:color w:val="000000"/>
          <w:sz w:val="32"/>
          <w:szCs w:val="32"/>
        </w:rPr>
        <w:t xml:space="preserve"> 支出决算为64.77万元，完成预算100%，与预算数持平。</w:t>
      </w:r>
    </w:p>
    <w:p>
      <w:pPr>
        <w:spacing w:line="560" w:lineRule="exact"/>
        <w:ind w:firstLine="643" w:firstLineChars="200"/>
        <w:rPr>
          <w:rStyle w:val="18"/>
          <w:rFonts w:ascii="仿宋_GB2312" w:hAnsi="仿宋_GB2312" w:cs="仿宋_GB2312"/>
          <w:b w:val="0"/>
          <w:bCs/>
          <w:color w:val="000000"/>
          <w:sz w:val="32"/>
          <w:szCs w:val="32"/>
        </w:rPr>
      </w:pPr>
      <w:r>
        <w:rPr>
          <w:rStyle w:val="18"/>
          <w:rFonts w:hint="eastAsia" w:ascii="仿宋_GB2312" w:hAnsi="仿宋_GB2312" w:cs="仿宋_GB2312"/>
          <w:bCs/>
          <w:color w:val="000000"/>
          <w:sz w:val="32"/>
          <w:szCs w:val="32"/>
        </w:rPr>
        <w:t>2.文化旅游体育与传媒（类）文化和旅游（款）其他文化和旅游支出（项）:</w:t>
      </w:r>
      <w:r>
        <w:rPr>
          <w:rStyle w:val="18"/>
          <w:rFonts w:hint="eastAsia" w:ascii="仿宋_GB2312" w:hAnsi="仿宋_GB2312" w:cs="仿宋_GB2312"/>
          <w:b w:val="0"/>
          <w:bCs/>
          <w:color w:val="000000"/>
          <w:sz w:val="32"/>
          <w:szCs w:val="32"/>
        </w:rPr>
        <w:t xml:space="preserve"> 支出决算为5万元，完成预算100%，与预算数持平。</w:t>
      </w:r>
    </w:p>
    <w:p>
      <w:pPr>
        <w:spacing w:line="560" w:lineRule="exact"/>
        <w:ind w:firstLine="643" w:firstLineChars="200"/>
        <w:rPr>
          <w:rStyle w:val="18"/>
          <w:rFonts w:ascii="仿宋_GB2312" w:hAnsi="仿宋_GB2312" w:cs="仿宋_GB2312"/>
          <w:b w:val="0"/>
          <w:bCs/>
          <w:color w:val="000000"/>
          <w:sz w:val="32"/>
          <w:szCs w:val="32"/>
        </w:rPr>
      </w:pPr>
      <w:r>
        <w:rPr>
          <w:rStyle w:val="18"/>
          <w:rFonts w:hint="eastAsia" w:ascii="仿宋_GB2312" w:hAnsi="仿宋_GB2312" w:cs="仿宋_GB2312"/>
          <w:bCs/>
          <w:color w:val="000000"/>
          <w:sz w:val="32"/>
          <w:szCs w:val="32"/>
        </w:rPr>
        <w:t>3.文化旅游体育与传媒（类）广播电视（款）其他广播电视支出（项）:</w:t>
      </w:r>
      <w:r>
        <w:rPr>
          <w:rStyle w:val="18"/>
          <w:rFonts w:hint="eastAsia" w:ascii="仿宋_GB2312" w:hAnsi="仿宋_GB2312" w:cs="仿宋_GB2312"/>
          <w:b w:val="0"/>
          <w:bCs/>
          <w:color w:val="000000"/>
          <w:sz w:val="32"/>
          <w:szCs w:val="32"/>
        </w:rPr>
        <w:t xml:space="preserve"> 支出决算为0.4万元，完成预算100%，与预算数持平。</w:t>
      </w:r>
    </w:p>
    <w:p>
      <w:pPr>
        <w:spacing w:line="560" w:lineRule="exact"/>
        <w:ind w:firstLine="643" w:firstLineChars="200"/>
        <w:rPr>
          <w:rStyle w:val="18"/>
          <w:rFonts w:ascii="仿宋_GB2312" w:hAnsi="仿宋_GB2312" w:cs="仿宋_GB2312"/>
          <w:b w:val="0"/>
          <w:bCs/>
          <w:color w:val="000000"/>
          <w:sz w:val="32"/>
          <w:szCs w:val="32"/>
        </w:rPr>
      </w:pPr>
      <w:r>
        <w:rPr>
          <w:rStyle w:val="18"/>
          <w:rFonts w:hint="eastAsia" w:ascii="仿宋_GB2312" w:hAnsi="仿宋_GB2312" w:cs="仿宋_GB2312"/>
          <w:bCs/>
          <w:color w:val="000000"/>
          <w:sz w:val="32"/>
          <w:szCs w:val="32"/>
        </w:rPr>
        <w:t>4.社会保障和就业（类）行政事业单位养老支出（款） 事业单位离退休（项）:</w:t>
      </w:r>
      <w:r>
        <w:rPr>
          <w:rStyle w:val="18"/>
          <w:rFonts w:hint="eastAsia" w:ascii="仿宋_GB2312" w:hAnsi="仿宋_GB2312" w:cs="仿宋_GB2312"/>
          <w:b w:val="0"/>
          <w:bCs/>
          <w:color w:val="000000"/>
          <w:sz w:val="32"/>
          <w:szCs w:val="32"/>
        </w:rPr>
        <w:t xml:space="preserve"> 支出决算为11.61万元，完成预算100%，与预算数持平。</w:t>
      </w:r>
    </w:p>
    <w:p>
      <w:pPr>
        <w:spacing w:line="560" w:lineRule="exact"/>
        <w:ind w:firstLine="643" w:firstLineChars="200"/>
        <w:rPr>
          <w:rFonts w:ascii="仿宋_GB2312" w:hAnsi="仿宋_GB2312" w:cs="仿宋_GB2312"/>
          <w:b/>
          <w:color w:val="000000"/>
          <w:sz w:val="32"/>
          <w:szCs w:val="32"/>
        </w:rPr>
      </w:pPr>
      <w:r>
        <w:rPr>
          <w:rStyle w:val="18"/>
          <w:rFonts w:hint="eastAsia" w:ascii="仿宋_GB2312" w:hAnsi="仿宋_GB2312" w:cs="仿宋_GB2312"/>
          <w:bCs/>
          <w:color w:val="000000"/>
          <w:sz w:val="32"/>
          <w:szCs w:val="32"/>
        </w:rPr>
        <w:t>5.社会保障和就业（类）行政事业单位养老支出（款）机关事业单位基本养老保险缴费支出（项）:</w:t>
      </w:r>
      <w:r>
        <w:rPr>
          <w:rStyle w:val="18"/>
          <w:rFonts w:hint="eastAsia" w:ascii="仿宋_GB2312" w:hAnsi="仿宋_GB2312" w:cs="仿宋_GB2312"/>
          <w:b w:val="0"/>
          <w:bCs/>
          <w:color w:val="000000"/>
          <w:sz w:val="32"/>
          <w:szCs w:val="32"/>
        </w:rPr>
        <w:t xml:space="preserve"> 支出决算为5.02万元，完成预算100%，与预算数持平。</w:t>
      </w:r>
    </w:p>
    <w:p>
      <w:pPr>
        <w:spacing w:line="560" w:lineRule="exact"/>
        <w:ind w:firstLine="643" w:firstLineChars="200"/>
        <w:rPr>
          <w:rFonts w:ascii="仿宋_GB2312" w:hAnsi="仿宋_GB2312" w:cs="仿宋_GB2312"/>
          <w:b/>
          <w:color w:val="000000"/>
          <w:sz w:val="32"/>
          <w:szCs w:val="32"/>
        </w:rPr>
      </w:pPr>
      <w:r>
        <w:rPr>
          <w:rStyle w:val="18"/>
          <w:rFonts w:hint="eastAsia" w:ascii="仿宋_GB2312" w:hAnsi="仿宋_GB2312" w:cs="仿宋_GB2312"/>
          <w:bCs/>
          <w:color w:val="000000"/>
          <w:sz w:val="32"/>
          <w:szCs w:val="32"/>
        </w:rPr>
        <w:t>6.住房保障支出（类）住房改革支出（款）住房公积金（项）:</w:t>
      </w:r>
      <w:r>
        <w:rPr>
          <w:rStyle w:val="18"/>
          <w:rFonts w:hint="eastAsia" w:ascii="仿宋_GB2312" w:hAnsi="仿宋_GB2312" w:cs="仿宋_GB2312"/>
          <w:b w:val="0"/>
          <w:bCs/>
          <w:color w:val="000000"/>
          <w:sz w:val="32"/>
          <w:szCs w:val="32"/>
        </w:rPr>
        <w:t xml:space="preserve"> 支出决算为4.57万元，完成预算100%，与预算数持平。</w:t>
      </w:r>
    </w:p>
    <w:p>
      <w:pPr>
        <w:tabs>
          <w:tab w:val="right" w:pos="8306"/>
        </w:tabs>
        <w:spacing w:line="560" w:lineRule="exact"/>
        <w:ind w:firstLine="640" w:firstLineChars="200"/>
        <w:outlineLvl w:val="1"/>
        <w:rPr>
          <w:rStyle w:val="21"/>
          <w:rFonts w:ascii="仿宋_GB2312" w:hAnsi="仿宋_GB2312" w:eastAsia="仿宋_GB2312" w:cs="仿宋_GB2312"/>
        </w:rPr>
      </w:pPr>
      <w:bookmarkStart w:id="61" w:name="_Toc25189"/>
      <w:bookmarkStart w:id="62" w:name="_Toc15396608"/>
      <w:bookmarkStart w:id="63" w:name="_Toc15377214"/>
      <w:r>
        <w:rPr>
          <w:rFonts w:hint="eastAsia" w:ascii="黑体" w:hAnsi="黑体" w:eastAsia="黑体" w:cs="黑体"/>
          <w:color w:val="000000"/>
          <w:sz w:val="32"/>
          <w:szCs w:val="32"/>
        </w:rPr>
        <w:t>六</w:t>
      </w:r>
      <w:r>
        <w:rPr>
          <w:rFonts w:hint="eastAsia" w:ascii="黑体" w:hAnsi="黑体" w:eastAsia="黑体" w:cs="黑体"/>
          <w:b/>
          <w:color w:val="000000"/>
          <w:sz w:val="32"/>
          <w:szCs w:val="32"/>
        </w:rPr>
        <w:t>、一</w:t>
      </w:r>
      <w:r>
        <w:rPr>
          <w:rStyle w:val="21"/>
          <w:rFonts w:hint="eastAsia" w:ascii="黑体" w:hAnsi="黑体" w:eastAsia="黑体" w:cs="黑体"/>
          <w:b w:val="0"/>
        </w:rPr>
        <w:t>般公共预算财政拨款基本支出决算情况说明</w:t>
      </w:r>
      <w:bookmarkEnd w:id="61"/>
      <w:bookmarkEnd w:id="62"/>
      <w:bookmarkEnd w:id="63"/>
      <w:r>
        <w:rPr>
          <w:rStyle w:val="21"/>
          <w:rFonts w:hint="eastAsia" w:ascii="仿宋_GB2312" w:hAnsi="仿宋_GB2312" w:eastAsia="仿宋_GB2312" w:cs="仿宋_GB2312"/>
          <w:b w:val="0"/>
        </w:rPr>
        <w:tab/>
      </w:r>
    </w:p>
    <w:p>
      <w:pPr>
        <w:spacing w:line="560" w:lineRule="exact"/>
        <w:ind w:firstLine="645"/>
        <w:rPr>
          <w:rFonts w:ascii="仿宋_GB2312" w:hAnsi="仿宋_GB2312" w:cs="仿宋_GB2312"/>
          <w:color w:val="000000"/>
          <w:sz w:val="32"/>
          <w:szCs w:val="32"/>
        </w:rPr>
      </w:pPr>
      <w:r>
        <w:rPr>
          <w:rFonts w:hint="eastAsia" w:ascii="仿宋_GB2312" w:hAnsi="仿宋_GB2312" w:cs="仿宋_GB2312"/>
          <w:color w:val="000000"/>
          <w:sz w:val="32"/>
          <w:szCs w:val="32"/>
        </w:rPr>
        <w:t>2020年一般公共预算财政拨款基本支出75.9</w:t>
      </w:r>
      <w:r>
        <w:rPr>
          <w:rFonts w:hint="eastAsia" w:ascii="仿宋_GB2312" w:hAnsi="仿宋_GB2312" w:cs="仿宋_GB2312"/>
          <w:color w:val="000000"/>
          <w:sz w:val="32"/>
          <w:szCs w:val="32"/>
          <w:lang w:val="en-US" w:eastAsia="zh-CN"/>
        </w:rPr>
        <w:t>7</w:t>
      </w:r>
      <w:r>
        <w:rPr>
          <w:rFonts w:hint="eastAsia" w:ascii="仿宋_GB2312" w:hAnsi="仿宋_GB2312" w:cs="仿宋_GB2312"/>
          <w:color w:val="000000"/>
          <w:sz w:val="32"/>
          <w:szCs w:val="32"/>
        </w:rPr>
        <w:t>万元，其中：</w:t>
      </w:r>
    </w:p>
    <w:p>
      <w:pPr>
        <w:spacing w:line="560" w:lineRule="exact"/>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人员经费66.5</w:t>
      </w:r>
      <w:r>
        <w:rPr>
          <w:rFonts w:hint="eastAsia" w:ascii="仿宋_GB2312" w:hAnsi="仿宋_GB2312" w:cs="仿宋_GB2312"/>
          <w:color w:val="000000"/>
          <w:sz w:val="32"/>
          <w:szCs w:val="32"/>
          <w:lang w:val="en-US" w:eastAsia="zh-CN"/>
        </w:rPr>
        <w:t>5</w:t>
      </w:r>
      <w:r>
        <w:rPr>
          <w:rFonts w:hint="eastAsia" w:ascii="仿宋_GB2312" w:hAnsi="仿宋_GB2312" w:cs="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60" w:lineRule="exact"/>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日常公用经费9.42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firstLineChars="200"/>
        <w:outlineLvl w:val="1"/>
        <w:rPr>
          <w:rStyle w:val="21"/>
          <w:rFonts w:ascii="黑体" w:hAnsi="黑体" w:eastAsia="黑体" w:cs="黑体"/>
          <w:b w:val="0"/>
        </w:rPr>
      </w:pPr>
      <w:bookmarkStart w:id="64" w:name="_Toc26125"/>
      <w:bookmarkStart w:id="65" w:name="_Toc15377215"/>
      <w:bookmarkStart w:id="66" w:name="_Toc15396609"/>
      <w:r>
        <w:rPr>
          <w:rFonts w:hint="eastAsia" w:ascii="黑体" w:hAnsi="黑体" w:eastAsia="黑体" w:cs="黑体"/>
          <w:color w:val="000000"/>
          <w:sz w:val="32"/>
          <w:szCs w:val="32"/>
        </w:rPr>
        <w:t>七、</w:t>
      </w:r>
      <w:r>
        <w:rPr>
          <w:rStyle w:val="21"/>
          <w:rFonts w:hint="eastAsia" w:ascii="黑体" w:hAnsi="黑体" w:eastAsia="黑体" w:cs="黑体"/>
        </w:rPr>
        <w:t>“</w:t>
      </w:r>
      <w:r>
        <w:rPr>
          <w:rStyle w:val="21"/>
          <w:rFonts w:hint="eastAsia" w:ascii="黑体" w:hAnsi="黑体" w:eastAsia="黑体" w:cs="黑体"/>
          <w:b w:val="0"/>
        </w:rPr>
        <w:t>三公”经费财政拨款支出决算情况说明</w:t>
      </w:r>
      <w:bookmarkEnd w:id="64"/>
      <w:bookmarkEnd w:id="65"/>
      <w:bookmarkEnd w:id="66"/>
    </w:p>
    <w:p>
      <w:pPr>
        <w:spacing w:line="600" w:lineRule="exact"/>
        <w:ind w:firstLine="640"/>
        <w:outlineLvl w:val="2"/>
        <w:rPr>
          <w:rFonts w:ascii="楷体_GB2312" w:hAnsi="楷体_GB2312" w:eastAsia="楷体_GB2312" w:cs="楷体_GB2312"/>
          <w:b/>
          <w:color w:val="000000"/>
          <w:sz w:val="32"/>
          <w:szCs w:val="32"/>
        </w:rPr>
      </w:pPr>
      <w:bookmarkStart w:id="67" w:name="_Toc15377216"/>
      <w:r>
        <w:rPr>
          <w:rFonts w:hint="eastAsia" w:ascii="楷体_GB2312" w:hAnsi="楷体_GB2312" w:eastAsia="楷体_GB2312" w:cs="楷体_GB2312"/>
          <w:b/>
          <w:color w:val="000000"/>
          <w:sz w:val="32"/>
          <w:szCs w:val="32"/>
        </w:rPr>
        <w:t>（一）“三公”经费财政拨款支出决算总体情况说明</w:t>
      </w:r>
      <w:bookmarkEnd w:id="67"/>
    </w:p>
    <w:p>
      <w:pPr>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sz w:val="32"/>
          <w:szCs w:val="32"/>
        </w:rPr>
        <w:t>2020年“三公”经费财政拨款支出决算为1.10万元，完成预算63.95%，决算数小于预算数的主要原因是严格控制预算，减少开支。</w:t>
      </w:r>
    </w:p>
    <w:p>
      <w:pPr>
        <w:spacing w:line="600" w:lineRule="exact"/>
        <w:ind w:firstLine="640"/>
        <w:outlineLvl w:val="2"/>
        <w:rPr>
          <w:rFonts w:ascii="楷体_GB2312" w:hAnsi="楷体_GB2312" w:eastAsia="楷体_GB2312" w:cs="楷体_GB2312"/>
          <w:b/>
          <w:color w:val="000000"/>
          <w:sz w:val="32"/>
          <w:szCs w:val="32"/>
        </w:rPr>
      </w:pPr>
      <w:bookmarkStart w:id="68" w:name="_Toc15377217"/>
      <w:r>
        <w:rPr>
          <w:rFonts w:hint="eastAsia" w:ascii="楷体_GB2312" w:hAnsi="楷体_GB2312" w:eastAsia="楷体_GB2312" w:cs="楷体_GB2312"/>
          <w:b/>
          <w:color w:val="000000"/>
          <w:sz w:val="32"/>
          <w:szCs w:val="32"/>
        </w:rPr>
        <w:t>（二）“三公”经费财政拨款支出决算具体情况说明</w:t>
      </w:r>
      <w:bookmarkEnd w:id="68"/>
    </w:p>
    <w:p>
      <w:pPr>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sz w:val="32"/>
          <w:szCs w:val="32"/>
        </w:rPr>
        <w:t>2020年“三公”经费财政拨款支出决算中，因公出国（境）费支出决算0万元，占0%；公务用车购置及运行维护费支出决算1.10万元，占100%；公务接待费支出决算0万元，占0%。具体情况如下：</w:t>
      </w:r>
    </w:p>
    <w:p>
      <w:pPr>
        <w:jc w:val="center"/>
      </w:pPr>
      <w:r>
        <w:drawing>
          <wp:inline distT="0" distB="0" distL="114300" distR="114300">
            <wp:extent cx="4591050" cy="2752725"/>
            <wp:effectExtent l="0" t="0" r="0" b="952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5"/>
                    <a:stretch>
                      <a:fillRect/>
                    </a:stretch>
                  </pic:blipFill>
                  <pic:spPr>
                    <a:xfrm>
                      <a:off x="0" y="0"/>
                      <a:ext cx="4591050" cy="2752725"/>
                    </a:xfrm>
                    <a:prstGeom prst="rect">
                      <a:avLst/>
                    </a:prstGeom>
                    <a:noFill/>
                    <a:ln w="9525">
                      <a:noFill/>
                      <a:miter/>
                    </a:ln>
                  </pic:spPr>
                </pic:pic>
              </a:graphicData>
            </a:graphic>
          </wp:inline>
        </w:drawing>
      </w:r>
    </w:p>
    <w:p>
      <w:pPr>
        <w:spacing w:line="540" w:lineRule="exact"/>
        <w:ind w:firstLine="1120" w:firstLineChars="350"/>
        <w:rPr>
          <w:rFonts w:ascii="仿宋_GB2312" w:hAnsi="仿宋_GB2312" w:cs="仿宋_GB2312"/>
          <w:color w:val="000000"/>
          <w:sz w:val="32"/>
          <w:szCs w:val="32"/>
        </w:rPr>
      </w:pPr>
      <w:r>
        <w:rPr>
          <w:rFonts w:hint="eastAsia" w:ascii="仿宋" w:hAnsi="仿宋" w:eastAsia="仿宋"/>
          <w:color w:val="000000"/>
          <w:sz w:val="32"/>
          <w:szCs w:val="32"/>
        </w:rPr>
        <w:t>（</w:t>
      </w:r>
      <w:r>
        <w:rPr>
          <w:rFonts w:hint="eastAsia" w:ascii="仿宋_GB2312" w:hAnsi="仿宋_GB2312" w:cs="仿宋_GB2312"/>
          <w:color w:val="000000"/>
          <w:sz w:val="32"/>
          <w:szCs w:val="32"/>
        </w:rPr>
        <w:t>图7：“三公”经费财政拨款支出结构）</w:t>
      </w:r>
    </w:p>
    <w:p>
      <w:pPr>
        <w:spacing w:line="540" w:lineRule="exact"/>
        <w:ind w:firstLine="640"/>
        <w:rPr>
          <w:rFonts w:ascii="仿宋_GB2312" w:hAnsi="仿宋_GB2312" w:cs="仿宋_GB2312"/>
          <w:b/>
          <w:color w:val="000000"/>
          <w:sz w:val="32"/>
          <w:szCs w:val="32"/>
        </w:rPr>
      </w:pPr>
      <w:r>
        <w:rPr>
          <w:rFonts w:hint="eastAsia" w:ascii="楷体_GB2312" w:hAnsi="楷体_GB2312" w:eastAsia="楷体_GB2312" w:cs="楷体_GB2312"/>
          <w:b/>
          <w:color w:val="000000"/>
          <w:sz w:val="32"/>
          <w:szCs w:val="32"/>
        </w:rPr>
        <w:t>1.因公出国（境）经费支出0万元，</w:t>
      </w:r>
      <w:r>
        <w:rPr>
          <w:rStyle w:val="18"/>
          <w:rFonts w:hint="eastAsia" w:ascii="仿宋_GB2312" w:hAnsi="仿宋_GB2312" w:cs="仿宋_GB2312"/>
          <w:b w:val="0"/>
          <w:bCs/>
          <w:color w:val="000000"/>
          <w:sz w:val="32"/>
          <w:szCs w:val="32"/>
        </w:rPr>
        <w:t>完成预算0%。</w:t>
      </w:r>
      <w:r>
        <w:rPr>
          <w:rFonts w:hint="eastAsia" w:ascii="仿宋_GB2312" w:hAnsi="仿宋_GB2312" w:cs="仿宋_GB2312"/>
          <w:color w:val="000000"/>
          <w:sz w:val="32"/>
          <w:szCs w:val="32"/>
        </w:rPr>
        <w:t>全年安排因公出国（境）团组0次，出国（境）0人。因公出国（境）支出决算与2019年持平，增长/下降0%。</w:t>
      </w:r>
    </w:p>
    <w:p>
      <w:pPr>
        <w:spacing w:line="540" w:lineRule="exact"/>
        <w:ind w:firstLine="640"/>
        <w:rPr>
          <w:rFonts w:ascii="仿宋_GB2312" w:hAnsi="仿宋_GB2312" w:cs="仿宋_GB2312"/>
          <w:b/>
          <w:color w:val="000000"/>
          <w:sz w:val="32"/>
          <w:szCs w:val="32"/>
        </w:rPr>
      </w:pPr>
      <w:r>
        <w:rPr>
          <w:rFonts w:hint="eastAsia" w:ascii="楷体_GB2312" w:hAnsi="楷体_GB2312" w:eastAsia="楷体_GB2312" w:cs="楷体_GB2312"/>
          <w:b/>
          <w:color w:val="000000"/>
          <w:sz w:val="32"/>
          <w:szCs w:val="32"/>
        </w:rPr>
        <w:t>2.公务用车购置及运行维护费支出1.10万元</w:t>
      </w:r>
      <w:r>
        <w:rPr>
          <w:rFonts w:hint="eastAsia" w:ascii="楷体_GB2312" w:hAnsi="楷体_GB2312" w:eastAsia="楷体_GB2312" w:cs="楷体_GB2312"/>
          <w:b/>
          <w:color w:val="000000"/>
          <w:sz w:val="32"/>
          <w:szCs w:val="32"/>
          <w:lang w:eastAsia="zh-CN"/>
        </w:rPr>
        <w:t>，</w:t>
      </w:r>
      <w:r>
        <w:rPr>
          <w:rStyle w:val="18"/>
          <w:rFonts w:hint="eastAsia" w:ascii="仿宋_GB2312" w:hAnsi="仿宋_GB2312" w:cs="仿宋_GB2312"/>
          <w:b w:val="0"/>
          <w:bCs/>
          <w:color w:val="000000"/>
          <w:sz w:val="32"/>
          <w:szCs w:val="32"/>
        </w:rPr>
        <w:t>完成预算63.95%。</w:t>
      </w:r>
      <w:r>
        <w:rPr>
          <w:rFonts w:hint="eastAsia" w:ascii="仿宋_GB2312" w:hAnsi="仿宋_GB2312" w:cs="仿宋_GB2312"/>
          <w:color w:val="000000"/>
          <w:sz w:val="32"/>
          <w:szCs w:val="32"/>
        </w:rPr>
        <w:t>公务用车购置及运行维护费支出决算比2019年减少0.13万元，下降12%。主要原因是严格控制预算，减少开支。</w:t>
      </w:r>
    </w:p>
    <w:p>
      <w:pPr>
        <w:spacing w:line="540" w:lineRule="exact"/>
        <w:ind w:firstLine="640" w:firstLineChars="200"/>
        <w:rPr>
          <w:rFonts w:ascii="仿宋_GB2312" w:hAnsi="仿宋_GB2312" w:cs="仿宋_GB2312"/>
          <w:b/>
          <w:color w:val="000000"/>
          <w:sz w:val="32"/>
          <w:szCs w:val="32"/>
        </w:rPr>
      </w:pPr>
      <w:r>
        <w:rPr>
          <w:rFonts w:hint="eastAsia" w:ascii="仿宋_GB2312" w:hAnsi="仿宋_GB2312" w:cs="仿宋_GB2312"/>
          <w:color w:val="000000"/>
          <w:sz w:val="32"/>
          <w:szCs w:val="32"/>
        </w:rPr>
        <w:t>其中：</w:t>
      </w:r>
      <w:r>
        <w:rPr>
          <w:rFonts w:hint="eastAsia" w:ascii="仿宋_GB2312" w:hAnsi="仿宋_GB2312" w:cs="仿宋_GB2312"/>
          <w:b/>
          <w:color w:val="000000"/>
          <w:sz w:val="32"/>
          <w:szCs w:val="32"/>
        </w:rPr>
        <w:t>公务用车购置支出0万元。</w:t>
      </w:r>
      <w:r>
        <w:rPr>
          <w:rFonts w:hint="eastAsia" w:ascii="仿宋_GB2312" w:hAnsi="仿宋_GB2312" w:cs="仿宋_GB2312"/>
          <w:color w:val="000000"/>
          <w:sz w:val="32"/>
          <w:szCs w:val="32"/>
        </w:rPr>
        <w:t>全年按规定更新购置公务用车0辆，其中：轿车0辆、金额0万元，越野车0辆、金额0万元，载客汽0辆、金额0元。截至2020年12月底，单位共有公务用车1辆，其中：轿车1辆、越野车0辆、载客汽车0辆。</w:t>
      </w:r>
    </w:p>
    <w:p>
      <w:pPr>
        <w:spacing w:line="540" w:lineRule="exact"/>
        <w:ind w:firstLine="640"/>
        <w:rPr>
          <w:rFonts w:ascii="仿宋_GB2312" w:hAnsi="仿宋_GB2312" w:cs="仿宋_GB2312"/>
          <w:color w:val="000000"/>
          <w:sz w:val="32"/>
          <w:szCs w:val="32"/>
        </w:rPr>
      </w:pPr>
      <w:r>
        <w:rPr>
          <w:rFonts w:hint="eastAsia" w:ascii="仿宋_GB2312" w:hAnsi="仿宋_GB2312" w:cs="仿宋_GB2312"/>
          <w:b/>
          <w:color w:val="000000"/>
          <w:sz w:val="32"/>
          <w:szCs w:val="32"/>
        </w:rPr>
        <w:t>公务用车运行维护费支出1.10万元。</w:t>
      </w:r>
      <w:r>
        <w:rPr>
          <w:rFonts w:hint="eastAsia" w:ascii="仿宋_GB2312" w:hAnsi="仿宋_GB2312" w:cs="仿宋_GB2312"/>
          <w:color w:val="000000"/>
          <w:sz w:val="32"/>
          <w:szCs w:val="32"/>
        </w:rPr>
        <w:t>主要用于文艺创评，创作采风、采访等工作所需的公务用车燃料费、维修费、过路过桥费、保险费等支出。</w:t>
      </w:r>
    </w:p>
    <w:p>
      <w:pPr>
        <w:numPr>
          <w:ilvl w:val="0"/>
          <w:numId w:val="1"/>
        </w:numPr>
        <w:spacing w:line="600" w:lineRule="exact"/>
        <w:ind w:firstLine="640"/>
        <w:rPr>
          <w:rFonts w:ascii="仿宋_GB2312" w:cs="仿宋_GB2312"/>
          <w:color w:val="000000"/>
          <w:sz w:val="32"/>
          <w:szCs w:val="32"/>
        </w:rPr>
      </w:pPr>
      <w:bookmarkStart w:id="69" w:name="_Toc15396610"/>
      <w:bookmarkStart w:id="70" w:name="_Toc2787"/>
      <w:bookmarkStart w:id="71" w:name="_Toc15377218"/>
      <w:r>
        <w:rPr>
          <w:rFonts w:hint="eastAsia" w:ascii="仿宋_GB2312" w:cs="仿宋_GB2312"/>
          <w:b/>
          <w:color w:val="000000"/>
          <w:sz w:val="32"/>
          <w:szCs w:val="32"/>
        </w:rPr>
        <w:t>公务接待费支出</w:t>
      </w:r>
      <w:r>
        <w:rPr>
          <w:rFonts w:hint="eastAsia" w:ascii="仿宋_GB2312" w:cs="仿宋_GB2312"/>
          <w:color w:val="000000"/>
          <w:sz w:val="32"/>
          <w:szCs w:val="32"/>
        </w:rPr>
        <w:t>0万元，公务接待费支出决算与2019年持平。其中：</w:t>
      </w:r>
      <w:r>
        <w:rPr>
          <w:rFonts w:hint="eastAsia" w:ascii="仿宋_GB2312" w:cs="仿宋_GB2312"/>
          <w:b/>
          <w:color w:val="000000"/>
          <w:sz w:val="32"/>
          <w:szCs w:val="32"/>
        </w:rPr>
        <w:t>国内公务接待支出</w:t>
      </w:r>
      <w:r>
        <w:rPr>
          <w:rFonts w:hint="eastAsia" w:ascii="仿宋_GB2312" w:cs="仿宋_GB2312"/>
          <w:color w:val="000000"/>
          <w:sz w:val="32"/>
          <w:szCs w:val="32"/>
        </w:rPr>
        <w:t>0万元，国内公务接待0批次，0人次（不包括陪同人员），共计支出0万元。</w:t>
      </w:r>
    </w:p>
    <w:p>
      <w:pPr>
        <w:spacing w:line="540" w:lineRule="exact"/>
        <w:ind w:firstLine="643" w:firstLineChars="200"/>
        <w:outlineLvl w:val="1"/>
        <w:rPr>
          <w:rFonts w:ascii="仿宋_GB2312" w:cs="仿宋_GB2312"/>
          <w:color w:val="000000"/>
          <w:sz w:val="32"/>
          <w:szCs w:val="32"/>
        </w:rPr>
      </w:pPr>
      <w:r>
        <w:rPr>
          <w:rFonts w:hint="eastAsia" w:ascii="仿宋_GB2312" w:cs="仿宋_GB2312"/>
          <w:b/>
          <w:color w:val="000000"/>
          <w:sz w:val="32"/>
          <w:szCs w:val="32"/>
        </w:rPr>
        <w:t>外事接待支出</w:t>
      </w:r>
      <w:r>
        <w:rPr>
          <w:rFonts w:hint="eastAsia" w:ascii="仿宋_GB2312" w:cs="仿宋_GB2312"/>
          <w:color w:val="000000"/>
          <w:sz w:val="32"/>
          <w:szCs w:val="32"/>
        </w:rPr>
        <w:t>0万元，外事接待0批次，0人，共计支出0万元。</w:t>
      </w:r>
    </w:p>
    <w:p>
      <w:pPr>
        <w:spacing w:line="540" w:lineRule="exact"/>
        <w:ind w:firstLine="640" w:firstLineChars="200"/>
        <w:outlineLvl w:val="1"/>
        <w:rPr>
          <w:rStyle w:val="21"/>
          <w:rFonts w:ascii="黑体" w:hAnsi="黑体" w:eastAsia="黑体" w:cs="黑体"/>
        </w:rPr>
      </w:pPr>
      <w:r>
        <w:rPr>
          <w:rFonts w:hint="eastAsia" w:ascii="黑体" w:hAnsi="黑体" w:eastAsia="黑体" w:cs="黑体"/>
          <w:color w:val="000000"/>
          <w:sz w:val="32"/>
          <w:szCs w:val="32"/>
        </w:rPr>
        <w:t>八、</w:t>
      </w:r>
      <w:r>
        <w:rPr>
          <w:rStyle w:val="21"/>
          <w:rFonts w:hint="eastAsia" w:ascii="黑体" w:hAnsi="黑体" w:eastAsia="黑体" w:cs="黑体"/>
          <w:b w:val="0"/>
        </w:rPr>
        <w:t>政府性基金预算支出决算情况说明</w:t>
      </w:r>
      <w:bookmarkEnd w:id="69"/>
      <w:bookmarkEnd w:id="70"/>
      <w:bookmarkEnd w:id="71"/>
    </w:p>
    <w:p>
      <w:pPr>
        <w:spacing w:line="540" w:lineRule="exact"/>
        <w:ind w:firstLine="640"/>
        <w:rPr>
          <w:rFonts w:ascii="仿宋_GB2312" w:hAnsi="仿宋_GB2312" w:cs="仿宋_GB2312"/>
          <w:color w:val="000000"/>
          <w:sz w:val="32"/>
          <w:szCs w:val="32"/>
        </w:rPr>
      </w:pPr>
      <w:r>
        <w:rPr>
          <w:rFonts w:hint="eastAsia" w:ascii="仿宋_GB2312" w:hAnsi="仿宋_GB2312" w:cs="仿宋_GB2312"/>
          <w:color w:val="000000"/>
          <w:sz w:val="32"/>
          <w:szCs w:val="32"/>
        </w:rPr>
        <w:t>2020年政府性基金预算拨款支出8.36万元。</w:t>
      </w:r>
    </w:p>
    <w:p>
      <w:pPr>
        <w:spacing w:line="540" w:lineRule="exact"/>
        <w:ind w:firstLine="640" w:firstLineChars="200"/>
        <w:outlineLvl w:val="1"/>
        <w:rPr>
          <w:rStyle w:val="21"/>
          <w:rFonts w:ascii="黑体" w:hAnsi="黑体" w:eastAsia="黑体" w:cs="黑体"/>
          <w:b w:val="0"/>
        </w:rPr>
      </w:pPr>
      <w:bookmarkStart w:id="72" w:name="_Toc15396611"/>
      <w:bookmarkStart w:id="73" w:name="_Toc8294"/>
      <w:bookmarkStart w:id="74" w:name="_Toc15377219"/>
      <w:r>
        <w:rPr>
          <w:rStyle w:val="21"/>
          <w:rFonts w:hint="eastAsia" w:ascii="黑体" w:hAnsi="黑体" w:eastAsia="黑体" w:cs="黑体"/>
          <w:b w:val="0"/>
        </w:rPr>
        <w:t>九、国有资本经营预算支出决算情况说明</w:t>
      </w:r>
      <w:bookmarkEnd w:id="72"/>
      <w:bookmarkEnd w:id="73"/>
      <w:bookmarkEnd w:id="74"/>
    </w:p>
    <w:p>
      <w:pPr>
        <w:spacing w:line="540" w:lineRule="exact"/>
        <w:ind w:firstLine="640"/>
        <w:rPr>
          <w:rFonts w:ascii="仿宋_GB2312" w:hAnsi="仿宋_GB2312" w:cs="仿宋_GB2312"/>
          <w:color w:val="000000"/>
          <w:sz w:val="32"/>
          <w:szCs w:val="32"/>
        </w:rPr>
      </w:pPr>
      <w:r>
        <w:rPr>
          <w:rFonts w:hint="eastAsia" w:ascii="仿宋_GB2312" w:hAnsi="仿宋_GB2312" w:cs="仿宋_GB2312"/>
          <w:color w:val="000000"/>
          <w:sz w:val="32"/>
          <w:szCs w:val="32"/>
        </w:rPr>
        <w:t>2020年国有资本经营预算拨款支出0万元。</w:t>
      </w:r>
    </w:p>
    <w:p>
      <w:pPr>
        <w:spacing w:line="540" w:lineRule="exact"/>
        <w:ind w:firstLine="640" w:firstLineChars="200"/>
        <w:outlineLvl w:val="1"/>
        <w:rPr>
          <w:rStyle w:val="21"/>
          <w:rFonts w:ascii="黑体" w:hAnsi="黑体" w:eastAsia="黑体" w:cs="黑体"/>
        </w:rPr>
      </w:pPr>
      <w:bookmarkStart w:id="75" w:name="_Toc15396612"/>
      <w:bookmarkStart w:id="76" w:name="_Toc15377221"/>
      <w:bookmarkStart w:id="77" w:name="_Toc22907"/>
      <w:r>
        <w:rPr>
          <w:rFonts w:hint="eastAsia" w:ascii="黑体" w:hAnsi="黑体" w:eastAsia="黑体" w:cs="黑体"/>
          <w:color w:val="000000"/>
          <w:sz w:val="32"/>
          <w:szCs w:val="32"/>
        </w:rPr>
        <w:t>十</w:t>
      </w:r>
      <w:r>
        <w:rPr>
          <w:rStyle w:val="21"/>
          <w:rFonts w:hint="eastAsia" w:ascii="黑体" w:hAnsi="黑体" w:eastAsia="黑体" w:cs="黑体"/>
        </w:rPr>
        <w:t>、</w:t>
      </w:r>
      <w:r>
        <w:rPr>
          <w:rStyle w:val="21"/>
          <w:rFonts w:hint="eastAsia" w:ascii="黑体" w:hAnsi="黑体" w:eastAsia="黑体" w:cs="黑体"/>
          <w:b w:val="0"/>
        </w:rPr>
        <w:t>其他重要事项的情况说明</w:t>
      </w:r>
      <w:bookmarkEnd w:id="75"/>
      <w:bookmarkEnd w:id="76"/>
      <w:bookmarkEnd w:id="77"/>
    </w:p>
    <w:p>
      <w:pPr>
        <w:spacing w:line="540" w:lineRule="exact"/>
        <w:ind w:firstLine="643" w:firstLineChars="200"/>
        <w:outlineLvl w:val="2"/>
        <w:rPr>
          <w:rFonts w:ascii="楷体_GB2312" w:hAnsi="楷体_GB2312" w:eastAsia="楷体_GB2312" w:cs="楷体_GB2312"/>
          <w:b/>
          <w:color w:val="000000"/>
          <w:sz w:val="32"/>
          <w:szCs w:val="32"/>
        </w:rPr>
      </w:pPr>
      <w:bookmarkStart w:id="78" w:name="_Toc15377222"/>
      <w:r>
        <w:rPr>
          <w:rFonts w:hint="eastAsia" w:ascii="楷体_GB2312" w:hAnsi="楷体_GB2312" w:eastAsia="楷体_GB2312" w:cs="楷体_GB2312"/>
          <w:b/>
          <w:color w:val="000000"/>
          <w:sz w:val="32"/>
          <w:szCs w:val="32"/>
        </w:rPr>
        <w:t>（一）机关运行经费支出情况</w:t>
      </w:r>
      <w:bookmarkEnd w:id="78"/>
    </w:p>
    <w:p>
      <w:pPr>
        <w:spacing w:line="540" w:lineRule="exact"/>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2020年，文艺创评室机关运行经费支出0万元，比2019年增加/减少0万元，增长/下降0%，主要原因是未发生机关运行经费。</w:t>
      </w:r>
    </w:p>
    <w:p>
      <w:pPr>
        <w:autoSpaceDE w:val="0"/>
        <w:autoSpaceDN w:val="0"/>
        <w:adjustRightInd w:val="0"/>
        <w:spacing w:line="540" w:lineRule="exact"/>
        <w:ind w:firstLine="643" w:firstLineChars="200"/>
        <w:jc w:val="left"/>
        <w:outlineLvl w:val="2"/>
        <w:rPr>
          <w:rFonts w:ascii="楷体_GB2312" w:hAnsi="楷体_GB2312" w:eastAsia="楷体_GB2312" w:cs="楷体_GB2312"/>
          <w:b/>
          <w:color w:val="000000"/>
          <w:sz w:val="32"/>
          <w:szCs w:val="32"/>
        </w:rPr>
      </w:pPr>
      <w:bookmarkStart w:id="79" w:name="_Toc15377223"/>
      <w:r>
        <w:rPr>
          <w:rFonts w:hint="eastAsia" w:ascii="楷体_GB2312" w:hAnsi="楷体_GB2312" w:eastAsia="楷体_GB2312" w:cs="楷体_GB2312"/>
          <w:b/>
          <w:color w:val="000000"/>
          <w:sz w:val="32"/>
          <w:szCs w:val="32"/>
        </w:rPr>
        <w:t>（二）政府采购支出情况</w:t>
      </w:r>
      <w:bookmarkEnd w:id="79"/>
    </w:p>
    <w:p>
      <w:pPr>
        <w:spacing w:line="540" w:lineRule="exact"/>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2020年，市文艺创评室政府采购支出总额0.33万元，其中：政府采购货物支出0.33万元、政府采购工程支出0万元、政府采购服务支出0万元。主要用于会计凭证装订工作。授予中小企业合同金额0万元，占政府采购支出总额的0%，其中：授予小微企业合同金额0万元，占政府采购支出总额的0%。</w:t>
      </w:r>
    </w:p>
    <w:p>
      <w:pPr>
        <w:autoSpaceDE w:val="0"/>
        <w:autoSpaceDN w:val="0"/>
        <w:adjustRightInd w:val="0"/>
        <w:spacing w:line="540" w:lineRule="exact"/>
        <w:ind w:firstLine="643" w:firstLineChars="200"/>
        <w:jc w:val="left"/>
        <w:outlineLvl w:val="2"/>
        <w:rPr>
          <w:rFonts w:ascii="楷体_GB2312" w:hAnsi="楷体_GB2312" w:eastAsia="楷体_GB2312" w:cs="楷体_GB2312"/>
          <w:b/>
          <w:color w:val="000000"/>
          <w:sz w:val="32"/>
          <w:szCs w:val="32"/>
        </w:rPr>
      </w:pPr>
      <w:bookmarkStart w:id="80" w:name="_Toc15377224"/>
      <w:r>
        <w:rPr>
          <w:rFonts w:hint="eastAsia" w:ascii="楷体_GB2312" w:hAnsi="楷体_GB2312" w:eastAsia="楷体_GB2312" w:cs="楷体_GB2312"/>
          <w:b/>
          <w:color w:val="000000"/>
          <w:sz w:val="32"/>
          <w:szCs w:val="32"/>
        </w:rPr>
        <w:t>（三）国有资产占有使用情况</w:t>
      </w:r>
      <w:bookmarkEnd w:id="80"/>
    </w:p>
    <w:p>
      <w:pPr>
        <w:spacing w:line="540" w:lineRule="exact"/>
        <w:ind w:firstLine="640"/>
        <w:rPr>
          <w:rFonts w:ascii="仿宋_GB2312" w:hAnsi="仿宋_GB2312" w:cs="仿宋_GB2312"/>
          <w:color w:val="000000"/>
          <w:sz w:val="32"/>
          <w:szCs w:val="32"/>
        </w:rPr>
      </w:pPr>
      <w:r>
        <w:rPr>
          <w:rFonts w:hint="eastAsia" w:ascii="仿宋_GB2312" w:hAnsi="仿宋_GB2312" w:cs="仿宋_GB2312"/>
          <w:color w:val="000000"/>
          <w:sz w:val="32"/>
          <w:szCs w:val="32"/>
        </w:rPr>
        <w:t>截至2020年12月31日，市文艺创评室共有车辆1辆，其中：主要领导干部用车0辆、机要通信用车0辆、应急保障用车0辆、其他用车1辆，其他用车主要是用于文艺创评，创作采风、采访等工作所需的公务用车燃料费、维修费、过路过桥费、保险费等支出。单价50万元以上通用设备0台（套），单价100万元以上专用设备0台（套）。</w:t>
      </w:r>
    </w:p>
    <w:p>
      <w:pPr>
        <w:autoSpaceDE w:val="0"/>
        <w:autoSpaceDN w:val="0"/>
        <w:adjustRightInd w:val="0"/>
        <w:spacing w:line="540" w:lineRule="exact"/>
        <w:ind w:firstLine="643" w:firstLineChars="200"/>
        <w:jc w:val="left"/>
        <w:outlineLvl w:val="2"/>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（四）预算绩效管理情况。</w:t>
      </w:r>
    </w:p>
    <w:p>
      <w:pPr>
        <w:spacing w:line="540" w:lineRule="exact"/>
        <w:ind w:firstLine="640" w:firstLineChars="200"/>
        <w:rPr>
          <w:rFonts w:ascii="仿宋_GB2312" w:hAnsi="仿宋_GB2312" w:cs="仿宋_GB2312"/>
          <w:sz w:val="32"/>
          <w:szCs w:val="32"/>
        </w:rPr>
      </w:pPr>
      <w:r>
        <w:rPr>
          <w:rFonts w:hint="eastAsia" w:ascii="仿宋_GB2312" w:hAnsi="仿宋_GB2312" w:cs="仿宋_GB2312"/>
          <w:sz w:val="32"/>
          <w:szCs w:val="32"/>
        </w:rPr>
        <w:t>根据预算绩效管理要求，本部门（单位）在年初预算编制阶段，组织对2020年文艺创评经费项目（项目名称）开展了预算事前绩效评估，对4个项目编制了绩效目标，预算执行过程中，选取4个项目开展绩效监控，年终执行完毕后，对4个项目开展了绩效目标完成情况自评。</w:t>
      </w:r>
    </w:p>
    <w:p>
      <w:pPr>
        <w:snapToGrid w:val="0"/>
        <w:spacing w:line="540" w:lineRule="exact"/>
        <w:ind w:firstLine="640" w:firstLineChars="200"/>
        <w:rPr>
          <w:rFonts w:ascii="仿宋_GB2312" w:hAnsi="仿宋_GB2312" w:cs="仿宋_GB2312"/>
          <w:sz w:val="32"/>
          <w:szCs w:val="32"/>
        </w:rPr>
      </w:pPr>
      <w:r>
        <w:rPr>
          <w:rFonts w:hint="eastAsia" w:ascii="仿宋_GB2312" w:hAnsi="仿宋_GB2312" w:cs="仿宋_GB2312"/>
          <w:sz w:val="32"/>
          <w:szCs w:val="32"/>
        </w:rPr>
        <w:t>本部门按要求对2020年部门整体支出开展绩效自评，从评价情况来看</w:t>
      </w:r>
      <w:r>
        <w:rPr>
          <w:rFonts w:hint="eastAsia" w:ascii="仿宋_GB2312" w:hAnsi="仿宋_GB2312" w:cs="仿宋_GB2312"/>
          <w:bCs/>
          <w:sz w:val="32"/>
          <w:szCs w:val="32"/>
        </w:rPr>
        <w:t>市文艺创评室部门支出绩效指标达到了预期设定的目标值，绩效目标完成较好。项目组织机构健全，分工明确，资金管理制度健全，资金申报、评审、批准、下达程序规范，制定了资金分配方案，资金分配合理，资金使用合规，资金到位率100%，通过项目实施，攀枝花文艺创评工作得到保障。</w:t>
      </w:r>
      <w:r>
        <w:rPr>
          <w:rFonts w:hint="eastAsia" w:ascii="仿宋_GB2312" w:hAnsi="仿宋_GB2312" w:cs="仿宋_GB2312"/>
          <w:sz w:val="32"/>
          <w:szCs w:val="32"/>
        </w:rPr>
        <w:t>本部门还自行组织了4个项目支出绩效评价，从评价情况来看，均圆满完成工作任务，较好地实现了绩效目标。</w:t>
      </w:r>
    </w:p>
    <w:p>
      <w:pPr>
        <w:spacing w:line="540" w:lineRule="exact"/>
        <w:ind w:firstLine="643" w:firstLineChars="200"/>
        <w:rPr>
          <w:rFonts w:ascii="仿宋_GB2312" w:hAnsi="仿宋_GB2312" w:cs="仿宋_GB2312"/>
          <w:b/>
          <w:bCs/>
          <w:sz w:val="32"/>
          <w:szCs w:val="32"/>
        </w:rPr>
      </w:pPr>
      <w:r>
        <w:rPr>
          <w:rFonts w:hint="eastAsia" w:ascii="仿宋_GB2312" w:hAnsi="仿宋_GB2312" w:cs="仿宋_GB2312"/>
          <w:b/>
          <w:bCs/>
          <w:sz w:val="32"/>
          <w:szCs w:val="32"/>
        </w:rPr>
        <w:t>1.项目绩效目标完成情况。</w:t>
      </w:r>
    </w:p>
    <w:p>
      <w:pPr>
        <w:spacing w:line="540" w:lineRule="exact"/>
        <w:ind w:firstLine="640" w:firstLineChars="200"/>
        <w:rPr>
          <w:rFonts w:ascii="仿宋_GB2312" w:hAnsi="仿宋_GB2312" w:cs="仿宋_GB2312"/>
          <w:sz w:val="32"/>
          <w:szCs w:val="32"/>
        </w:rPr>
      </w:pPr>
      <w:r>
        <w:rPr>
          <w:rFonts w:hint="eastAsia" w:ascii="仿宋_GB2312" w:hAnsi="仿宋_GB2312" w:cs="仿宋_GB2312"/>
          <w:sz w:val="32"/>
          <w:szCs w:val="32"/>
        </w:rPr>
        <w:t>本部门在2020年度部门决算中反映“2020年文艺创评经费”</w:t>
      </w:r>
      <w:r>
        <w:rPr>
          <w:rFonts w:hint="default" w:ascii="仿宋_GB2312" w:hAnsi="仿宋_GB2312" w:cs="仿宋_GB2312"/>
          <w:sz w:val="32"/>
          <w:szCs w:val="32"/>
          <w:lang w:val="en-US" w:eastAsia="zh-CN"/>
        </w:rPr>
        <w:t>”</w:t>
      </w:r>
      <w:r>
        <w:rPr>
          <w:rFonts w:hint="eastAsia" w:ascii="仿宋_GB2312" w:hAnsi="仿宋_GB2312" w:cs="仿宋_GB2312"/>
          <w:sz w:val="32"/>
          <w:szCs w:val="32"/>
        </w:rPr>
        <w:t>2020年省级公共文化服务体系建设专项资金”“攀枝花建设55周年活动经费”等4个项目绩效目标实际完成情况。</w:t>
      </w:r>
    </w:p>
    <w:p>
      <w:pPr>
        <w:spacing w:line="54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（1）2020年文艺创评经费项目绩效目标完成情况综述。</w:t>
      </w:r>
      <w:r>
        <w:rPr>
          <w:rFonts w:hint="eastAsia" w:ascii="仿宋_GB2312" w:hAnsi="仿宋_GB2312" w:cs="仿宋_GB2312"/>
          <w:sz w:val="32"/>
          <w:szCs w:val="32"/>
        </w:rPr>
        <w:t>项目全年预算数10万元，执行数为10万元，完成预算的100%。通过项目实施，支持了市文艺创评室组织作家艺术家采访、挖掘城市原点文化、康养文化，进行文艺创作，服务于英雄攀枝花，阳光康养地，打造文化高地，促攀枝花社会经济发展，发现的主要问题：完成挖掘、采访、创作、评论次数太少。下一步改进措施：增加挖掘、采访、创作、评论。</w:t>
      </w:r>
    </w:p>
    <w:p>
      <w:pPr>
        <w:spacing w:line="54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（2）2020年省级公共文化服务体系建设专项资金项目绩效目标完成情况综述。</w:t>
      </w:r>
      <w:r>
        <w:rPr>
          <w:rFonts w:hint="eastAsia" w:ascii="仿宋_GB2312" w:hAnsi="仿宋_GB2312" w:cs="仿宋_GB2312"/>
          <w:sz w:val="32"/>
          <w:szCs w:val="32"/>
        </w:rPr>
        <w:t>项目全年预算数0.4万元，执行数为0.4万元，完成预算的100%。通过项目实施，推动了本地广播电视网络视听节目创作生产，发现的主要问题：保证区域文化影响和谐稳定发展有待下一步提升。下一步改进措施：争取资金提高补贴力度。</w:t>
      </w:r>
    </w:p>
    <w:p>
      <w:pPr>
        <w:spacing w:line="54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（3）攀枝花建设55周年活动经费项目绩效目标完成情况综述。</w:t>
      </w:r>
      <w:r>
        <w:rPr>
          <w:rFonts w:hint="eastAsia" w:ascii="仿宋_GB2312" w:hAnsi="仿宋_GB2312" w:cs="仿宋_GB2312"/>
          <w:sz w:val="32"/>
          <w:szCs w:val="32"/>
        </w:rPr>
        <w:t>项目全年预算数8.36万元，执行数为8.36万元，完成预算的100%。通过项目实施，保障攀枝花建设55周年系列活动正常开展，开展文学作品线上征集活动优秀作品评审、奖励、制作、展播等。发现的主要问题：线上征集作品太少。下一步改进措施：加强宣传力度。</w:t>
      </w:r>
    </w:p>
    <w:p>
      <w:pPr>
        <w:spacing w:line="54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（4）2019年结转省下创建</w:t>
      </w:r>
      <w:r>
        <w:rPr>
          <w:rFonts w:hint="eastAsia" w:ascii="仿宋_GB2312" w:hAnsi="仿宋_GB2312" w:cs="仿宋_GB2312"/>
          <w:b/>
          <w:bCs/>
          <w:sz w:val="32"/>
          <w:szCs w:val="32"/>
          <w:lang w:eastAsia="zh-CN"/>
        </w:rPr>
        <w:t>－</w:t>
      </w:r>
      <w:r>
        <w:rPr>
          <w:rFonts w:hint="eastAsia" w:ascii="仿宋_GB2312" w:hAnsi="仿宋_GB2312" w:cs="仿宋_GB2312"/>
          <w:b/>
          <w:bCs/>
          <w:sz w:val="32"/>
          <w:szCs w:val="32"/>
        </w:rPr>
        <w:t>攀枝花文化项目绩效目标完成情况综述。</w:t>
      </w:r>
      <w:r>
        <w:rPr>
          <w:rFonts w:hint="eastAsia" w:ascii="仿宋_GB2312" w:hAnsi="仿宋_GB2312" w:cs="仿宋_GB2312"/>
          <w:sz w:val="32"/>
          <w:szCs w:val="32"/>
        </w:rPr>
        <w:t>项目全年预算数5万元，执行数为5万元，完成预算的100%。通过项目实施，保障了《攀枝花文化》完成杂志4期，每期200册，发现的主要问题：资金短缺，印刷册数太少导致宣传不足。下一步改进措施：争取资金，加大印刷力度。</w:t>
      </w:r>
    </w:p>
    <w:p>
      <w:pPr>
        <w:spacing w:line="600" w:lineRule="exact"/>
        <w:ind w:firstLine="640" w:firstLineChars="200"/>
        <w:rPr>
          <w:rFonts w:ascii="仿宋_GB2312" w:hAnsi="仿宋_GB2312" w:cs="仿宋_GB2312"/>
          <w:sz w:val="32"/>
          <w:szCs w:val="32"/>
        </w:rPr>
      </w:pPr>
    </w:p>
    <w:p>
      <w:pPr>
        <w:spacing w:line="600" w:lineRule="exact"/>
        <w:ind w:firstLine="640" w:firstLineChars="200"/>
        <w:rPr>
          <w:rFonts w:ascii="仿宋_GB2312" w:hAnsi="仿宋_GB2312" w:cs="仿宋_GB2312"/>
          <w:sz w:val="32"/>
          <w:szCs w:val="32"/>
        </w:rPr>
      </w:pPr>
    </w:p>
    <w:p>
      <w:pPr>
        <w:spacing w:line="600" w:lineRule="exact"/>
        <w:rPr>
          <w:rFonts w:ascii="仿宋_GB2312" w:hAnsi="仿宋_GB2312" w:cs="仿宋_GB2312"/>
          <w:sz w:val="32"/>
          <w:szCs w:val="32"/>
        </w:rPr>
      </w:pPr>
    </w:p>
    <w:tbl>
      <w:tblPr>
        <w:tblStyle w:val="15"/>
        <w:tblpPr w:leftFromText="180" w:rightFromText="180" w:vertAnchor="text" w:horzAnchor="page" w:tblpXSpec="center" w:tblpY="423"/>
        <w:tblOverlap w:val="never"/>
        <w:tblW w:w="8997" w:type="dxa"/>
        <w:jc w:val="center"/>
        <w:tblLayout w:type="fixed"/>
        <w:tblCellMar>
          <w:top w:w="0" w:type="dxa"/>
          <w:left w:w="0" w:type="dxa"/>
          <w:bottom w:w="0" w:type="dxa"/>
          <w:right w:w="0" w:type="dxa"/>
        </w:tblCellMar>
      </w:tblPr>
      <w:tblGrid>
        <w:gridCol w:w="538"/>
        <w:gridCol w:w="1053"/>
        <w:gridCol w:w="928"/>
        <w:gridCol w:w="2159"/>
        <w:gridCol w:w="2160"/>
        <w:gridCol w:w="2159"/>
      </w:tblGrid>
      <w:tr>
        <w:tblPrEx>
          <w:tblCellMar>
            <w:top w:w="0" w:type="dxa"/>
            <w:left w:w="0" w:type="dxa"/>
            <w:bottom w:w="0" w:type="dxa"/>
            <w:right w:w="0" w:type="dxa"/>
          </w:tblCellMar>
        </w:tblPrEx>
        <w:trPr>
          <w:trHeight w:val="1034" w:hRule="atLeast"/>
          <w:jc w:val="center"/>
        </w:trPr>
        <w:tc>
          <w:tcPr>
            <w:tcW w:w="8997" w:type="dxa"/>
            <w:gridSpan w:val="6"/>
            <w:tcBorders>
              <w:top w:val="nil"/>
              <w:left w:val="nil"/>
              <w:bottom w:val="nil"/>
              <w:right w:val="nil"/>
            </w:tcBorders>
            <w:tcMar>
              <w:top w:w="15" w:type="dxa"/>
              <w:left w:w="15" w:type="dxa"/>
              <w:right w:w="15" w:type="dxa"/>
            </w:tcMar>
            <w:vAlign w:val="center"/>
          </w:tcPr>
          <w:p>
            <w:pPr>
              <w:jc w:val="center"/>
              <w:rPr>
                <w:rFonts w:ascii="仿宋_GB2312" w:hAnsi="仿宋_GB2312" w:cs="仿宋_GB2312"/>
                <w:b/>
                <w:bCs/>
                <w:sz w:val="44"/>
                <w:szCs w:val="44"/>
              </w:rPr>
            </w:pPr>
            <w:r>
              <w:rPr>
                <w:rFonts w:hint="eastAsia" w:ascii="仿宋_GB2312" w:hAnsi="仿宋_GB2312" w:cs="仿宋_GB2312"/>
                <w:b/>
                <w:bCs/>
                <w:sz w:val="44"/>
                <w:szCs w:val="44"/>
              </w:rPr>
              <w:t>项目绩效目标完成情况表</w:t>
            </w:r>
          </w:p>
          <w:p>
            <w:pPr>
              <w:jc w:val="center"/>
            </w:pPr>
            <w:r>
              <w:rPr>
                <w:rFonts w:hint="eastAsia" w:ascii="仿宋_GB2312" w:hAnsi="仿宋_GB2312" w:cs="仿宋_GB2312"/>
                <w:b/>
                <w:bCs/>
                <w:sz w:val="44"/>
                <w:szCs w:val="44"/>
              </w:rPr>
              <w:t>(2020年度</w:t>
            </w:r>
            <w:r>
              <w:rPr>
                <w:rFonts w:hint="eastAsia" w:ascii="仿宋_GB2312" w:hAnsi="仿宋_GB2312" w:cs="仿宋_GB2312"/>
                <w:b/>
                <w:bCs/>
                <w:sz w:val="44"/>
                <w:szCs w:val="44"/>
                <w:lang w:eastAsia="zh-CN"/>
              </w:rPr>
              <w:t>）</w:t>
            </w:r>
          </w:p>
        </w:tc>
      </w:tr>
      <w:tr>
        <w:tblPrEx>
          <w:tblCellMar>
            <w:top w:w="0" w:type="dxa"/>
            <w:left w:w="0" w:type="dxa"/>
            <w:bottom w:w="0" w:type="dxa"/>
            <w:right w:w="0" w:type="dxa"/>
          </w:tblCellMar>
        </w:tblPrEx>
        <w:trPr>
          <w:trHeight w:val="276" w:hRule="atLeast"/>
          <w:jc w:val="center"/>
        </w:trPr>
        <w:tc>
          <w:tcPr>
            <w:tcW w:w="25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项目名称</w:t>
            </w:r>
          </w:p>
        </w:tc>
        <w:tc>
          <w:tcPr>
            <w:tcW w:w="64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2020年文艺创评经费</w:t>
            </w:r>
          </w:p>
        </w:tc>
      </w:tr>
      <w:tr>
        <w:tblPrEx>
          <w:tblCellMar>
            <w:top w:w="0" w:type="dxa"/>
            <w:left w:w="0" w:type="dxa"/>
            <w:bottom w:w="0" w:type="dxa"/>
            <w:right w:w="0" w:type="dxa"/>
          </w:tblCellMar>
        </w:tblPrEx>
        <w:trPr>
          <w:trHeight w:val="276" w:hRule="atLeast"/>
          <w:jc w:val="center"/>
        </w:trPr>
        <w:tc>
          <w:tcPr>
            <w:tcW w:w="25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预算单位</w:t>
            </w:r>
          </w:p>
        </w:tc>
        <w:tc>
          <w:tcPr>
            <w:tcW w:w="64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攀枝花市文艺创评室</w:t>
            </w:r>
          </w:p>
        </w:tc>
      </w:tr>
      <w:tr>
        <w:tblPrEx>
          <w:tblCellMar>
            <w:top w:w="0" w:type="dxa"/>
            <w:left w:w="0" w:type="dxa"/>
            <w:bottom w:w="0" w:type="dxa"/>
            <w:right w:w="0" w:type="dxa"/>
          </w:tblCellMar>
        </w:tblPrEx>
        <w:trPr>
          <w:trHeight w:val="276" w:hRule="atLeast"/>
          <w:jc w:val="center"/>
        </w:trPr>
        <w:tc>
          <w:tcPr>
            <w:tcW w:w="5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预算执行情况</w:t>
            </w:r>
            <w:r>
              <w:rPr>
                <w:rFonts w:hint="eastAsia" w:ascii="仿宋_GB2312" w:hAnsi="仿宋_GB2312" w:cs="仿宋_GB2312"/>
                <w:sz w:val="24"/>
                <w:lang w:eastAsia="zh-CN"/>
              </w:rPr>
              <w:t>（</w:t>
            </w:r>
            <w:r>
              <w:rPr>
                <w:rFonts w:hint="eastAsia" w:ascii="仿宋_GB2312" w:hAnsi="仿宋_GB2312" w:cs="仿宋_GB2312"/>
                <w:sz w:val="24"/>
              </w:rPr>
              <w:t>万元</w:t>
            </w:r>
            <w:r>
              <w:rPr>
                <w:rFonts w:hint="eastAsia" w:ascii="仿宋_GB2312" w:hAnsi="仿宋_GB2312" w:cs="仿宋_GB2312"/>
                <w:sz w:val="24"/>
                <w:lang w:eastAsia="zh-CN"/>
              </w:rPr>
              <w:t>）</w:t>
            </w:r>
          </w:p>
        </w:tc>
        <w:tc>
          <w:tcPr>
            <w:tcW w:w="19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预算数</w:t>
            </w:r>
            <w:r>
              <w:rPr>
                <w:rFonts w:hint="eastAsia" w:ascii="仿宋_GB2312" w:hAnsi="仿宋_GB2312" w:cs="仿宋_GB2312"/>
                <w:sz w:val="24"/>
                <w:lang w:eastAsia="zh-CN"/>
              </w:rPr>
              <w:t>：</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10</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执行数</w:t>
            </w:r>
            <w:r>
              <w:rPr>
                <w:rFonts w:hint="eastAsia" w:ascii="仿宋_GB2312" w:hAnsi="仿宋_GB2312" w:cs="仿宋_GB2312"/>
                <w:sz w:val="24"/>
                <w:lang w:eastAsia="zh-CN"/>
              </w:rPr>
              <w:t>：</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10</w:t>
            </w:r>
          </w:p>
        </w:tc>
      </w:tr>
      <w:tr>
        <w:tblPrEx>
          <w:tblCellMar>
            <w:top w:w="0" w:type="dxa"/>
            <w:left w:w="0" w:type="dxa"/>
            <w:bottom w:w="0" w:type="dxa"/>
            <w:right w:w="0" w:type="dxa"/>
          </w:tblCellMar>
        </w:tblPrEx>
        <w:trPr>
          <w:trHeight w:val="276"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9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其中</w:t>
            </w:r>
            <w:r>
              <w:rPr>
                <w:rFonts w:hint="eastAsia" w:ascii="仿宋_GB2312" w:hAnsi="仿宋_GB2312" w:cs="仿宋_GB2312"/>
                <w:sz w:val="24"/>
                <w:lang w:eastAsia="zh-CN"/>
              </w:rPr>
              <w:t>－</w:t>
            </w:r>
            <w:r>
              <w:rPr>
                <w:rFonts w:hint="eastAsia" w:ascii="仿宋_GB2312" w:hAnsi="仿宋_GB2312" w:cs="仿宋_GB2312"/>
                <w:sz w:val="24"/>
              </w:rPr>
              <w:t>财政拨款</w:t>
            </w:r>
            <w:r>
              <w:rPr>
                <w:rFonts w:hint="eastAsia" w:ascii="仿宋_GB2312" w:hAnsi="仿宋_GB2312" w:cs="仿宋_GB2312"/>
                <w:sz w:val="24"/>
                <w:lang w:eastAsia="zh-CN"/>
              </w:rPr>
              <w:t>：</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10</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其中</w:t>
            </w:r>
            <w:r>
              <w:rPr>
                <w:rFonts w:hint="eastAsia" w:ascii="仿宋_GB2312" w:hAnsi="仿宋_GB2312" w:cs="仿宋_GB2312"/>
                <w:sz w:val="24"/>
                <w:lang w:eastAsia="zh-CN"/>
              </w:rPr>
              <w:t>－</w:t>
            </w:r>
            <w:r>
              <w:rPr>
                <w:rFonts w:hint="eastAsia" w:ascii="仿宋_GB2312" w:hAnsi="仿宋_GB2312" w:cs="仿宋_GB2312"/>
                <w:sz w:val="24"/>
              </w:rPr>
              <w:t>财政拨款</w:t>
            </w:r>
            <w:r>
              <w:rPr>
                <w:rFonts w:hint="eastAsia" w:ascii="仿宋_GB2312" w:hAnsi="仿宋_GB2312" w:cs="仿宋_GB2312"/>
                <w:sz w:val="24"/>
                <w:lang w:eastAsia="zh-CN"/>
              </w:rPr>
              <w:t>：</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10</w:t>
            </w:r>
          </w:p>
        </w:tc>
      </w:tr>
      <w:tr>
        <w:tblPrEx>
          <w:tblCellMar>
            <w:top w:w="0" w:type="dxa"/>
            <w:left w:w="0" w:type="dxa"/>
            <w:bottom w:w="0" w:type="dxa"/>
            <w:right w:w="0" w:type="dxa"/>
          </w:tblCellMar>
        </w:tblPrEx>
        <w:trPr>
          <w:trHeight w:val="1029"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9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其它资金</w:t>
            </w:r>
            <w:r>
              <w:rPr>
                <w:rFonts w:hint="eastAsia" w:ascii="仿宋_GB2312" w:hAnsi="仿宋_GB2312" w:cs="仿宋_GB2312"/>
                <w:sz w:val="24"/>
                <w:lang w:eastAsia="zh-CN"/>
              </w:rPr>
              <w:t>：</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其它资金</w:t>
            </w:r>
            <w:r>
              <w:rPr>
                <w:rFonts w:hint="eastAsia" w:ascii="仿宋_GB2312" w:hAnsi="仿宋_GB2312" w:cs="仿宋_GB2312"/>
                <w:sz w:val="24"/>
                <w:lang w:eastAsia="zh-CN"/>
              </w:rPr>
              <w:t>：</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r>
      <w:tr>
        <w:tblPrEx>
          <w:tblCellMar>
            <w:top w:w="0" w:type="dxa"/>
            <w:left w:w="0" w:type="dxa"/>
            <w:bottom w:w="0" w:type="dxa"/>
            <w:right w:w="0" w:type="dxa"/>
          </w:tblCellMar>
        </w:tblPrEx>
        <w:trPr>
          <w:trHeight w:val="276" w:hRule="atLeast"/>
          <w:jc w:val="center"/>
        </w:trPr>
        <w:tc>
          <w:tcPr>
            <w:tcW w:w="5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年度目标完成情况</w:t>
            </w:r>
          </w:p>
        </w:tc>
        <w:tc>
          <w:tcPr>
            <w:tcW w:w="41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预期目标</w:t>
            </w:r>
          </w:p>
        </w:tc>
        <w:tc>
          <w:tcPr>
            <w:tcW w:w="43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实际完成目标</w:t>
            </w:r>
          </w:p>
        </w:tc>
      </w:tr>
      <w:tr>
        <w:tblPrEx>
          <w:tblCellMar>
            <w:top w:w="0" w:type="dxa"/>
            <w:left w:w="0" w:type="dxa"/>
            <w:bottom w:w="0" w:type="dxa"/>
            <w:right w:w="0" w:type="dxa"/>
          </w:tblCellMar>
        </w:tblPrEx>
        <w:trPr>
          <w:trHeight w:val="1628" w:hRule="atLeast"/>
          <w:jc w:val="center"/>
        </w:trPr>
        <w:tc>
          <w:tcPr>
            <w:tcW w:w="5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41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2020年，市文艺创评室通过组织作家艺术家挖采访、挖掘城市原点文化、康养文化，进行文艺创作，服务于英雄攀枝花，阳光康养地，打造文化高地，促攀枝花社会经济发展。</w:t>
            </w:r>
          </w:p>
        </w:tc>
        <w:tc>
          <w:tcPr>
            <w:tcW w:w="43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完成杂志4期，每期200册，完成挖掘、采访、创作、评论次数24次</w:t>
            </w:r>
          </w:p>
        </w:tc>
      </w:tr>
      <w:tr>
        <w:tblPrEx>
          <w:tblCellMar>
            <w:top w:w="0" w:type="dxa"/>
            <w:left w:w="0" w:type="dxa"/>
            <w:bottom w:w="0" w:type="dxa"/>
            <w:right w:w="0" w:type="dxa"/>
          </w:tblCellMar>
        </w:tblPrEx>
        <w:trPr>
          <w:trHeight w:val="1042" w:hRule="atLeast"/>
          <w:jc w:val="center"/>
        </w:trPr>
        <w:tc>
          <w:tcPr>
            <w:tcW w:w="53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绩效指标完成情况</w:t>
            </w: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一级指标</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二级指标</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三级指标</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预期指标值</w:t>
            </w:r>
            <w:r>
              <w:rPr>
                <w:rFonts w:hint="eastAsia" w:ascii="仿宋_GB2312" w:hAnsi="仿宋_GB2312" w:cs="仿宋_GB2312"/>
                <w:sz w:val="24"/>
                <w:lang w:eastAsia="zh-CN"/>
              </w:rPr>
              <w:t>（</w:t>
            </w:r>
            <w:r>
              <w:rPr>
                <w:rFonts w:hint="eastAsia" w:ascii="仿宋_GB2312" w:hAnsi="仿宋_GB2312" w:cs="仿宋_GB2312"/>
                <w:sz w:val="24"/>
              </w:rPr>
              <w:t>包含数字及文字描述</w:t>
            </w:r>
            <w:r>
              <w:rPr>
                <w:rFonts w:hint="eastAsia" w:ascii="仿宋_GB2312" w:hAnsi="仿宋_GB2312" w:cs="仿宋_GB2312"/>
                <w:sz w:val="24"/>
                <w:lang w:eastAsia="zh-CN"/>
              </w:rPr>
              <w:t>）</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实际完成指标值</w:t>
            </w:r>
            <w:r>
              <w:rPr>
                <w:rFonts w:hint="eastAsia" w:ascii="仿宋_GB2312" w:hAnsi="仿宋_GB2312" w:cs="仿宋_GB2312"/>
                <w:sz w:val="24"/>
                <w:lang w:eastAsia="zh-CN"/>
              </w:rPr>
              <w:t>（</w:t>
            </w:r>
            <w:r>
              <w:rPr>
                <w:rFonts w:hint="eastAsia" w:ascii="仿宋_GB2312" w:hAnsi="仿宋_GB2312" w:cs="仿宋_GB2312"/>
                <w:sz w:val="24"/>
              </w:rPr>
              <w:t>包含数字及文字描述</w:t>
            </w:r>
            <w:r>
              <w:rPr>
                <w:rFonts w:hint="eastAsia" w:ascii="仿宋_GB2312" w:hAnsi="仿宋_GB2312" w:cs="仿宋_GB2312"/>
                <w:sz w:val="24"/>
                <w:lang w:eastAsia="zh-CN"/>
              </w:rPr>
              <w:t>）</w:t>
            </w:r>
          </w:p>
        </w:tc>
      </w:tr>
      <w:tr>
        <w:tblPrEx>
          <w:tblCellMar>
            <w:top w:w="0" w:type="dxa"/>
            <w:left w:w="0" w:type="dxa"/>
            <w:bottom w:w="0" w:type="dxa"/>
            <w:right w:w="0" w:type="dxa"/>
          </w:tblCellMar>
        </w:tblPrEx>
        <w:trPr>
          <w:trHeight w:val="753" w:hRule="atLeast"/>
          <w:jc w:val="center"/>
        </w:trPr>
        <w:tc>
          <w:tcPr>
            <w:tcW w:w="538"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项目完成指标</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数量指标</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挖掘、采访、创作、评论</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24次</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24次</w:t>
            </w:r>
          </w:p>
        </w:tc>
      </w:tr>
      <w:tr>
        <w:tblPrEx>
          <w:tblCellMar>
            <w:top w:w="0" w:type="dxa"/>
            <w:left w:w="0" w:type="dxa"/>
            <w:bottom w:w="0" w:type="dxa"/>
            <w:right w:w="0" w:type="dxa"/>
          </w:tblCellMar>
        </w:tblPrEx>
        <w:trPr>
          <w:trHeight w:val="1115" w:hRule="atLeast"/>
          <w:jc w:val="center"/>
        </w:trPr>
        <w:tc>
          <w:tcPr>
            <w:tcW w:w="538"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项目完成指标</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质量指标</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完成挖掘、采访、创作、评论次数</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24次</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24次</w:t>
            </w:r>
          </w:p>
        </w:tc>
      </w:tr>
      <w:tr>
        <w:tblPrEx>
          <w:tblCellMar>
            <w:top w:w="0" w:type="dxa"/>
            <w:left w:w="0" w:type="dxa"/>
            <w:bottom w:w="0" w:type="dxa"/>
            <w:right w:w="0" w:type="dxa"/>
          </w:tblCellMar>
        </w:tblPrEx>
        <w:trPr>
          <w:trHeight w:val="730" w:hRule="atLeast"/>
          <w:jc w:val="center"/>
        </w:trPr>
        <w:tc>
          <w:tcPr>
            <w:tcW w:w="538"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项目完成指标</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时效指标</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完成时间</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2020年12月底</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2020年12月底</w:t>
            </w:r>
          </w:p>
        </w:tc>
      </w:tr>
      <w:tr>
        <w:tblPrEx>
          <w:tblCellMar>
            <w:top w:w="0" w:type="dxa"/>
            <w:left w:w="0" w:type="dxa"/>
            <w:bottom w:w="0" w:type="dxa"/>
            <w:right w:w="0" w:type="dxa"/>
          </w:tblCellMar>
        </w:tblPrEx>
        <w:trPr>
          <w:trHeight w:val="898" w:hRule="atLeast"/>
          <w:jc w:val="center"/>
        </w:trPr>
        <w:tc>
          <w:tcPr>
            <w:tcW w:w="538"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项目完成指标</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成本指标</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挖掘、采访、创作、评论费用</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10万元</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10万元</w:t>
            </w:r>
          </w:p>
        </w:tc>
      </w:tr>
      <w:tr>
        <w:tblPrEx>
          <w:tblCellMar>
            <w:top w:w="0" w:type="dxa"/>
            <w:left w:w="0" w:type="dxa"/>
            <w:bottom w:w="0" w:type="dxa"/>
            <w:right w:w="0" w:type="dxa"/>
          </w:tblCellMar>
        </w:tblPrEx>
        <w:trPr>
          <w:trHeight w:val="1179" w:hRule="atLeast"/>
          <w:jc w:val="center"/>
        </w:trPr>
        <w:tc>
          <w:tcPr>
            <w:tcW w:w="538"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效益指标</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社会效益</w:t>
            </w:r>
          </w:p>
          <w:p>
            <w:pPr>
              <w:jc w:val="center"/>
              <w:rPr>
                <w:rFonts w:ascii="仿宋_GB2312" w:hAnsi="仿宋_GB2312" w:cs="仿宋_GB2312"/>
                <w:sz w:val="24"/>
              </w:rPr>
            </w:pPr>
            <w:r>
              <w:rPr>
                <w:rFonts w:hint="eastAsia" w:ascii="仿宋_GB2312" w:hAnsi="仿宋_GB2312" w:cs="仿宋_GB2312"/>
                <w:sz w:val="24"/>
              </w:rPr>
              <w:t>指标</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社会效益情况</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打造康养文化，挖掘城市历史文化，增加攀枝花人的城市认同感</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打造康养文化，挖掘城市历史文化，增加攀枝花人的城市认同感</w:t>
            </w:r>
          </w:p>
        </w:tc>
      </w:tr>
      <w:tr>
        <w:tblPrEx>
          <w:tblCellMar>
            <w:top w:w="0" w:type="dxa"/>
            <w:left w:w="0" w:type="dxa"/>
            <w:bottom w:w="0" w:type="dxa"/>
            <w:right w:w="0" w:type="dxa"/>
          </w:tblCellMar>
        </w:tblPrEx>
        <w:trPr>
          <w:trHeight w:val="1281" w:hRule="atLeast"/>
          <w:jc w:val="center"/>
        </w:trPr>
        <w:tc>
          <w:tcPr>
            <w:tcW w:w="5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满意度指标</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满意度指标</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人民群众满意度</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90%-100%</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95%</w:t>
            </w:r>
          </w:p>
        </w:tc>
      </w:tr>
    </w:tbl>
    <w:p>
      <w:pPr>
        <w:jc w:val="center"/>
        <w:rPr>
          <w:rFonts w:ascii="仿宋_GB2312" w:hAnsi="仿宋_GB2312" w:cs="仿宋_GB2312"/>
          <w:sz w:val="24"/>
        </w:rPr>
      </w:pPr>
    </w:p>
    <w:p>
      <w:pPr>
        <w:jc w:val="center"/>
        <w:rPr>
          <w:rFonts w:ascii="仿宋_GB2312" w:hAnsi="仿宋_GB2312" w:cs="仿宋_GB2312"/>
          <w:sz w:val="24"/>
        </w:rPr>
      </w:pPr>
    </w:p>
    <w:tbl>
      <w:tblPr>
        <w:tblStyle w:val="15"/>
        <w:tblpPr w:leftFromText="180" w:rightFromText="180" w:vertAnchor="text" w:horzAnchor="page" w:tblpXSpec="center" w:tblpY="423"/>
        <w:tblOverlap w:val="never"/>
        <w:tblW w:w="9892" w:type="dxa"/>
        <w:jc w:val="center"/>
        <w:tblLayout w:type="fixed"/>
        <w:tblCellMar>
          <w:top w:w="0" w:type="dxa"/>
          <w:left w:w="0" w:type="dxa"/>
          <w:bottom w:w="0" w:type="dxa"/>
          <w:right w:w="0" w:type="dxa"/>
        </w:tblCellMar>
      </w:tblPr>
      <w:tblGrid>
        <w:gridCol w:w="525"/>
        <w:gridCol w:w="1164"/>
        <w:gridCol w:w="1025"/>
        <w:gridCol w:w="2392"/>
        <w:gridCol w:w="2394"/>
        <w:gridCol w:w="2392"/>
      </w:tblGrid>
      <w:tr>
        <w:tblPrEx>
          <w:tblCellMar>
            <w:top w:w="0" w:type="dxa"/>
            <w:left w:w="0" w:type="dxa"/>
            <w:bottom w:w="0" w:type="dxa"/>
            <w:right w:w="0" w:type="dxa"/>
          </w:tblCellMar>
        </w:tblPrEx>
        <w:trPr>
          <w:trHeight w:val="1034" w:hRule="atLeast"/>
          <w:jc w:val="center"/>
        </w:trPr>
        <w:tc>
          <w:tcPr>
            <w:tcW w:w="9892" w:type="dxa"/>
            <w:gridSpan w:val="6"/>
            <w:tcBorders>
              <w:top w:val="nil"/>
              <w:left w:val="nil"/>
              <w:bottom w:val="nil"/>
              <w:right w:val="nil"/>
            </w:tcBorders>
            <w:tcMar>
              <w:top w:w="15" w:type="dxa"/>
              <w:left w:w="15" w:type="dxa"/>
              <w:right w:w="15" w:type="dxa"/>
            </w:tcMar>
            <w:vAlign w:val="center"/>
          </w:tcPr>
          <w:p>
            <w:pPr>
              <w:jc w:val="center"/>
              <w:rPr>
                <w:rFonts w:ascii="仿宋_GB2312" w:hAnsi="仿宋_GB2312" w:cs="仿宋_GB2312"/>
                <w:b/>
                <w:bCs/>
                <w:sz w:val="44"/>
                <w:szCs w:val="44"/>
              </w:rPr>
            </w:pPr>
            <w:r>
              <w:rPr>
                <w:rFonts w:hint="eastAsia" w:ascii="仿宋_GB2312" w:hAnsi="仿宋_GB2312" w:cs="仿宋_GB2312"/>
                <w:b/>
                <w:bCs/>
                <w:sz w:val="44"/>
                <w:szCs w:val="44"/>
              </w:rPr>
              <w:t>项目绩效目标完成情况表</w:t>
            </w:r>
          </w:p>
          <w:p>
            <w:pPr>
              <w:jc w:val="center"/>
            </w:pPr>
            <w:r>
              <w:rPr>
                <w:rFonts w:hint="eastAsia" w:ascii="仿宋_GB2312" w:hAnsi="仿宋_GB2312" w:cs="仿宋_GB2312"/>
                <w:b/>
                <w:bCs/>
                <w:sz w:val="44"/>
                <w:szCs w:val="44"/>
              </w:rPr>
              <w:t>(2020年度</w:t>
            </w:r>
            <w:r>
              <w:rPr>
                <w:rFonts w:hint="eastAsia" w:ascii="仿宋_GB2312" w:hAnsi="仿宋_GB2312" w:cs="仿宋_GB2312"/>
                <w:b/>
                <w:bCs/>
                <w:sz w:val="44"/>
                <w:szCs w:val="44"/>
                <w:lang w:eastAsia="zh-CN"/>
              </w:rPr>
              <w:t>）</w:t>
            </w:r>
          </w:p>
        </w:tc>
      </w:tr>
      <w:tr>
        <w:tblPrEx>
          <w:tblCellMar>
            <w:top w:w="0" w:type="dxa"/>
            <w:left w:w="0" w:type="dxa"/>
            <w:bottom w:w="0" w:type="dxa"/>
            <w:right w:w="0" w:type="dxa"/>
          </w:tblCellMar>
        </w:tblPrEx>
        <w:trPr>
          <w:trHeight w:val="276" w:hRule="atLeast"/>
          <w:jc w:val="center"/>
        </w:trPr>
        <w:tc>
          <w:tcPr>
            <w:tcW w:w="271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2020年省级公共文化服务体系建设专项资金</w:t>
            </w:r>
          </w:p>
        </w:tc>
      </w:tr>
      <w:tr>
        <w:tblPrEx>
          <w:tblCellMar>
            <w:top w:w="0" w:type="dxa"/>
            <w:left w:w="0" w:type="dxa"/>
            <w:bottom w:w="0" w:type="dxa"/>
            <w:right w:w="0" w:type="dxa"/>
          </w:tblCellMar>
        </w:tblPrEx>
        <w:trPr>
          <w:trHeight w:val="276" w:hRule="atLeast"/>
          <w:jc w:val="center"/>
        </w:trPr>
        <w:tc>
          <w:tcPr>
            <w:tcW w:w="271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攀枝花市文艺创评室</w:t>
            </w:r>
          </w:p>
        </w:tc>
      </w:tr>
      <w:tr>
        <w:tblPrEx>
          <w:tblCellMar>
            <w:top w:w="0" w:type="dxa"/>
            <w:left w:w="0" w:type="dxa"/>
            <w:bottom w:w="0" w:type="dxa"/>
            <w:right w:w="0" w:type="dxa"/>
          </w:tblCellMar>
        </w:tblPrEx>
        <w:trPr>
          <w:trHeight w:val="276"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预算执行情况</w:t>
            </w:r>
            <w:r>
              <w:rPr>
                <w:rFonts w:hint="eastAsia" w:ascii="仿宋_GB2312" w:hAnsi="仿宋_GB2312" w:cs="仿宋_GB2312"/>
                <w:sz w:val="24"/>
                <w:lang w:eastAsia="zh-CN"/>
              </w:rPr>
              <w:t>（</w:t>
            </w:r>
            <w:r>
              <w:rPr>
                <w:rFonts w:hint="eastAsia" w:ascii="仿宋_GB2312" w:hAnsi="仿宋_GB2312" w:cs="仿宋_GB2312"/>
                <w:sz w:val="24"/>
              </w:rPr>
              <w:t>万元</w:t>
            </w:r>
            <w:r>
              <w:rPr>
                <w:rFonts w:hint="eastAsia" w:ascii="仿宋_GB2312" w:hAnsi="仿宋_GB2312" w:cs="仿宋_GB2312"/>
                <w:sz w:val="24"/>
                <w:lang w:eastAsia="zh-CN"/>
              </w:rPr>
              <w:t>）</w:t>
            </w:r>
          </w:p>
        </w:tc>
        <w:tc>
          <w:tcPr>
            <w:tcW w:w="21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预算数</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执行数</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0.4</w:t>
            </w:r>
          </w:p>
        </w:tc>
      </w:tr>
      <w:tr>
        <w:tblPrEx>
          <w:tblCellMar>
            <w:top w:w="0" w:type="dxa"/>
            <w:left w:w="0" w:type="dxa"/>
            <w:bottom w:w="0" w:type="dxa"/>
            <w:right w:w="0" w:type="dxa"/>
          </w:tblCellMar>
        </w:tblPrEx>
        <w:trPr>
          <w:trHeight w:val="276"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21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其中</w:t>
            </w:r>
            <w:r>
              <w:rPr>
                <w:rFonts w:hint="eastAsia" w:ascii="仿宋_GB2312" w:hAnsi="仿宋_GB2312" w:cs="仿宋_GB2312"/>
                <w:sz w:val="24"/>
                <w:lang w:eastAsia="zh-CN"/>
              </w:rPr>
              <w:t>－</w:t>
            </w:r>
            <w:r>
              <w:rPr>
                <w:rFonts w:hint="eastAsia" w:ascii="仿宋_GB2312" w:hAnsi="仿宋_GB2312" w:cs="仿宋_GB2312"/>
                <w:sz w:val="24"/>
              </w:rPr>
              <w:t>财政拨款</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其中</w:t>
            </w:r>
            <w:r>
              <w:rPr>
                <w:rFonts w:hint="eastAsia" w:ascii="仿宋_GB2312" w:hAnsi="仿宋_GB2312" w:cs="仿宋_GB2312"/>
                <w:sz w:val="24"/>
                <w:lang w:eastAsia="zh-CN"/>
              </w:rPr>
              <w:t>－</w:t>
            </w:r>
            <w:r>
              <w:rPr>
                <w:rFonts w:hint="eastAsia" w:ascii="仿宋_GB2312" w:hAnsi="仿宋_GB2312" w:cs="仿宋_GB2312"/>
                <w:sz w:val="24"/>
              </w:rPr>
              <w:t>财政拨款</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0.4</w:t>
            </w:r>
          </w:p>
        </w:tc>
      </w:tr>
      <w:tr>
        <w:tblPrEx>
          <w:tblCellMar>
            <w:top w:w="0" w:type="dxa"/>
            <w:left w:w="0" w:type="dxa"/>
            <w:bottom w:w="0" w:type="dxa"/>
            <w:right w:w="0" w:type="dxa"/>
          </w:tblCellMar>
        </w:tblPrEx>
        <w:trPr>
          <w:trHeight w:val="1029"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21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其它资金</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其它资金</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r>
      <w:tr>
        <w:tblPrEx>
          <w:tblCellMar>
            <w:top w:w="0" w:type="dxa"/>
            <w:left w:w="0" w:type="dxa"/>
            <w:bottom w:w="0" w:type="dxa"/>
            <w:right w:w="0" w:type="dxa"/>
          </w:tblCellMar>
        </w:tblPrEx>
        <w:trPr>
          <w:trHeight w:val="276"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年度目标完成情况</w:t>
            </w:r>
          </w:p>
        </w:tc>
        <w:tc>
          <w:tcPr>
            <w:tcW w:w="45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实际完成目标</w:t>
            </w:r>
          </w:p>
        </w:tc>
      </w:tr>
      <w:tr>
        <w:tblPrEx>
          <w:tblCellMar>
            <w:top w:w="0" w:type="dxa"/>
            <w:left w:w="0" w:type="dxa"/>
            <w:bottom w:w="0" w:type="dxa"/>
            <w:right w:w="0" w:type="dxa"/>
          </w:tblCellMar>
        </w:tblPrEx>
        <w:trPr>
          <w:trHeight w:val="1159"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45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用于支持实施广播电视网络视听精品创作生产扶持引导打造文化高地，促攀枝花社会经济发展。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推动本地广播电视网络视听节目创作生产</w:t>
            </w:r>
          </w:p>
        </w:tc>
      </w:tr>
      <w:tr>
        <w:tblPrEx>
          <w:tblCellMar>
            <w:top w:w="0" w:type="dxa"/>
            <w:left w:w="0" w:type="dxa"/>
            <w:bottom w:w="0" w:type="dxa"/>
            <w:right w:w="0" w:type="dxa"/>
          </w:tblCellMar>
        </w:tblPrEx>
        <w:trPr>
          <w:trHeight w:val="1042" w:hRule="atLeast"/>
          <w:jc w:val="center"/>
        </w:trPr>
        <w:tc>
          <w:tcPr>
            <w:tcW w:w="5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绩效指标完成情况</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预期指标值</w:t>
            </w:r>
            <w:r>
              <w:rPr>
                <w:rFonts w:hint="eastAsia" w:ascii="仿宋_GB2312" w:hAnsi="仿宋_GB2312" w:cs="仿宋_GB2312"/>
                <w:sz w:val="24"/>
                <w:lang w:eastAsia="zh-CN"/>
              </w:rPr>
              <w:t>（</w:t>
            </w:r>
            <w:r>
              <w:rPr>
                <w:rFonts w:hint="eastAsia" w:ascii="仿宋_GB2312" w:hAnsi="仿宋_GB2312" w:cs="仿宋_GB2312"/>
                <w:sz w:val="24"/>
              </w:rPr>
              <w:t>包含数字及文字描述</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实际完成指标值</w:t>
            </w:r>
            <w:r>
              <w:rPr>
                <w:rFonts w:hint="eastAsia" w:ascii="仿宋_GB2312" w:hAnsi="仿宋_GB2312" w:cs="仿宋_GB2312"/>
                <w:sz w:val="24"/>
                <w:lang w:eastAsia="zh-CN"/>
              </w:rPr>
              <w:t>（</w:t>
            </w:r>
            <w:r>
              <w:rPr>
                <w:rFonts w:hint="eastAsia" w:ascii="仿宋_GB2312" w:hAnsi="仿宋_GB2312" w:cs="仿宋_GB2312"/>
                <w:sz w:val="24"/>
              </w:rPr>
              <w:t>包含数字及文字描述</w:t>
            </w:r>
            <w:r>
              <w:rPr>
                <w:rFonts w:hint="eastAsia" w:ascii="仿宋_GB2312" w:hAnsi="仿宋_GB2312" w:cs="仿宋_GB2312"/>
                <w:sz w:val="24"/>
                <w:lang w:eastAsia="zh-CN"/>
              </w:rPr>
              <w:t>）</w:t>
            </w:r>
          </w:p>
        </w:tc>
      </w:tr>
      <w:tr>
        <w:tblPrEx>
          <w:tblCellMar>
            <w:top w:w="0" w:type="dxa"/>
            <w:left w:w="0" w:type="dxa"/>
            <w:bottom w:w="0" w:type="dxa"/>
            <w:right w:w="0" w:type="dxa"/>
          </w:tblCellMar>
        </w:tblPrEx>
        <w:trPr>
          <w:trHeight w:val="753" w:hRule="atLeast"/>
          <w:jc w:val="center"/>
        </w:trPr>
        <w:tc>
          <w:tcPr>
            <w:tcW w:w="5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补助个人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1</w:t>
            </w:r>
          </w:p>
        </w:tc>
      </w:tr>
      <w:tr>
        <w:tblPrEx>
          <w:tblCellMar>
            <w:top w:w="0" w:type="dxa"/>
            <w:left w:w="0" w:type="dxa"/>
            <w:bottom w:w="0" w:type="dxa"/>
            <w:right w:w="0" w:type="dxa"/>
          </w:tblCellMar>
        </w:tblPrEx>
        <w:trPr>
          <w:trHeight w:val="1115" w:hRule="atLeast"/>
          <w:jc w:val="center"/>
        </w:trPr>
        <w:tc>
          <w:tcPr>
            <w:tcW w:w="5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广播电视网络视听节目创作生产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1</w:t>
            </w:r>
          </w:p>
        </w:tc>
      </w:tr>
      <w:tr>
        <w:tblPrEx>
          <w:tblCellMar>
            <w:top w:w="0" w:type="dxa"/>
            <w:left w:w="0" w:type="dxa"/>
            <w:bottom w:w="0" w:type="dxa"/>
            <w:right w:w="0" w:type="dxa"/>
          </w:tblCellMar>
        </w:tblPrEx>
        <w:trPr>
          <w:trHeight w:val="730" w:hRule="atLeast"/>
          <w:jc w:val="center"/>
        </w:trPr>
        <w:tc>
          <w:tcPr>
            <w:tcW w:w="5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2020年12月底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2020年12月底</w:t>
            </w:r>
          </w:p>
        </w:tc>
      </w:tr>
      <w:tr>
        <w:tblPrEx>
          <w:tblCellMar>
            <w:top w:w="0" w:type="dxa"/>
            <w:left w:w="0" w:type="dxa"/>
            <w:bottom w:w="0" w:type="dxa"/>
            <w:right w:w="0" w:type="dxa"/>
          </w:tblCellMar>
        </w:tblPrEx>
        <w:trPr>
          <w:trHeight w:val="898" w:hRule="atLeast"/>
          <w:jc w:val="center"/>
        </w:trPr>
        <w:tc>
          <w:tcPr>
            <w:tcW w:w="5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推动本地广播电视网络视听节目创作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0.4万元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0.4万元</w:t>
            </w:r>
          </w:p>
        </w:tc>
      </w:tr>
      <w:tr>
        <w:tblPrEx>
          <w:tblCellMar>
            <w:top w:w="0" w:type="dxa"/>
            <w:left w:w="0" w:type="dxa"/>
            <w:bottom w:w="0" w:type="dxa"/>
            <w:right w:w="0" w:type="dxa"/>
          </w:tblCellMar>
        </w:tblPrEx>
        <w:trPr>
          <w:trHeight w:val="1042" w:hRule="atLeast"/>
          <w:jc w:val="center"/>
        </w:trPr>
        <w:tc>
          <w:tcPr>
            <w:tcW w:w="5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社会效益</w:t>
            </w:r>
          </w:p>
          <w:p>
            <w:pPr>
              <w:jc w:val="center"/>
              <w:rPr>
                <w:rFonts w:ascii="仿宋_GB2312" w:hAnsi="仿宋_GB2312" w:cs="仿宋_GB2312"/>
                <w:sz w:val="24"/>
              </w:rPr>
            </w:pPr>
            <w:r>
              <w:rPr>
                <w:rFonts w:hint="eastAsia" w:ascii="仿宋_GB2312" w:hAnsi="仿宋_GB2312" w:cs="仿宋_GB2312"/>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社会效益情况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保证区域文化影响和谐稳定发展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有待提升</w:t>
            </w:r>
          </w:p>
        </w:tc>
      </w:tr>
      <w:tr>
        <w:tblPrEx>
          <w:tblCellMar>
            <w:top w:w="0" w:type="dxa"/>
            <w:left w:w="0" w:type="dxa"/>
            <w:bottom w:w="0" w:type="dxa"/>
            <w:right w:w="0" w:type="dxa"/>
          </w:tblCellMar>
        </w:tblPrEx>
        <w:trPr>
          <w:trHeight w:val="1050" w:hRule="atLeast"/>
          <w:jc w:val="center"/>
        </w:trPr>
        <w:tc>
          <w:tcPr>
            <w:tcW w:w="5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人民群众满意度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90%-100%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95%</w:t>
            </w:r>
          </w:p>
        </w:tc>
      </w:tr>
    </w:tbl>
    <w:p>
      <w:pPr>
        <w:jc w:val="center"/>
        <w:rPr>
          <w:rFonts w:ascii="仿宋_GB2312" w:hAnsi="仿宋_GB2312" w:cs="仿宋_GB2312"/>
          <w:sz w:val="24"/>
        </w:rPr>
      </w:pPr>
    </w:p>
    <w:tbl>
      <w:tblPr>
        <w:tblStyle w:val="15"/>
        <w:tblpPr w:leftFromText="180" w:rightFromText="180" w:vertAnchor="text" w:horzAnchor="page" w:tblpXSpec="center" w:tblpY="423"/>
        <w:tblOverlap w:val="never"/>
        <w:tblW w:w="9892" w:type="dxa"/>
        <w:jc w:val="center"/>
        <w:tblLayout w:type="fixed"/>
        <w:tblCellMar>
          <w:top w:w="0" w:type="dxa"/>
          <w:left w:w="0" w:type="dxa"/>
          <w:bottom w:w="0" w:type="dxa"/>
          <w:right w:w="0" w:type="dxa"/>
        </w:tblCellMar>
      </w:tblPr>
      <w:tblGrid>
        <w:gridCol w:w="525"/>
        <w:gridCol w:w="1164"/>
        <w:gridCol w:w="1025"/>
        <w:gridCol w:w="2392"/>
        <w:gridCol w:w="2394"/>
        <w:gridCol w:w="2392"/>
      </w:tblGrid>
      <w:tr>
        <w:tblPrEx>
          <w:tblCellMar>
            <w:top w:w="0" w:type="dxa"/>
            <w:left w:w="0" w:type="dxa"/>
            <w:bottom w:w="0" w:type="dxa"/>
            <w:right w:w="0" w:type="dxa"/>
          </w:tblCellMar>
        </w:tblPrEx>
        <w:trPr>
          <w:trHeight w:val="1034" w:hRule="atLeast"/>
          <w:jc w:val="center"/>
        </w:trPr>
        <w:tc>
          <w:tcPr>
            <w:tcW w:w="9892" w:type="dxa"/>
            <w:gridSpan w:val="6"/>
            <w:tcBorders>
              <w:top w:val="nil"/>
              <w:left w:val="nil"/>
              <w:bottom w:val="nil"/>
              <w:right w:val="nil"/>
            </w:tcBorders>
            <w:tcMar>
              <w:top w:w="15" w:type="dxa"/>
              <w:left w:w="15" w:type="dxa"/>
              <w:right w:w="15" w:type="dxa"/>
            </w:tcMar>
            <w:vAlign w:val="center"/>
          </w:tcPr>
          <w:p>
            <w:pPr>
              <w:jc w:val="center"/>
              <w:rPr>
                <w:rFonts w:ascii="仿宋_GB2312" w:hAnsi="仿宋_GB2312" w:cs="仿宋_GB2312"/>
                <w:b/>
                <w:bCs/>
                <w:sz w:val="32"/>
                <w:szCs w:val="32"/>
              </w:rPr>
            </w:pPr>
          </w:p>
          <w:p>
            <w:pPr>
              <w:jc w:val="center"/>
              <w:rPr>
                <w:rFonts w:ascii="仿宋_GB2312" w:hAnsi="仿宋_GB2312" w:cs="仿宋_GB2312"/>
                <w:b/>
                <w:bCs/>
                <w:sz w:val="32"/>
                <w:szCs w:val="32"/>
              </w:rPr>
            </w:pPr>
          </w:p>
          <w:p>
            <w:pPr>
              <w:jc w:val="center"/>
              <w:rPr>
                <w:rFonts w:ascii="仿宋_GB2312" w:hAnsi="仿宋_GB2312" w:cs="仿宋_GB2312"/>
                <w:b/>
                <w:bCs/>
                <w:sz w:val="44"/>
                <w:szCs w:val="44"/>
              </w:rPr>
            </w:pPr>
            <w:r>
              <w:rPr>
                <w:rFonts w:hint="eastAsia" w:ascii="仿宋_GB2312" w:hAnsi="仿宋_GB2312" w:cs="仿宋_GB2312"/>
                <w:b/>
                <w:bCs/>
                <w:sz w:val="44"/>
                <w:szCs w:val="44"/>
              </w:rPr>
              <w:t>项目绩效目标完成情况表</w:t>
            </w:r>
          </w:p>
          <w:p>
            <w:pPr>
              <w:jc w:val="center"/>
            </w:pPr>
            <w:r>
              <w:rPr>
                <w:rFonts w:hint="eastAsia" w:ascii="仿宋_GB2312" w:hAnsi="仿宋_GB2312" w:cs="仿宋_GB2312"/>
                <w:b/>
                <w:bCs/>
                <w:sz w:val="44"/>
                <w:szCs w:val="44"/>
              </w:rPr>
              <w:t>(2020年度</w:t>
            </w:r>
            <w:r>
              <w:rPr>
                <w:rFonts w:hint="eastAsia" w:ascii="仿宋_GB2312" w:hAnsi="仿宋_GB2312" w:cs="仿宋_GB2312"/>
                <w:b/>
                <w:bCs/>
                <w:sz w:val="44"/>
                <w:szCs w:val="44"/>
                <w:lang w:eastAsia="zh-CN"/>
              </w:rPr>
              <w:t>）</w:t>
            </w:r>
          </w:p>
        </w:tc>
      </w:tr>
      <w:tr>
        <w:tblPrEx>
          <w:tblCellMar>
            <w:top w:w="0" w:type="dxa"/>
            <w:left w:w="0" w:type="dxa"/>
            <w:bottom w:w="0" w:type="dxa"/>
            <w:right w:w="0" w:type="dxa"/>
          </w:tblCellMar>
        </w:tblPrEx>
        <w:trPr>
          <w:trHeight w:val="276" w:hRule="atLeast"/>
          <w:jc w:val="center"/>
        </w:trPr>
        <w:tc>
          <w:tcPr>
            <w:tcW w:w="271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攀枝花建设55周年活动经费</w:t>
            </w:r>
          </w:p>
        </w:tc>
      </w:tr>
      <w:tr>
        <w:tblPrEx>
          <w:tblCellMar>
            <w:top w:w="0" w:type="dxa"/>
            <w:left w:w="0" w:type="dxa"/>
            <w:bottom w:w="0" w:type="dxa"/>
            <w:right w:w="0" w:type="dxa"/>
          </w:tblCellMar>
        </w:tblPrEx>
        <w:trPr>
          <w:trHeight w:val="276" w:hRule="atLeast"/>
          <w:jc w:val="center"/>
        </w:trPr>
        <w:tc>
          <w:tcPr>
            <w:tcW w:w="271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攀枝花市文艺创评室</w:t>
            </w:r>
          </w:p>
        </w:tc>
      </w:tr>
      <w:tr>
        <w:tblPrEx>
          <w:tblCellMar>
            <w:top w:w="0" w:type="dxa"/>
            <w:left w:w="0" w:type="dxa"/>
            <w:bottom w:w="0" w:type="dxa"/>
            <w:right w:w="0" w:type="dxa"/>
          </w:tblCellMar>
        </w:tblPrEx>
        <w:trPr>
          <w:trHeight w:val="276"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预算执行情况</w:t>
            </w:r>
            <w:r>
              <w:rPr>
                <w:rFonts w:hint="eastAsia" w:ascii="仿宋_GB2312" w:hAnsi="仿宋_GB2312" w:cs="仿宋_GB2312"/>
                <w:sz w:val="24"/>
                <w:lang w:eastAsia="zh-CN"/>
              </w:rPr>
              <w:t>（</w:t>
            </w:r>
            <w:r>
              <w:rPr>
                <w:rFonts w:hint="eastAsia" w:ascii="仿宋_GB2312" w:hAnsi="仿宋_GB2312" w:cs="仿宋_GB2312"/>
                <w:sz w:val="24"/>
              </w:rPr>
              <w:t>万元</w:t>
            </w:r>
            <w:r>
              <w:rPr>
                <w:rFonts w:hint="eastAsia" w:ascii="仿宋_GB2312" w:hAnsi="仿宋_GB2312" w:cs="仿宋_GB2312"/>
                <w:sz w:val="24"/>
                <w:lang w:eastAsia="zh-CN"/>
              </w:rPr>
              <w:t>）</w:t>
            </w:r>
          </w:p>
        </w:tc>
        <w:tc>
          <w:tcPr>
            <w:tcW w:w="21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预算数</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8.36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执行数</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8.36</w:t>
            </w:r>
          </w:p>
        </w:tc>
      </w:tr>
      <w:tr>
        <w:tblPrEx>
          <w:tblCellMar>
            <w:top w:w="0" w:type="dxa"/>
            <w:left w:w="0" w:type="dxa"/>
            <w:bottom w:w="0" w:type="dxa"/>
            <w:right w:w="0" w:type="dxa"/>
          </w:tblCellMar>
        </w:tblPrEx>
        <w:trPr>
          <w:trHeight w:val="276"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21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其中</w:t>
            </w:r>
            <w:r>
              <w:rPr>
                <w:rFonts w:hint="eastAsia" w:ascii="仿宋_GB2312" w:hAnsi="仿宋_GB2312" w:cs="仿宋_GB2312"/>
                <w:sz w:val="24"/>
                <w:lang w:eastAsia="zh-CN"/>
              </w:rPr>
              <w:t>－</w:t>
            </w:r>
            <w:r>
              <w:rPr>
                <w:rFonts w:hint="eastAsia" w:ascii="仿宋_GB2312" w:hAnsi="仿宋_GB2312" w:cs="仿宋_GB2312"/>
                <w:sz w:val="24"/>
              </w:rPr>
              <w:t>财政拨款</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8.36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其中</w:t>
            </w:r>
            <w:r>
              <w:rPr>
                <w:rFonts w:hint="eastAsia" w:ascii="仿宋_GB2312" w:hAnsi="仿宋_GB2312" w:cs="仿宋_GB2312"/>
                <w:sz w:val="24"/>
                <w:lang w:eastAsia="zh-CN"/>
              </w:rPr>
              <w:t>－</w:t>
            </w:r>
            <w:r>
              <w:rPr>
                <w:rFonts w:hint="eastAsia" w:ascii="仿宋_GB2312" w:hAnsi="仿宋_GB2312" w:cs="仿宋_GB2312"/>
                <w:sz w:val="24"/>
              </w:rPr>
              <w:t>财政拨款</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8.36</w:t>
            </w:r>
          </w:p>
        </w:tc>
      </w:tr>
      <w:tr>
        <w:tblPrEx>
          <w:tblCellMar>
            <w:top w:w="0" w:type="dxa"/>
            <w:left w:w="0" w:type="dxa"/>
            <w:bottom w:w="0" w:type="dxa"/>
            <w:right w:w="0" w:type="dxa"/>
          </w:tblCellMar>
        </w:tblPrEx>
        <w:trPr>
          <w:trHeight w:val="1029"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21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其它资金</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其它资金</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r>
      <w:tr>
        <w:tblPrEx>
          <w:tblCellMar>
            <w:top w:w="0" w:type="dxa"/>
            <w:left w:w="0" w:type="dxa"/>
            <w:bottom w:w="0" w:type="dxa"/>
            <w:right w:w="0" w:type="dxa"/>
          </w:tblCellMar>
        </w:tblPrEx>
        <w:trPr>
          <w:trHeight w:val="276"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年度目标完成情况</w:t>
            </w:r>
          </w:p>
        </w:tc>
        <w:tc>
          <w:tcPr>
            <w:tcW w:w="45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实际完成目标</w:t>
            </w:r>
          </w:p>
        </w:tc>
      </w:tr>
      <w:tr>
        <w:tblPrEx>
          <w:tblCellMar>
            <w:top w:w="0" w:type="dxa"/>
            <w:left w:w="0" w:type="dxa"/>
            <w:bottom w:w="0" w:type="dxa"/>
            <w:right w:w="0" w:type="dxa"/>
          </w:tblCellMar>
        </w:tblPrEx>
        <w:trPr>
          <w:trHeight w:val="1703"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45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围绕攀枝花建设55周年系列活动，开展文学作品线上征集活动优秀作品评审、奖励、制作、展播等。</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围绕攀枝花建设55周年系列活动，开展“弘扬三线精神，抗击新冠疫情”征文比赛活动，完成45篇抗疫情优秀作品征集，并组织专家对原创文学作品进行评审。</w:t>
            </w:r>
          </w:p>
        </w:tc>
      </w:tr>
      <w:tr>
        <w:tblPrEx>
          <w:tblCellMar>
            <w:top w:w="0" w:type="dxa"/>
            <w:left w:w="0" w:type="dxa"/>
            <w:bottom w:w="0" w:type="dxa"/>
            <w:right w:w="0" w:type="dxa"/>
          </w:tblCellMar>
        </w:tblPrEx>
        <w:trPr>
          <w:trHeight w:val="1042" w:hRule="atLeast"/>
          <w:jc w:val="center"/>
        </w:trPr>
        <w:tc>
          <w:tcPr>
            <w:tcW w:w="5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绩效指标完成情况</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预期指标值</w:t>
            </w:r>
            <w:r>
              <w:rPr>
                <w:rFonts w:hint="eastAsia" w:ascii="仿宋_GB2312" w:hAnsi="仿宋_GB2312" w:cs="仿宋_GB2312"/>
                <w:sz w:val="24"/>
                <w:lang w:eastAsia="zh-CN"/>
              </w:rPr>
              <w:t>（</w:t>
            </w:r>
            <w:r>
              <w:rPr>
                <w:rFonts w:hint="eastAsia" w:ascii="仿宋_GB2312" w:hAnsi="仿宋_GB2312" w:cs="仿宋_GB2312"/>
                <w:sz w:val="24"/>
              </w:rPr>
              <w:t>包含数字及文字描述</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实际完成指标值</w:t>
            </w:r>
            <w:r>
              <w:rPr>
                <w:rFonts w:hint="eastAsia" w:ascii="仿宋_GB2312" w:hAnsi="仿宋_GB2312" w:cs="仿宋_GB2312"/>
                <w:sz w:val="24"/>
                <w:lang w:eastAsia="zh-CN"/>
              </w:rPr>
              <w:t>（</w:t>
            </w:r>
            <w:r>
              <w:rPr>
                <w:rFonts w:hint="eastAsia" w:ascii="仿宋_GB2312" w:hAnsi="仿宋_GB2312" w:cs="仿宋_GB2312"/>
                <w:sz w:val="24"/>
              </w:rPr>
              <w:t>包含数字及文字描述</w:t>
            </w:r>
            <w:r>
              <w:rPr>
                <w:rFonts w:hint="eastAsia" w:ascii="仿宋_GB2312" w:hAnsi="仿宋_GB2312" w:cs="仿宋_GB2312"/>
                <w:sz w:val="24"/>
                <w:lang w:eastAsia="zh-CN"/>
              </w:rPr>
              <w:t>）</w:t>
            </w:r>
          </w:p>
        </w:tc>
      </w:tr>
      <w:tr>
        <w:tblPrEx>
          <w:tblCellMar>
            <w:top w:w="0" w:type="dxa"/>
            <w:left w:w="0" w:type="dxa"/>
            <w:bottom w:w="0" w:type="dxa"/>
            <w:right w:w="0" w:type="dxa"/>
          </w:tblCellMar>
        </w:tblPrEx>
        <w:trPr>
          <w:trHeight w:val="753" w:hRule="atLeast"/>
          <w:jc w:val="center"/>
        </w:trPr>
        <w:tc>
          <w:tcPr>
            <w:tcW w:w="5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活动数量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1</w:t>
            </w:r>
          </w:p>
        </w:tc>
      </w:tr>
      <w:tr>
        <w:tblPrEx>
          <w:tblCellMar>
            <w:top w:w="0" w:type="dxa"/>
            <w:left w:w="0" w:type="dxa"/>
            <w:bottom w:w="0" w:type="dxa"/>
            <w:right w:w="0" w:type="dxa"/>
          </w:tblCellMar>
        </w:tblPrEx>
        <w:trPr>
          <w:trHeight w:val="1115" w:hRule="atLeast"/>
          <w:jc w:val="center"/>
        </w:trPr>
        <w:tc>
          <w:tcPr>
            <w:tcW w:w="5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攀枝花建设55周年系列活动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开展“弘扬三线精神，抗击新冠疫情”征文比赛活动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开展“弘扬三线精神，抗击新冠疫情”征文比赛活动</w:t>
            </w:r>
          </w:p>
        </w:tc>
      </w:tr>
      <w:tr>
        <w:tblPrEx>
          <w:tblCellMar>
            <w:top w:w="0" w:type="dxa"/>
            <w:left w:w="0" w:type="dxa"/>
            <w:bottom w:w="0" w:type="dxa"/>
            <w:right w:w="0" w:type="dxa"/>
          </w:tblCellMar>
        </w:tblPrEx>
        <w:trPr>
          <w:trHeight w:val="730" w:hRule="atLeast"/>
          <w:jc w:val="center"/>
        </w:trPr>
        <w:tc>
          <w:tcPr>
            <w:tcW w:w="5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2020年12月底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2020年12月底</w:t>
            </w:r>
          </w:p>
        </w:tc>
      </w:tr>
      <w:tr>
        <w:tblPrEx>
          <w:tblCellMar>
            <w:top w:w="0" w:type="dxa"/>
            <w:left w:w="0" w:type="dxa"/>
            <w:bottom w:w="0" w:type="dxa"/>
            <w:right w:w="0" w:type="dxa"/>
          </w:tblCellMar>
        </w:tblPrEx>
        <w:trPr>
          <w:trHeight w:val="898" w:hRule="atLeast"/>
          <w:jc w:val="center"/>
        </w:trPr>
        <w:tc>
          <w:tcPr>
            <w:tcW w:w="5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征文比赛奖金、评审费、劳务费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8.36万元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8.36万元</w:t>
            </w:r>
          </w:p>
        </w:tc>
      </w:tr>
      <w:tr>
        <w:tblPrEx>
          <w:tblCellMar>
            <w:top w:w="0" w:type="dxa"/>
            <w:left w:w="0" w:type="dxa"/>
            <w:bottom w:w="0" w:type="dxa"/>
            <w:right w:w="0" w:type="dxa"/>
          </w:tblCellMar>
        </w:tblPrEx>
        <w:trPr>
          <w:trHeight w:val="1042" w:hRule="atLeast"/>
          <w:jc w:val="center"/>
        </w:trPr>
        <w:tc>
          <w:tcPr>
            <w:tcW w:w="5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社会效益</w:t>
            </w:r>
          </w:p>
          <w:p>
            <w:pPr>
              <w:jc w:val="center"/>
              <w:rPr>
                <w:rFonts w:ascii="仿宋_GB2312" w:hAnsi="仿宋_GB2312" w:cs="仿宋_GB2312"/>
                <w:sz w:val="24"/>
              </w:rPr>
            </w:pPr>
            <w:r>
              <w:rPr>
                <w:rFonts w:hint="eastAsia" w:ascii="仿宋_GB2312" w:hAnsi="仿宋_GB2312" w:cs="仿宋_GB2312"/>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社会效益情况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保证区域文化影响和谐稳定发展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保证区域文化影响和谐稳定发展</w:t>
            </w:r>
          </w:p>
        </w:tc>
      </w:tr>
      <w:tr>
        <w:tblPrEx>
          <w:tblCellMar>
            <w:top w:w="0" w:type="dxa"/>
            <w:left w:w="0" w:type="dxa"/>
            <w:bottom w:w="0" w:type="dxa"/>
            <w:right w:w="0" w:type="dxa"/>
          </w:tblCellMar>
        </w:tblPrEx>
        <w:trPr>
          <w:trHeight w:val="1050" w:hRule="atLeast"/>
          <w:jc w:val="center"/>
        </w:trPr>
        <w:tc>
          <w:tcPr>
            <w:tcW w:w="5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人民群众满意度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90%-100%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95%</w:t>
            </w:r>
          </w:p>
        </w:tc>
      </w:tr>
      <w:tr>
        <w:tblPrEx>
          <w:tblCellMar>
            <w:top w:w="0" w:type="dxa"/>
            <w:left w:w="0" w:type="dxa"/>
            <w:bottom w:w="0" w:type="dxa"/>
            <w:right w:w="0" w:type="dxa"/>
          </w:tblCellMar>
        </w:tblPrEx>
        <w:trPr>
          <w:trHeight w:val="1034" w:hRule="atLeast"/>
          <w:jc w:val="center"/>
        </w:trPr>
        <w:tc>
          <w:tcPr>
            <w:tcW w:w="9892" w:type="dxa"/>
            <w:gridSpan w:val="6"/>
            <w:tcBorders>
              <w:top w:val="nil"/>
              <w:left w:val="nil"/>
              <w:bottom w:val="nil"/>
              <w:right w:val="nil"/>
            </w:tcBorders>
            <w:tcMar>
              <w:top w:w="15" w:type="dxa"/>
              <w:left w:w="15" w:type="dxa"/>
              <w:right w:w="15" w:type="dxa"/>
            </w:tcMar>
            <w:vAlign w:val="center"/>
          </w:tcPr>
          <w:p>
            <w:pPr>
              <w:jc w:val="center"/>
              <w:rPr>
                <w:rFonts w:ascii="仿宋_GB2312" w:hAnsi="仿宋_GB2312" w:cs="仿宋_GB2312"/>
                <w:b/>
                <w:bCs/>
                <w:sz w:val="32"/>
                <w:szCs w:val="32"/>
              </w:rPr>
            </w:pPr>
          </w:p>
          <w:p>
            <w:pPr>
              <w:jc w:val="center"/>
              <w:rPr>
                <w:rFonts w:ascii="仿宋_GB2312" w:hAnsi="仿宋_GB2312" w:cs="仿宋_GB2312"/>
                <w:b/>
                <w:bCs/>
                <w:sz w:val="32"/>
                <w:szCs w:val="32"/>
              </w:rPr>
            </w:pPr>
          </w:p>
          <w:p>
            <w:pPr>
              <w:jc w:val="center"/>
              <w:rPr>
                <w:rFonts w:ascii="仿宋_GB2312" w:hAnsi="仿宋_GB2312" w:cs="仿宋_GB2312"/>
                <w:b/>
                <w:bCs/>
                <w:sz w:val="44"/>
                <w:szCs w:val="44"/>
              </w:rPr>
            </w:pPr>
            <w:r>
              <w:rPr>
                <w:rFonts w:hint="eastAsia" w:ascii="仿宋_GB2312" w:hAnsi="仿宋_GB2312" w:cs="仿宋_GB2312"/>
                <w:b/>
                <w:bCs/>
                <w:sz w:val="44"/>
                <w:szCs w:val="44"/>
              </w:rPr>
              <w:t>项目绩效目标完成情况表</w:t>
            </w:r>
          </w:p>
          <w:p>
            <w:pPr>
              <w:jc w:val="center"/>
            </w:pPr>
            <w:r>
              <w:rPr>
                <w:rFonts w:hint="eastAsia" w:ascii="仿宋_GB2312" w:hAnsi="仿宋_GB2312" w:cs="仿宋_GB2312"/>
                <w:b/>
                <w:bCs/>
                <w:sz w:val="44"/>
                <w:szCs w:val="44"/>
              </w:rPr>
              <w:t>(2020年度</w:t>
            </w:r>
            <w:r>
              <w:rPr>
                <w:rFonts w:hint="eastAsia" w:ascii="仿宋_GB2312" w:hAnsi="仿宋_GB2312" w:cs="仿宋_GB2312"/>
                <w:b/>
                <w:bCs/>
                <w:sz w:val="44"/>
                <w:szCs w:val="44"/>
                <w:lang w:eastAsia="zh-CN"/>
              </w:rPr>
              <w:t>）</w:t>
            </w:r>
          </w:p>
        </w:tc>
      </w:tr>
      <w:tr>
        <w:tblPrEx>
          <w:tblCellMar>
            <w:top w:w="0" w:type="dxa"/>
            <w:left w:w="0" w:type="dxa"/>
            <w:bottom w:w="0" w:type="dxa"/>
            <w:right w:w="0" w:type="dxa"/>
          </w:tblCellMar>
        </w:tblPrEx>
        <w:trPr>
          <w:trHeight w:val="448" w:hRule="atLeast"/>
          <w:jc w:val="center"/>
        </w:trPr>
        <w:tc>
          <w:tcPr>
            <w:tcW w:w="271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2019年结转省下创建</w:t>
            </w:r>
            <w:r>
              <w:rPr>
                <w:rFonts w:hint="eastAsia" w:ascii="仿宋_GB2312" w:hAnsi="仿宋_GB2312" w:cs="仿宋_GB2312"/>
                <w:sz w:val="24"/>
                <w:lang w:eastAsia="zh-CN"/>
              </w:rPr>
              <w:t>－</w:t>
            </w:r>
            <w:r>
              <w:rPr>
                <w:rFonts w:hint="eastAsia" w:ascii="仿宋_GB2312" w:hAnsi="仿宋_GB2312" w:cs="仿宋_GB2312"/>
                <w:sz w:val="24"/>
              </w:rPr>
              <w:t>攀枝花文化</w:t>
            </w:r>
          </w:p>
        </w:tc>
      </w:tr>
      <w:tr>
        <w:tblPrEx>
          <w:tblCellMar>
            <w:top w:w="0" w:type="dxa"/>
            <w:left w:w="0" w:type="dxa"/>
            <w:bottom w:w="0" w:type="dxa"/>
            <w:right w:w="0" w:type="dxa"/>
          </w:tblCellMar>
        </w:tblPrEx>
        <w:trPr>
          <w:trHeight w:val="524" w:hRule="atLeast"/>
          <w:jc w:val="center"/>
        </w:trPr>
        <w:tc>
          <w:tcPr>
            <w:tcW w:w="271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攀枝花市文艺创评室</w:t>
            </w:r>
          </w:p>
        </w:tc>
      </w:tr>
      <w:tr>
        <w:tblPrEx>
          <w:tblCellMar>
            <w:top w:w="0" w:type="dxa"/>
            <w:left w:w="0" w:type="dxa"/>
            <w:bottom w:w="0" w:type="dxa"/>
            <w:right w:w="0" w:type="dxa"/>
          </w:tblCellMar>
        </w:tblPrEx>
        <w:trPr>
          <w:trHeight w:val="561"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预算执行情况</w:t>
            </w:r>
            <w:r>
              <w:rPr>
                <w:rFonts w:hint="eastAsia" w:ascii="仿宋_GB2312" w:hAnsi="仿宋_GB2312" w:cs="仿宋_GB2312"/>
                <w:sz w:val="24"/>
                <w:lang w:eastAsia="zh-CN"/>
              </w:rPr>
              <w:t>（</w:t>
            </w:r>
            <w:r>
              <w:rPr>
                <w:rFonts w:hint="eastAsia" w:ascii="仿宋_GB2312" w:hAnsi="仿宋_GB2312" w:cs="仿宋_GB2312"/>
                <w:sz w:val="24"/>
              </w:rPr>
              <w:t>万元</w:t>
            </w:r>
            <w:r>
              <w:rPr>
                <w:rFonts w:hint="eastAsia" w:ascii="仿宋_GB2312" w:hAnsi="仿宋_GB2312" w:cs="仿宋_GB2312"/>
                <w:sz w:val="24"/>
                <w:lang w:eastAsia="zh-CN"/>
              </w:rPr>
              <w:t>）</w:t>
            </w:r>
          </w:p>
        </w:tc>
        <w:tc>
          <w:tcPr>
            <w:tcW w:w="21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预算数</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执行数</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5</w:t>
            </w:r>
          </w:p>
        </w:tc>
      </w:tr>
      <w:tr>
        <w:tblPrEx>
          <w:tblCellMar>
            <w:top w:w="0" w:type="dxa"/>
            <w:left w:w="0" w:type="dxa"/>
            <w:bottom w:w="0" w:type="dxa"/>
            <w:right w:w="0" w:type="dxa"/>
          </w:tblCellMar>
        </w:tblPrEx>
        <w:trPr>
          <w:trHeight w:val="448"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21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其中</w:t>
            </w:r>
            <w:r>
              <w:rPr>
                <w:rFonts w:hint="eastAsia" w:ascii="仿宋_GB2312" w:hAnsi="仿宋_GB2312" w:cs="仿宋_GB2312"/>
                <w:sz w:val="24"/>
                <w:lang w:eastAsia="zh-CN"/>
              </w:rPr>
              <w:t>－</w:t>
            </w:r>
            <w:r>
              <w:rPr>
                <w:rFonts w:hint="eastAsia" w:ascii="仿宋_GB2312" w:hAnsi="仿宋_GB2312" w:cs="仿宋_GB2312"/>
                <w:sz w:val="24"/>
              </w:rPr>
              <w:t>财政拨款</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其中</w:t>
            </w:r>
            <w:r>
              <w:rPr>
                <w:rFonts w:hint="eastAsia" w:ascii="仿宋_GB2312" w:hAnsi="仿宋_GB2312" w:cs="仿宋_GB2312"/>
                <w:sz w:val="24"/>
                <w:lang w:eastAsia="zh-CN"/>
              </w:rPr>
              <w:t>－</w:t>
            </w:r>
            <w:r>
              <w:rPr>
                <w:rFonts w:hint="eastAsia" w:ascii="仿宋_GB2312" w:hAnsi="仿宋_GB2312" w:cs="仿宋_GB2312"/>
                <w:sz w:val="24"/>
              </w:rPr>
              <w:t>财政拨款</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5</w:t>
            </w:r>
          </w:p>
        </w:tc>
      </w:tr>
      <w:tr>
        <w:tblPrEx>
          <w:tblCellMar>
            <w:top w:w="0" w:type="dxa"/>
            <w:left w:w="0" w:type="dxa"/>
            <w:bottom w:w="0" w:type="dxa"/>
            <w:right w:w="0" w:type="dxa"/>
          </w:tblCellMar>
        </w:tblPrEx>
        <w:trPr>
          <w:trHeight w:val="1029"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21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其它资金</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其它资金</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r>
      <w:tr>
        <w:tblPrEx>
          <w:tblCellMar>
            <w:top w:w="0" w:type="dxa"/>
            <w:left w:w="0" w:type="dxa"/>
            <w:bottom w:w="0" w:type="dxa"/>
            <w:right w:w="0" w:type="dxa"/>
          </w:tblCellMar>
        </w:tblPrEx>
        <w:trPr>
          <w:trHeight w:val="448"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年度目标完成情况</w:t>
            </w:r>
          </w:p>
        </w:tc>
        <w:tc>
          <w:tcPr>
            <w:tcW w:w="45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实际完成目标</w:t>
            </w:r>
          </w:p>
        </w:tc>
      </w:tr>
      <w:tr>
        <w:tblPrEx>
          <w:tblCellMar>
            <w:top w:w="0" w:type="dxa"/>
            <w:left w:w="0" w:type="dxa"/>
            <w:bottom w:w="0" w:type="dxa"/>
            <w:right w:w="0" w:type="dxa"/>
          </w:tblCellMar>
        </w:tblPrEx>
        <w:trPr>
          <w:trHeight w:val="1628"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45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仿宋_GB2312" w:cs="仿宋_GB2312"/>
                <w:sz w:val="24"/>
              </w:rPr>
            </w:pPr>
            <w:r>
              <w:rPr>
                <w:rFonts w:hint="eastAsia" w:ascii="仿宋_GB2312" w:hAnsi="仿宋_GB2312" w:cs="仿宋_GB2312"/>
                <w:sz w:val="24"/>
              </w:rPr>
              <w:t xml:space="preserve">  2020年，市文艺创评室通过组织作家艺术家挖采访、挖掘城市原点文化、康养文化，进行文艺创作，服务于英雄攀枝花，阳光康养地，打造文化高地，促攀枝花社会经济发展。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完成杂志4期，每期200册，完成挖掘、采访、创作、评论次数24次</w:t>
            </w:r>
          </w:p>
        </w:tc>
      </w:tr>
      <w:tr>
        <w:tblPrEx>
          <w:tblCellMar>
            <w:top w:w="0" w:type="dxa"/>
            <w:left w:w="0" w:type="dxa"/>
            <w:bottom w:w="0" w:type="dxa"/>
            <w:right w:w="0" w:type="dxa"/>
          </w:tblCellMar>
        </w:tblPrEx>
        <w:trPr>
          <w:trHeight w:val="1042" w:hRule="atLeast"/>
          <w:jc w:val="center"/>
        </w:trPr>
        <w:tc>
          <w:tcPr>
            <w:tcW w:w="5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绩效指标完成情况</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预期指标值</w:t>
            </w:r>
            <w:r>
              <w:rPr>
                <w:rFonts w:hint="eastAsia" w:ascii="仿宋_GB2312" w:hAnsi="仿宋_GB2312" w:cs="仿宋_GB2312"/>
                <w:sz w:val="24"/>
                <w:lang w:eastAsia="zh-CN"/>
              </w:rPr>
              <w:t>（</w:t>
            </w:r>
            <w:r>
              <w:rPr>
                <w:rFonts w:hint="eastAsia" w:ascii="仿宋_GB2312" w:hAnsi="仿宋_GB2312" w:cs="仿宋_GB2312"/>
                <w:sz w:val="24"/>
              </w:rPr>
              <w:t>包含数字及文字描述</w:t>
            </w:r>
            <w:r>
              <w:rPr>
                <w:rFonts w:hint="eastAsia" w:ascii="仿宋_GB2312" w:hAnsi="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实际完成指标值</w:t>
            </w:r>
            <w:r>
              <w:rPr>
                <w:rFonts w:hint="eastAsia" w:ascii="仿宋_GB2312" w:hAnsi="仿宋_GB2312" w:cs="仿宋_GB2312"/>
                <w:sz w:val="24"/>
                <w:lang w:eastAsia="zh-CN"/>
              </w:rPr>
              <w:t>（</w:t>
            </w:r>
            <w:r>
              <w:rPr>
                <w:rFonts w:hint="eastAsia" w:ascii="仿宋_GB2312" w:hAnsi="仿宋_GB2312" w:cs="仿宋_GB2312"/>
                <w:sz w:val="24"/>
              </w:rPr>
              <w:t>包含数字及文字描述</w:t>
            </w:r>
            <w:r>
              <w:rPr>
                <w:rFonts w:hint="eastAsia" w:ascii="仿宋_GB2312" w:hAnsi="仿宋_GB2312" w:cs="仿宋_GB2312"/>
                <w:sz w:val="24"/>
                <w:lang w:eastAsia="zh-CN"/>
              </w:rPr>
              <w:t>）</w:t>
            </w:r>
          </w:p>
        </w:tc>
      </w:tr>
      <w:tr>
        <w:tblPrEx>
          <w:tblCellMar>
            <w:top w:w="0" w:type="dxa"/>
            <w:left w:w="0" w:type="dxa"/>
            <w:bottom w:w="0" w:type="dxa"/>
            <w:right w:w="0" w:type="dxa"/>
          </w:tblCellMar>
        </w:tblPrEx>
        <w:trPr>
          <w:trHeight w:val="753" w:hRule="atLeast"/>
          <w:jc w:val="center"/>
        </w:trPr>
        <w:tc>
          <w:tcPr>
            <w:tcW w:w="5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挖掘、采访、创作、评论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24次</w:t>
            </w:r>
          </w:p>
        </w:tc>
      </w:tr>
      <w:tr>
        <w:tblPrEx>
          <w:tblCellMar>
            <w:top w:w="0" w:type="dxa"/>
            <w:left w:w="0" w:type="dxa"/>
            <w:bottom w:w="0" w:type="dxa"/>
            <w:right w:w="0" w:type="dxa"/>
          </w:tblCellMar>
        </w:tblPrEx>
        <w:trPr>
          <w:trHeight w:val="1115" w:hRule="atLeast"/>
          <w:jc w:val="center"/>
        </w:trPr>
        <w:tc>
          <w:tcPr>
            <w:tcW w:w="5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完成挖掘、采访、创作、评论次数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24次</w:t>
            </w:r>
          </w:p>
        </w:tc>
      </w:tr>
      <w:tr>
        <w:tblPrEx>
          <w:tblCellMar>
            <w:top w:w="0" w:type="dxa"/>
            <w:left w:w="0" w:type="dxa"/>
            <w:bottom w:w="0" w:type="dxa"/>
            <w:right w:w="0" w:type="dxa"/>
          </w:tblCellMar>
        </w:tblPrEx>
        <w:trPr>
          <w:trHeight w:val="730" w:hRule="atLeast"/>
          <w:jc w:val="center"/>
        </w:trPr>
        <w:tc>
          <w:tcPr>
            <w:tcW w:w="5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2020年12月底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2020年12月底</w:t>
            </w:r>
          </w:p>
        </w:tc>
      </w:tr>
      <w:tr>
        <w:tblPrEx>
          <w:tblCellMar>
            <w:top w:w="0" w:type="dxa"/>
            <w:left w:w="0" w:type="dxa"/>
            <w:bottom w:w="0" w:type="dxa"/>
            <w:right w:w="0" w:type="dxa"/>
          </w:tblCellMar>
        </w:tblPrEx>
        <w:trPr>
          <w:trHeight w:val="898" w:hRule="atLeast"/>
          <w:jc w:val="center"/>
        </w:trPr>
        <w:tc>
          <w:tcPr>
            <w:tcW w:w="5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挖掘、采访、创作、评论费用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5万元</w:t>
            </w:r>
          </w:p>
        </w:tc>
      </w:tr>
      <w:tr>
        <w:tblPrEx>
          <w:tblCellMar>
            <w:top w:w="0" w:type="dxa"/>
            <w:left w:w="0" w:type="dxa"/>
            <w:bottom w:w="0" w:type="dxa"/>
            <w:right w:w="0" w:type="dxa"/>
          </w:tblCellMar>
        </w:tblPrEx>
        <w:trPr>
          <w:trHeight w:val="1198" w:hRule="atLeast"/>
          <w:jc w:val="center"/>
        </w:trPr>
        <w:tc>
          <w:tcPr>
            <w:tcW w:w="5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社会效益</w:t>
            </w:r>
          </w:p>
          <w:p>
            <w:pPr>
              <w:jc w:val="center"/>
              <w:rPr>
                <w:rFonts w:ascii="仿宋_GB2312" w:hAnsi="仿宋_GB2312" w:cs="仿宋_GB2312"/>
                <w:sz w:val="24"/>
              </w:rPr>
            </w:pPr>
            <w:r>
              <w:rPr>
                <w:rFonts w:hint="eastAsia" w:ascii="仿宋_GB2312" w:hAnsi="仿宋_GB2312" w:cs="仿宋_GB2312"/>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社会效益情况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打造康养文化，挖掘城市历史文化，增加攀枝花人的城市认同感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打造康养文化，挖掘城市历史文化，增加攀枝花人的城市认同感</w:t>
            </w:r>
          </w:p>
        </w:tc>
      </w:tr>
      <w:tr>
        <w:tblPrEx>
          <w:tblCellMar>
            <w:top w:w="0" w:type="dxa"/>
            <w:left w:w="0" w:type="dxa"/>
            <w:bottom w:w="0" w:type="dxa"/>
            <w:right w:w="0" w:type="dxa"/>
          </w:tblCellMar>
        </w:tblPrEx>
        <w:trPr>
          <w:trHeight w:val="1050" w:hRule="atLeast"/>
          <w:jc w:val="center"/>
        </w:trPr>
        <w:tc>
          <w:tcPr>
            <w:tcW w:w="5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人民群众满意度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90%-100%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cs="仿宋_GB2312"/>
                <w:sz w:val="24"/>
              </w:rPr>
            </w:pPr>
            <w:r>
              <w:rPr>
                <w:rFonts w:hint="eastAsia" w:ascii="仿宋_GB2312" w:hAnsi="仿宋_GB2312" w:cs="仿宋_GB2312"/>
                <w:sz w:val="24"/>
              </w:rPr>
              <w:t>95%</w:t>
            </w:r>
          </w:p>
        </w:tc>
      </w:tr>
    </w:tbl>
    <w:p>
      <w:pPr>
        <w:spacing w:line="560" w:lineRule="exact"/>
        <w:rPr>
          <w:rFonts w:ascii="仿宋_GB2312" w:hAnsi="仿宋_GB2312" w:cs="仿宋_GB2312"/>
          <w:b/>
          <w:bCs/>
          <w:sz w:val="32"/>
          <w:szCs w:val="32"/>
        </w:rPr>
      </w:pPr>
      <w:r>
        <w:rPr>
          <w:rFonts w:hint="eastAsia" w:ascii="仿宋_GB2312" w:hAnsi="仿宋_GB2312" w:cs="仿宋_GB2312"/>
          <w:b/>
          <w:bCs/>
          <w:sz w:val="32"/>
          <w:szCs w:val="32"/>
        </w:rPr>
        <w:t>2.部门绩效评价结果。</w:t>
      </w:r>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本部门按要求对2020年部门整体支出绩效评价情况开展自评，《攀枝花市文艺创评室部门2020年部门整体支出绩效评价报告》见附件（附件1）。</w:t>
      </w:r>
    </w:p>
    <w:p>
      <w:pPr>
        <w:pStyle w:val="7"/>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本单位自行组织对2020年文艺创作经费项目、2020年省级公共文化服务体系建设专项资金项目、攀枝花建设55周年活动经费项目、2019年结转省下创建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攀枝花文化项目开展了绩效评价，《攀枝花市文艺创评室文艺创评经费整体项目2020年绩效评价报告》《攀枝花市文艺创评室2020年省级公共文化服务体系建设专项资金整体项目绩效评价报告》《攀枝花市文艺创评室攀枝花建设55周年活动经费整体项目2020年度绩效评价报告》《攀枝花市文艺创评室2019年结转省下创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攀枝花文化整体项目2020年度绩效评价报告》见附件（附件2）。</w:t>
      </w:r>
    </w:p>
    <w:p>
      <w:pPr>
        <w:widowControl/>
        <w:spacing w:line="600" w:lineRule="exact"/>
        <w:jc w:val="center"/>
        <w:rPr>
          <w:rStyle w:val="20"/>
          <w:rFonts w:ascii="黑体" w:hAnsi="黑体" w:eastAsia="黑体"/>
          <w:b w:val="0"/>
        </w:rPr>
      </w:pPr>
      <w:r>
        <w:rPr>
          <w:rFonts w:ascii="仿宋_GB2312"/>
          <w:b/>
          <w:color w:val="000000"/>
          <w:sz w:val="32"/>
          <w:szCs w:val="32"/>
        </w:rPr>
        <w:br w:type="page"/>
      </w:r>
      <w:bookmarkStart w:id="81" w:name="_Toc15377225"/>
      <w:bookmarkStart w:id="82" w:name="_Toc15396613"/>
      <w:bookmarkStart w:id="83" w:name="_Toc28752"/>
      <w:r>
        <w:rPr>
          <w:rStyle w:val="20"/>
          <w:rFonts w:hint="eastAsia" w:ascii="黑体" w:hAnsi="黑体" w:eastAsia="黑体"/>
        </w:rPr>
        <w:t>第三部分名词解释</w:t>
      </w:r>
      <w:bookmarkEnd w:id="81"/>
      <w:bookmarkEnd w:id="82"/>
    </w:p>
    <w:bookmarkEnd w:id="83"/>
    <w:p>
      <w:pPr>
        <w:spacing w:line="600" w:lineRule="exact"/>
        <w:jc w:val="left"/>
        <w:rPr>
          <w:rFonts w:ascii="宋体"/>
          <w:b/>
          <w:color w:val="000000"/>
          <w:sz w:val="44"/>
          <w:szCs w:val="44"/>
        </w:rPr>
      </w:pPr>
    </w:p>
    <w:p>
      <w:pPr>
        <w:pStyle w:val="34"/>
        <w:spacing w:line="580" w:lineRule="exact"/>
        <w:ind w:firstLine="640" w:firstLineChars="200"/>
        <w:rPr>
          <w:rFonts w:ascii="仿宋_GB2312" w:hAnsi="仿宋_GB2312" w:eastAsia="仿宋_GB2312" w:cs="仿宋_GB2312"/>
          <w:sz w:val="32"/>
          <w:szCs w:val="32"/>
        </w:rPr>
      </w:pPr>
      <w:bookmarkStart w:id="84" w:name="_Toc15377226"/>
      <w:r>
        <w:rPr>
          <w:rFonts w:hint="eastAsia" w:ascii="仿宋_GB2312" w:hAnsi="仿宋_GB2312" w:eastAsia="仿宋_GB2312" w:cs="仿宋_GB2312"/>
          <w:sz w:val="32"/>
          <w:szCs w:val="32"/>
        </w:rPr>
        <w:t>1.财政拨款收入：指单位从同级财政部门取得的财政预算资金。</w:t>
      </w:r>
    </w:p>
    <w:p>
      <w:pPr>
        <w:pStyle w:val="34"/>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2.事业收入：指事业单位开展专业业务活动及辅助活动取得的收入。如演出收入、文化场馆服务收入、技术服务收入等。</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3.经营收入：指事业单位在专业业务活动及其辅助活动之外开展非独立核算经营活动取得的收入。</w:t>
      </w:r>
    </w:p>
    <w:p>
      <w:pPr>
        <w:pStyle w:val="34"/>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4.其他收入：指单位取得的除上述收入以外的各项收入。主要是利息收入、非本级拨款等。</w:t>
      </w:r>
    </w:p>
    <w:p>
      <w:pPr>
        <w:pStyle w:val="34"/>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5.使用非财政拨款结余：指事业单位使用以前年度积累的非财政拨款结余弥补当年收支差额的金额。</w:t>
      </w:r>
    </w:p>
    <w:p>
      <w:pPr>
        <w:pStyle w:val="34"/>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6.年初结转和结余：指以前年度尚未完成、结转到本年按有关规定继续使用的资金。</w:t>
      </w:r>
    </w:p>
    <w:p>
      <w:pPr>
        <w:pStyle w:val="34"/>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7.结余分配：指事业单位按照会计制度规定缴纳的所得税、提取的专用结余以及转入非财政拨款结余的金额等。</w:t>
      </w:r>
    </w:p>
    <w:p>
      <w:pPr>
        <w:pStyle w:val="34"/>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8.年末结转和结余：指单位按有关规定结转到下年或以后年度继续使用的资金。</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9.文化旅游体育与传媒支出（类）文化和旅游（款）文化创作与保护（项），指：鼓励文学、艺术创作和非物质文化遗产保护等方面的支出；文化旅游体育与传媒支出（类）广播电视（款）其他广播电视支出（项），指：上述项目以外用于广播电视方面的支出；</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10.社会保障和就业（类）行政事业单位养老支出（款）事业单位离退休（项），指：事业单位开支的离退休经费；社会保障和就业（类）行政事业单位养老支出（款）机关事业单位基本养老保险缴费支出（项），指：预算单位实施养老保险制度由单位缴纳的基本养老保险费支出。</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11.城乡社区（类）国有土地使用权出让收入安排的支出（款）土地开发支出（项），指地方政府用于前期土地开发性支出以及前期土地开发的费用等支出。</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12.住房保障支出（类）住房改革支出（款）住房公积金（项），指：按照人力资源和社会保障部、财政部规定的基本工资和津贴补贴以及规定比例为职工缴纳的住房公积金。</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13.基本支出：指为保障机构正常运转、完成日常工作任务而发生的人员支出和公用支出。</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14项目支出：指在基本支出之外为完成特定行政任务和事业发展目标所发生的支出。</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15经营支出：指事业单位在专业业务活动及其辅助活动之外开展非独立核算经营活动发生的支出。</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0"/>
          <w:rFonts w:ascii="黑体" w:hAnsi="黑体" w:eastAsia="黑体"/>
          <w:b w:val="0"/>
        </w:rPr>
      </w:pPr>
      <w:r>
        <w:rPr>
          <w:rFonts w:ascii="宋体"/>
          <w:b/>
          <w:color w:val="000000"/>
          <w:sz w:val="44"/>
          <w:szCs w:val="44"/>
        </w:rPr>
        <w:br w:type="page"/>
      </w:r>
      <w:bookmarkStart w:id="85" w:name="_Toc15396614"/>
      <w:bookmarkStart w:id="86" w:name="_Toc6342"/>
      <w:r>
        <w:rPr>
          <w:rFonts w:hint="eastAsia" w:ascii="黑体" w:hAnsi="黑体" w:eastAsia="黑体"/>
          <w:color w:val="000000"/>
          <w:sz w:val="44"/>
          <w:szCs w:val="44"/>
        </w:rPr>
        <w:t>第</w:t>
      </w:r>
      <w:r>
        <w:rPr>
          <w:rStyle w:val="20"/>
          <w:rFonts w:hint="eastAsia" w:ascii="黑体" w:hAnsi="黑体" w:eastAsia="黑体"/>
          <w:b w:val="0"/>
        </w:rPr>
        <w:t>四部分附件</w:t>
      </w:r>
      <w:bookmarkEnd w:id="85"/>
      <w:bookmarkEnd w:id="86"/>
    </w:p>
    <w:p>
      <w:pPr>
        <w:spacing w:line="600" w:lineRule="exact"/>
        <w:jc w:val="left"/>
        <w:outlineLvl w:val="0"/>
        <w:rPr>
          <w:rFonts w:ascii="方正小标宋简体" w:hAnsi="方正小标宋简体" w:eastAsia="方正小标宋简体" w:cs="方正小标宋简体"/>
          <w:sz w:val="32"/>
          <w:szCs w:val="32"/>
        </w:rPr>
      </w:pPr>
      <w:bookmarkStart w:id="87" w:name="_Toc32496"/>
      <w:r>
        <w:rPr>
          <w:rFonts w:hint="eastAsia" w:ascii="黑体" w:hAnsi="黑体" w:eastAsia="黑体" w:cs="黑体"/>
          <w:sz w:val="32"/>
          <w:szCs w:val="32"/>
        </w:rPr>
        <w:t>附件</w:t>
      </w:r>
      <w:r>
        <w:rPr>
          <w:rFonts w:ascii="黑体" w:hAnsi="黑体" w:eastAsia="黑体" w:cs="黑体"/>
          <w:sz w:val="32"/>
          <w:szCs w:val="32"/>
        </w:rPr>
        <w:t>1</w:t>
      </w:r>
      <w:bookmarkEnd w:id="87"/>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市文艺创评室</w:t>
      </w:r>
    </w:p>
    <w:p>
      <w:pPr>
        <w:spacing w:line="600" w:lineRule="exact"/>
        <w:jc w:val="center"/>
        <w:rPr>
          <w:rFonts w:ascii="方正小标宋简体" w:hAnsi="方正小标宋简体" w:eastAsia="方正小标宋简体" w:cs="方正小标宋简体"/>
          <w:color w:val="000000"/>
          <w:kern w:val="0"/>
          <w:sz w:val="44"/>
          <w:szCs w:val="44"/>
          <w:lang w:val="zh-CN"/>
        </w:rPr>
      </w:pPr>
      <w:r>
        <w:rPr>
          <w:rFonts w:hint="eastAsia" w:ascii="方正小标宋简体" w:hAnsi="方正小标宋简体" w:eastAsia="方正小标宋简体" w:cs="方正小标宋简体"/>
          <w:color w:val="000000"/>
          <w:kern w:val="0"/>
          <w:sz w:val="44"/>
          <w:szCs w:val="44"/>
        </w:rPr>
        <w:t>2020年部门</w:t>
      </w:r>
      <w:r>
        <w:rPr>
          <w:rFonts w:hint="eastAsia" w:ascii="方正小标宋简体" w:hAnsi="方正小标宋简体" w:eastAsia="方正小标宋简体" w:cs="方正小标宋简体"/>
          <w:color w:val="000000"/>
          <w:kern w:val="0"/>
          <w:sz w:val="44"/>
          <w:szCs w:val="44"/>
          <w:lang w:val="zh-CN"/>
        </w:rPr>
        <w:t>整体支出绩效评价报告</w:t>
      </w:r>
    </w:p>
    <w:p>
      <w:pPr>
        <w:widowControl/>
        <w:adjustRightInd w:val="0"/>
        <w:snapToGrid w:val="0"/>
        <w:spacing w:line="60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lang w:val="zh-CN"/>
        </w:rPr>
        <w:t>一、部门（单位）概况</w:t>
      </w:r>
    </w:p>
    <w:p>
      <w:pPr>
        <w:widowControl/>
        <w:spacing w:line="580" w:lineRule="exact"/>
        <w:ind w:firstLine="643" w:firstLineChars="200"/>
        <w:jc w:val="left"/>
        <w:rPr>
          <w:rFonts w:ascii="仿宋_GB2312" w:hAnsi="仿宋_GB2312" w:cs="仿宋_GB2312"/>
          <w:color w:val="000000"/>
          <w:kern w:val="0"/>
          <w:sz w:val="32"/>
          <w:szCs w:val="32"/>
        </w:rPr>
      </w:pPr>
      <w:r>
        <w:rPr>
          <w:rFonts w:hint="eastAsia" w:ascii="楷体_GB2312" w:hAnsi="楷体_GB2312" w:eastAsia="楷体_GB2312" w:cs="楷体_GB2312"/>
          <w:b/>
          <w:sz w:val="32"/>
          <w:szCs w:val="32"/>
          <w:lang w:val="zh-CN"/>
        </w:rPr>
        <w:t>（一）机构组成：</w:t>
      </w:r>
      <w:r>
        <w:rPr>
          <w:rFonts w:hint="eastAsia" w:ascii="仿宋_GB2312" w:hAnsi="仿宋_GB2312" w:cs="仿宋_GB2312"/>
          <w:color w:val="000000"/>
          <w:kern w:val="0"/>
          <w:sz w:val="32"/>
          <w:szCs w:val="32"/>
          <w:shd w:val="clear" w:color="auto" w:fill="FFFFFF"/>
          <w:lang w:val="zh-CN"/>
        </w:rPr>
        <w:t>我单位</w:t>
      </w:r>
      <w:r>
        <w:rPr>
          <w:rFonts w:hint="eastAsia" w:ascii="仿宋_GB2312" w:hAnsi="仿宋_GB2312" w:cs="仿宋_GB2312"/>
          <w:sz w:val="32"/>
        </w:rPr>
        <w:t>系市文广旅局下属全额拨款事业单位</w:t>
      </w:r>
    </w:p>
    <w:p>
      <w:pPr>
        <w:snapToGrid w:val="0"/>
        <w:spacing w:line="580" w:lineRule="exact"/>
        <w:ind w:firstLine="643" w:firstLineChars="200"/>
        <w:rPr>
          <w:rFonts w:ascii="仿宋_GB2312" w:hAnsi="仿宋_GB2312" w:cs="仿宋_GB2312"/>
          <w:snapToGrid w:val="0"/>
          <w:sz w:val="32"/>
          <w:szCs w:val="32"/>
        </w:rPr>
      </w:pPr>
      <w:r>
        <w:rPr>
          <w:rFonts w:hint="eastAsia" w:ascii="楷体_GB2312" w:hAnsi="楷体_GB2312" w:eastAsia="楷体_GB2312" w:cs="楷体_GB2312"/>
          <w:b/>
          <w:sz w:val="32"/>
          <w:szCs w:val="32"/>
          <w:lang w:val="zh-CN"/>
        </w:rPr>
        <w:t>（二）基本职能：</w:t>
      </w:r>
      <w:r>
        <w:rPr>
          <w:rFonts w:hint="eastAsia" w:ascii="仿宋_GB2312" w:hAnsi="仿宋_GB2312" w:cs="仿宋_GB2312"/>
          <w:bCs/>
          <w:sz w:val="32"/>
          <w:szCs w:val="32"/>
          <w:lang w:val="zh-CN"/>
        </w:rPr>
        <w:t>我</w:t>
      </w:r>
      <w:r>
        <w:rPr>
          <w:rFonts w:hint="eastAsia" w:ascii="仿宋_GB2312" w:hAnsi="仿宋_GB2312" w:cs="仿宋_GB2312"/>
          <w:snapToGrid w:val="0"/>
          <w:sz w:val="32"/>
          <w:szCs w:val="32"/>
        </w:rPr>
        <w:t>单位主要负责开展艺术创评，促进艺术繁荣。艺术创评、艺术评论、艺术研究、艺术学术书刊编辑、艺术咨询服务、艺术创评人才的培养。</w:t>
      </w:r>
    </w:p>
    <w:p>
      <w:pPr>
        <w:snapToGrid w:val="0"/>
        <w:spacing w:line="580" w:lineRule="exact"/>
        <w:ind w:firstLine="643" w:firstLineChars="200"/>
        <w:rPr>
          <w:rFonts w:ascii="仿宋_GB2312" w:hAnsi="仿宋_GB2312" w:cs="仿宋_GB2312"/>
          <w:bCs/>
          <w:sz w:val="32"/>
          <w:szCs w:val="32"/>
        </w:rPr>
      </w:pPr>
      <w:r>
        <w:rPr>
          <w:rFonts w:hint="eastAsia" w:ascii="楷体_GB2312" w:hAnsi="楷体_GB2312" w:eastAsia="楷体_GB2312" w:cs="楷体_GB2312"/>
          <w:b/>
          <w:sz w:val="32"/>
          <w:szCs w:val="32"/>
        </w:rPr>
        <w:t>（三）人员构成：</w:t>
      </w:r>
      <w:r>
        <w:rPr>
          <w:rFonts w:hint="eastAsia" w:ascii="仿宋_GB2312" w:hAnsi="仿宋_GB2312" w:cs="仿宋_GB2312"/>
          <w:bCs/>
          <w:sz w:val="32"/>
          <w:szCs w:val="32"/>
        </w:rPr>
        <w:t>我单位为全额拨款事业单位，总编制6名，2020年年末在编在岗人员5人，自聘1人，现有退休4人。</w:t>
      </w:r>
    </w:p>
    <w:p>
      <w:pPr>
        <w:widowControl/>
        <w:adjustRightInd w:val="0"/>
        <w:snapToGrid w:val="0"/>
        <w:spacing w:line="580" w:lineRule="exact"/>
        <w:ind w:firstLine="640" w:firstLineChars="200"/>
        <w:contextualSpacing/>
        <w:jc w:val="left"/>
        <w:rPr>
          <w:rFonts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lang w:val="zh-CN"/>
        </w:rPr>
        <w:t>二、部门财政资金收支情况</w:t>
      </w:r>
    </w:p>
    <w:p>
      <w:pPr>
        <w:snapToGrid w:val="0"/>
        <w:spacing w:line="580" w:lineRule="exact"/>
        <w:ind w:firstLine="643" w:firstLineChars="200"/>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（一）部门财政资金收入情况。</w:t>
      </w:r>
    </w:p>
    <w:p>
      <w:pPr>
        <w:spacing w:line="580" w:lineRule="exact"/>
        <w:ind w:firstLine="640" w:firstLineChars="200"/>
        <w:outlineLvl w:val="1"/>
        <w:rPr>
          <w:rFonts w:ascii="仿宋_GB2312" w:hAnsi="仿宋_GB2312" w:cs="仿宋_GB2312"/>
          <w:color w:val="000000"/>
          <w:sz w:val="32"/>
          <w:szCs w:val="32"/>
        </w:rPr>
      </w:pPr>
      <w:bookmarkStart w:id="88" w:name="_Toc31359"/>
      <w:r>
        <w:rPr>
          <w:rFonts w:hint="eastAsia" w:ascii="仿宋_GB2312" w:hAnsi="仿宋_GB2312" w:cs="仿宋_GB2312"/>
          <w:color w:val="000000"/>
          <w:sz w:val="32"/>
          <w:szCs w:val="32"/>
        </w:rPr>
        <w:t>2020年本年收入合计103.73万元，其中：一般公共预算财政拨款收入95.37万元，占91.94%；政府性基金预算财政拨款收入8.36万元，占8.06%。</w:t>
      </w:r>
      <w:bookmarkEnd w:id="88"/>
    </w:p>
    <w:p>
      <w:pPr>
        <w:snapToGrid w:val="0"/>
        <w:spacing w:line="580" w:lineRule="exact"/>
        <w:ind w:firstLine="643" w:firstLineChars="200"/>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（二）部门财政资金支出情况。</w:t>
      </w:r>
    </w:p>
    <w:p>
      <w:pPr>
        <w:widowControl/>
        <w:adjustRightInd w:val="0"/>
        <w:snapToGrid w:val="0"/>
        <w:spacing w:line="580" w:lineRule="exact"/>
        <w:ind w:firstLine="640" w:firstLineChars="200"/>
        <w:contextualSpacing/>
        <w:jc w:val="left"/>
        <w:rPr>
          <w:rFonts w:ascii="仿宋_GB2312" w:hAnsi="仿宋_GB2312" w:cs="仿宋_GB2312"/>
          <w:sz w:val="32"/>
          <w:szCs w:val="32"/>
          <w:lang w:val="zh-CN"/>
        </w:rPr>
      </w:pPr>
      <w:r>
        <w:rPr>
          <w:rFonts w:hint="eastAsia" w:ascii="仿宋_GB2312" w:hAnsi="仿宋_GB2312" w:cs="仿宋_GB2312"/>
          <w:sz w:val="32"/>
          <w:szCs w:val="32"/>
        </w:rPr>
        <w:t>本年财政拨款支出99.73万元。其中：文化旅游体育与传媒（类）支出70.17万元，社会保障和就业（类）支出16.63万元，城乡社区（类）支出8.36万元，住房保障支出4.57万元。</w:t>
      </w:r>
    </w:p>
    <w:p>
      <w:pPr>
        <w:widowControl/>
        <w:adjustRightInd w:val="0"/>
        <w:snapToGrid w:val="0"/>
        <w:spacing w:line="580" w:lineRule="exact"/>
        <w:ind w:firstLine="640" w:firstLineChars="200"/>
        <w:contextualSpacing/>
        <w:jc w:val="left"/>
        <w:rPr>
          <w:rFonts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lang w:val="zh-CN"/>
        </w:rPr>
        <w:t>三、部门整体预算绩效管理情况</w:t>
      </w:r>
    </w:p>
    <w:p>
      <w:pPr>
        <w:snapToGrid w:val="0"/>
        <w:spacing w:line="580" w:lineRule="exact"/>
        <w:ind w:firstLine="643" w:firstLineChars="200"/>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（一）部门预算管理。</w:t>
      </w:r>
    </w:p>
    <w:p>
      <w:pPr>
        <w:spacing w:line="580" w:lineRule="exact"/>
        <w:ind w:firstLine="640" w:firstLineChars="200"/>
        <w:rPr>
          <w:rFonts w:ascii="仿宋_GB2312" w:hAnsi="仿宋_GB2312" w:cs="仿宋_GB2312"/>
          <w:color w:val="000000"/>
          <w:kern w:val="0"/>
          <w:sz w:val="32"/>
          <w:szCs w:val="32"/>
          <w:shd w:val="clear" w:color="auto" w:fill="FFFFFF"/>
        </w:rPr>
      </w:pPr>
      <w:r>
        <w:rPr>
          <w:rFonts w:hint="eastAsia" w:ascii="仿宋_GB2312" w:hAnsi="仿宋_GB2312" w:cs="仿宋_GB2312"/>
          <w:sz w:val="32"/>
          <w:szCs w:val="32"/>
        </w:rPr>
        <w:t>我单位严格预算管理各项规定，强化预算约束，制定绩效目标，各项收入都已经列入部门预算，规范编制基本支出和项目支出，完整编制政府采购预算，结余结转资金管理规范，按规定要求公开了部门预算、部门决算。在2020年均无违规违纪记录。</w:t>
      </w:r>
    </w:p>
    <w:p>
      <w:pPr>
        <w:snapToGrid w:val="0"/>
        <w:spacing w:line="580" w:lineRule="exact"/>
        <w:ind w:firstLine="643" w:firstLineChars="200"/>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（二）结果应用情况。</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我单位充分重视绩效自评结果，将结果应用在绩效制定的过程中，不断完善绩效制定水平，提高绩效编制的准确性。</w:t>
      </w:r>
    </w:p>
    <w:p>
      <w:pPr>
        <w:widowControl/>
        <w:adjustRightInd w:val="0"/>
        <w:snapToGrid w:val="0"/>
        <w:spacing w:line="580" w:lineRule="exact"/>
        <w:ind w:firstLine="640" w:firstLineChars="200"/>
        <w:contextualSpacing/>
        <w:jc w:val="left"/>
        <w:rPr>
          <w:rFonts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lang w:val="zh-CN"/>
        </w:rPr>
        <w:t>四、评价结论及建议</w:t>
      </w:r>
    </w:p>
    <w:p>
      <w:pPr>
        <w:snapToGrid w:val="0"/>
        <w:spacing w:line="580" w:lineRule="exact"/>
        <w:ind w:firstLine="643" w:firstLineChars="200"/>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（一）评价结论。</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2020年，我单位积极履职，强化管理，较好地完成了年度工作目标。通过加强预算收支管理，不断建立健全内部控制制度，梳理完善内部管理流程，部门整体支出管理水平得到提升。</w:t>
      </w:r>
    </w:p>
    <w:p>
      <w:pPr>
        <w:spacing w:line="58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1.预算配置控制较好。</w:t>
      </w:r>
      <w:r>
        <w:rPr>
          <w:rFonts w:hint="eastAsia" w:ascii="仿宋_GB2312" w:hAnsi="仿宋_GB2312" w:cs="仿宋_GB2312"/>
          <w:sz w:val="32"/>
          <w:szCs w:val="32"/>
        </w:rPr>
        <w:t>按照2020年绩效目标编制要求，我单位在基本支出、项目支出、“三公”经费等经费配置上科学合理，内部控制制度较完善，工作扎实推进。</w:t>
      </w:r>
    </w:p>
    <w:p>
      <w:pPr>
        <w:spacing w:line="58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2.预算执行到位。</w:t>
      </w:r>
      <w:r>
        <w:rPr>
          <w:rFonts w:hint="eastAsia" w:ascii="仿宋_GB2312" w:hAnsi="仿宋_GB2312" w:cs="仿宋_GB2312"/>
          <w:sz w:val="32"/>
          <w:szCs w:val="32"/>
        </w:rPr>
        <w:t>2020年财政拨款收入103.73万元，财政拨款支出99.73万元，进一步加大了对结转资金的执行力度，年末财政拨款结转资金比上年同期增加了44.44%。</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部门预算收支严格按年初部门预算方案执行，全年支出总额控制在预算总额以内，全年无截留或滞留专项资金情况，部门预决算、“三公”经费预决算按要求及时进行了公开。</w:t>
      </w:r>
    </w:p>
    <w:p>
      <w:pPr>
        <w:spacing w:line="58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3.预算管理较完善。</w:t>
      </w:r>
      <w:r>
        <w:rPr>
          <w:rFonts w:hint="eastAsia" w:ascii="仿宋_GB2312" w:hAnsi="仿宋_GB2312" w:cs="仿宋_GB2312"/>
          <w:sz w:val="32"/>
          <w:szCs w:val="32"/>
        </w:rPr>
        <w:t>我单位切实加强预算管理，根据年初目标和工作进度，管理执行预算，预算制度执行总体较为有效。</w:t>
      </w:r>
    </w:p>
    <w:p>
      <w:pPr>
        <w:spacing w:line="58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4.管理制度健全。</w:t>
      </w:r>
      <w:r>
        <w:rPr>
          <w:rFonts w:hint="eastAsia" w:ascii="仿宋_GB2312" w:hAnsi="仿宋_GB2312" w:cs="仿宋_GB2312"/>
          <w:sz w:val="32"/>
          <w:szCs w:val="32"/>
        </w:rPr>
        <w:t>我单位制定有较为完善财务管理制度、内部控制制度等管理制度，相关管理制度合法、合规、完整，流程规范，相关管理制度得到有效执行。</w:t>
      </w:r>
    </w:p>
    <w:p>
      <w:pPr>
        <w:spacing w:line="58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5.资金使用合规。</w:t>
      </w:r>
      <w:r>
        <w:rPr>
          <w:rFonts w:hint="eastAsia" w:ascii="仿宋_GB2312" w:hAnsi="仿宋_GB2312" w:cs="仿宋_GB2312"/>
          <w:sz w:val="32"/>
          <w:szCs w:val="32"/>
        </w:rPr>
        <w:t>切实做好厉行节约工作，努力降低行政成本。各项支出严格按照有关财经法规和财务管理制度规定执行，费用开支有审批、有标准、有预算。严格执行公务接待费、差旅费、会议费和培训费审核审批程序，加强对公务用车的管理，会议费和培训费严格按年初计划和制度规定的标准执行。资金使用无截留、挤占、挪用、虚列支出等情况，无大额现金支付现象。</w:t>
      </w:r>
    </w:p>
    <w:p>
      <w:pPr>
        <w:spacing w:line="58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6.信息公开及时。</w:t>
      </w:r>
      <w:r>
        <w:rPr>
          <w:rFonts w:hint="eastAsia" w:ascii="仿宋_GB2312" w:hAnsi="仿宋_GB2312" w:cs="仿宋_GB2312"/>
          <w:sz w:val="32"/>
          <w:szCs w:val="32"/>
        </w:rPr>
        <w:t>预决算信息根据各项要求，及时在财政信息系统中公开。</w:t>
      </w:r>
    </w:p>
    <w:p>
      <w:pPr>
        <w:snapToGrid w:val="0"/>
        <w:spacing w:line="580" w:lineRule="exact"/>
        <w:ind w:firstLine="643" w:firstLineChars="200"/>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（二）存在问题。</w:t>
      </w:r>
    </w:p>
    <w:p>
      <w:pPr>
        <w:widowControl/>
        <w:adjustRightInd w:val="0"/>
        <w:snapToGrid w:val="0"/>
        <w:spacing w:line="580" w:lineRule="exact"/>
        <w:ind w:firstLine="640" w:firstLineChars="200"/>
        <w:contextualSpacing/>
        <w:jc w:val="left"/>
        <w:rPr>
          <w:rFonts w:ascii="仿宋_GB2312" w:hAnsi="仿宋_GB2312" w:cs="仿宋_GB2312"/>
          <w:sz w:val="32"/>
          <w:szCs w:val="32"/>
        </w:rPr>
      </w:pPr>
      <w:r>
        <w:rPr>
          <w:rFonts w:hint="eastAsia" w:ascii="仿宋_GB2312" w:hAnsi="仿宋_GB2312" w:cs="仿宋_GB2312"/>
          <w:sz w:val="32"/>
          <w:szCs w:val="32"/>
        </w:rPr>
        <w:t>1.预算编制的合理性需要进一步提高，基本运转经费尤其是人员经费应该确保。每年的社保、公积金缺口较大。同时，项目经费充分听取预算执行单位的意见，确保必需的预算纳入年初预算。</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2.预算编制时间短，任务重，需要财政做更系统的培训和指导。</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3.绩效从制定、执行、评价到使用都缺少系统性训练。</w:t>
      </w:r>
    </w:p>
    <w:p>
      <w:pPr>
        <w:snapToGrid w:val="0"/>
        <w:spacing w:line="580" w:lineRule="exact"/>
        <w:ind w:firstLine="643" w:firstLineChars="200"/>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（三）改进建议。</w:t>
      </w:r>
    </w:p>
    <w:p>
      <w:pPr>
        <w:spacing w:line="580" w:lineRule="exact"/>
        <w:ind w:firstLine="640" w:firstLineChars="200"/>
        <w:rPr>
          <w:rFonts w:ascii="仿宋_GB2312" w:hAnsi="仿宋_GB2312" w:cs="仿宋_GB2312"/>
          <w:sz w:val="32"/>
          <w:szCs w:val="32"/>
        </w:rPr>
      </w:pPr>
      <w:r>
        <w:rPr>
          <w:rFonts w:hint="eastAsia" w:ascii="仿宋_GB2312" w:hAnsi="仿宋_GB2312" w:cs="仿宋_GB2312"/>
          <w:sz w:val="32"/>
          <w:szCs w:val="32"/>
        </w:rPr>
        <w:t>加强预算编制的合理性，平衡预算配置，确保社保和公积金等预算资金不留缺口，项目经费充分听取预算执行单位的意见。加强对预算编制和绩效的培训，绩效不仅是在绩效填报上培训，还需要从绩效编制、绩效编制、绩效评价（自评和第三方评价）、绩效结果应用上做一体化培训，促进绩效系统的成熟和稳定。</w:t>
      </w:r>
    </w:p>
    <w:p>
      <w:pPr>
        <w:widowControl/>
        <w:adjustRightInd w:val="0"/>
        <w:snapToGrid w:val="0"/>
        <w:spacing w:line="600" w:lineRule="exact"/>
        <w:ind w:firstLine="640" w:firstLineChars="200"/>
        <w:contextualSpacing/>
        <w:jc w:val="left"/>
        <w:rPr>
          <w:rFonts w:ascii="仿宋_GB2312" w:hAnsi="仿宋_GB2312" w:cs="仿宋_GB2312"/>
          <w:color w:val="000000"/>
          <w:kern w:val="0"/>
          <w:sz w:val="32"/>
          <w:szCs w:val="32"/>
          <w:shd w:val="clear" w:color="auto" w:fill="FFFFFF"/>
          <w:lang w:val="zh-CN"/>
        </w:rPr>
      </w:pPr>
    </w:p>
    <w:p>
      <w:pPr>
        <w:spacing w:line="600" w:lineRule="exact"/>
        <w:ind w:firstLine="640" w:firstLineChars="200"/>
        <w:rPr>
          <w:rFonts w:ascii="仿宋_GB2312" w:hAnsi="仿宋_GB2312" w:cs="仿宋_GB2312"/>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sectPr>
          <w:footerReference r:id="rId13" w:type="first"/>
          <w:headerReference r:id="rId11" w:type="default"/>
          <w:footerReference r:id="rId12" w:type="default"/>
          <w:pgSz w:w="11906" w:h="16838"/>
          <w:pgMar w:top="1440" w:right="1800" w:bottom="1440" w:left="1800" w:header="851" w:footer="992" w:gutter="0"/>
          <w:pgNumType w:start="1"/>
          <w:cols w:space="720" w:num="1"/>
          <w:titlePg/>
          <w:docGrid w:type="lines" w:linePitch="312" w:charSpace="0"/>
        </w:sectPr>
      </w:pPr>
    </w:p>
    <w:p>
      <w:pPr>
        <w:spacing w:line="600" w:lineRule="exact"/>
        <w:rPr>
          <w:rFonts w:ascii="仿宋_GB2312" w:hAnsi="仿宋_GB2312" w:eastAsia="黑体"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-1</w:t>
      </w:r>
    </w:p>
    <w:p>
      <w:pPr>
        <w:autoSpaceDE w:val="0"/>
        <w:autoSpaceDN w:val="0"/>
        <w:adjustRightInd w:val="0"/>
        <w:spacing w:line="5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攀枝花市文艺创评室文艺创评经费整体项目2020年绩效评价报告</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一、项目概况</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（一）项目基本情况。</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1.说明项目主管部门（单位）在该项目管理中的职能。</w:t>
      </w:r>
    </w:p>
    <w:p>
      <w:pPr>
        <w:spacing w:line="580" w:lineRule="exact"/>
        <w:ind w:firstLine="640" w:firstLineChars="200"/>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在“一带一路”前提下，为挖掘“英雄攀枝花、阳光康养地”的深层文化内涵，积极开展与本土及周边的文化交流采风创作活动。攀枝花市文艺创评室紧紧围绕市委市政府规划和攀枝花市文广旅局工作目标，有条不紊地开展文化交流与采风创作活动。</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2.项目立项、资金申报的依据。</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依据2020年预算批复文件</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3.资金管理办法制定情况，资金支持具体项目的条件、范围与支持方式概况。</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资金管理按照市创评室内控制定的管理办法进行管理。按照协议约定，严格按照项目进度完成情况拨付资金。</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4.资金分配的原则及考虑因素。</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该项目资金直接用于文化艺术的挖掘、采访、创作、评论。不存在资金分配。</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（二）项目绩效目标。</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1.项目主要内容。</w:t>
      </w:r>
    </w:p>
    <w:p>
      <w:pPr>
        <w:spacing w:line="580" w:lineRule="exact"/>
        <w:ind w:firstLine="640" w:firstLineChars="200"/>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开展艺术创评，促进艺术繁荣。 艺术创评 艺术评论 艺术研究 艺术学术书刊编辑 艺术创评人才的培养。</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sectPr>
          <w:footerReference r:id="rId15" w:type="first"/>
          <w:footerReference r:id="rId14" w:type="default"/>
          <w:pgSz w:w="11906" w:h="16838"/>
          <w:pgMar w:top="1440" w:right="1800" w:bottom="1440" w:left="1800" w:header="851" w:footer="992" w:gutter="0"/>
          <w:cols w:space="720" w:num="1"/>
          <w:titlePg/>
          <w:docGrid w:type="lines" w:linePitch="312" w:charSpace="0"/>
        </w:sectPr>
      </w:pP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2.项目应实现的具体绩效目标，包括目标的量化、细化情况以及项目实施进度计划等。</w:t>
      </w:r>
    </w:p>
    <w:p>
      <w:pPr>
        <w:spacing w:line="580" w:lineRule="exact"/>
        <w:ind w:firstLine="640" w:firstLineChars="200"/>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2020年，市文艺创评室通过组织作家艺术家挖采访、挖掘城市原点文化、康养文化，进行文艺创作，服务于英雄攀枝花，阳光康养地，打造文化高地，促攀枝花社会经济发展。每月进行2次挖掘、采访、创作、评论，全年共计24次。</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3.分析评价申报内容是否与实际相符，申报目标是否合理可行。</w:t>
      </w:r>
    </w:p>
    <w:p>
      <w:pPr>
        <w:spacing w:line="580" w:lineRule="exact"/>
        <w:ind w:firstLine="640" w:firstLineChars="200"/>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我室采取积极主动态度和具体措施加强对文艺家、文化作者的联络协调，为进一步深入开展文艺创评工作奠定坚实的基础。在对原有重点文艺家、文化作者建立了长期联系的陈建文、毛文洪、谢天寿、王幸、赖俊熙、邓世椿、成世伦刘兴明、刘海军等作家艺术家的基础上，又增加了刘希、邓明莉、朱志成、童久容、饶宝康、蒙会仙、赵孝云、周琼、冉茂琼、朱世伦、陈继霖、徐海涛、李天全、云川、曹晓燕、李敏、王楠帧等本土艺术创作人才，形成一支有相当创作规模更具创作实力与活力的文艺创评队伍，在我市的文艺创作和文化高地建设中发挥了积极作用。</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二、项目资金申报及使用情况</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（一）项目资金申报及批复情况。</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2019年底申报该项目资金22万元，2020年3月已达预算批复资金10万元，无预算调整。</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（二）资金计划、到位及使用情况（可用表格形式反映）。</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1.资金计划。</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2020年本级财政预算10万元。</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2.资金到位。</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2020年3月10万元资金已全部到位。</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3.资金使用。</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lang w:eastAsia="zh-CN"/>
        </w:rPr>
        <w:t>截至</w:t>
      </w:r>
      <w:bookmarkStart w:id="115" w:name="_GoBack"/>
      <w:bookmarkEnd w:id="115"/>
      <w:r>
        <w:rPr>
          <w:rFonts w:hint="eastAsia" w:ascii="仿宋_GB2312" w:hAnsi="仿宋_GB2312" w:cs="仿宋_GB2312"/>
          <w:kern w:val="0"/>
          <w:sz w:val="32"/>
          <w:szCs w:val="32"/>
        </w:rPr>
        <w:t>2020年12月31日该项目已全部列支。资金的支付范围、支付标准、支付进度、支付依据等合规合法、与预算相符。</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（三）项目财务管理情况。</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市创评室财务管理制度健全，严格执行财务管理制度，账务处理及时，会计核算规范。</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三、项目实施及管理情况</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结合项目组织实施管理办法，重点围绕以下内容进行分析评价，并对自评中发现的问题分析说明。</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（一）项目组织架构及实施流程。</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sz w:val="32"/>
          <w:szCs w:val="32"/>
          <w:shd w:val="clear" w:color="auto" w:fill="FFFFFF"/>
        </w:rPr>
        <w:t>开展艺术创评，促进艺术繁荣。 艺术创评 艺术评论 艺术研究 艺术学术书刊编辑 艺术创评人才的培养。</w:t>
      </w:r>
    </w:p>
    <w:p>
      <w:pPr>
        <w:autoSpaceDE w:val="0"/>
        <w:autoSpaceDN w:val="0"/>
        <w:adjustRightInd w:val="0"/>
        <w:spacing w:line="580" w:lineRule="exact"/>
        <w:ind w:firstLine="643" w:firstLineChars="200"/>
        <w:jc w:val="left"/>
        <w:rPr>
          <w:rFonts w:ascii="仿宋_GB2312" w:hAnsi="仿宋_GB2312" w:cs="仿宋_GB2312"/>
          <w:kern w:val="0"/>
          <w:sz w:val="32"/>
          <w:szCs w:val="32"/>
        </w:rPr>
      </w:pPr>
      <w:r>
        <w:rPr>
          <w:rFonts w:hint="eastAsia" w:ascii="楷体_GB2312" w:hAnsi="楷体_GB2312" w:eastAsia="楷体_GB2312" w:cs="楷体_GB2312"/>
          <w:b/>
          <w:bCs/>
          <w:kern w:val="0"/>
          <w:sz w:val="32"/>
          <w:szCs w:val="32"/>
        </w:rPr>
        <w:t>（二）项目管理情况。</w:t>
      </w:r>
      <w:r>
        <w:rPr>
          <w:rFonts w:hint="eastAsia" w:ascii="仿宋_GB2312" w:hAnsi="仿宋_GB2312" w:cs="仿宋_GB2312"/>
          <w:kern w:val="0"/>
          <w:sz w:val="32"/>
          <w:szCs w:val="32"/>
        </w:rPr>
        <w:t>结合项目特点，总体评价各项目实施单位执行相关法律法规及项目管理制度等情况，如招投标、政府采购、项目公示制等相关规定。</w:t>
      </w:r>
    </w:p>
    <w:p>
      <w:pPr>
        <w:spacing w:line="580" w:lineRule="exact"/>
        <w:ind w:firstLine="640" w:firstLineChars="200"/>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通过挖掘、采访、创作、评论，使我市的文艺创作和文化高地建设中发挥了积极作用，进一步提升“英雄攀枝花•阳光康养地”的知名度和影响力。</w:t>
      </w:r>
    </w:p>
    <w:p>
      <w:pPr>
        <w:autoSpaceDE w:val="0"/>
        <w:autoSpaceDN w:val="0"/>
        <w:adjustRightInd w:val="0"/>
        <w:spacing w:line="580" w:lineRule="exact"/>
        <w:ind w:firstLine="643" w:firstLineChars="200"/>
        <w:jc w:val="left"/>
        <w:rPr>
          <w:rFonts w:ascii="仿宋_GB2312" w:hAnsi="仿宋_GB2312" w:cs="仿宋_GB2312"/>
          <w:kern w:val="0"/>
          <w:sz w:val="32"/>
          <w:szCs w:val="32"/>
        </w:rPr>
      </w:pPr>
      <w:r>
        <w:rPr>
          <w:rFonts w:hint="eastAsia" w:ascii="楷体_GB2312" w:hAnsi="楷体_GB2312" w:eastAsia="楷体_GB2312" w:cs="楷体_GB2312"/>
          <w:b/>
          <w:bCs/>
          <w:kern w:val="0"/>
          <w:sz w:val="32"/>
          <w:szCs w:val="32"/>
        </w:rPr>
        <w:t>（三）项目监管情况。</w:t>
      </w:r>
      <w:r>
        <w:rPr>
          <w:rFonts w:hint="eastAsia" w:ascii="仿宋_GB2312" w:hAnsi="仿宋_GB2312" w:cs="仿宋_GB2312"/>
          <w:kern w:val="0"/>
          <w:sz w:val="32"/>
          <w:szCs w:val="32"/>
        </w:rPr>
        <w:t>说明项目主管部门为加强项目管理所采取的监管手段、监管程序、监管工作开展情况及实现的效果等。</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四、项目绩效情况</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（一）项目完成情况。</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项目完成杂志4期，每期200册，完成挖掘、采访、创作、评论次数24次，2020年底已全部完成。</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（二）项目效益情况。</w:t>
      </w:r>
    </w:p>
    <w:p>
      <w:pPr>
        <w:pStyle w:val="7"/>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经济效益成果是加强资金监管，资金使用达到了预定社会效益；社会效益成果是保证区域文化影响和谐稳定发展；生态效益成果是确保区域文化旅游健康发展；可持续影响成果是可持续影响数年以上。</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五、评价结论及建议</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（一）评价结论。</w:t>
      </w:r>
    </w:p>
    <w:p>
      <w:pPr>
        <w:snapToGrid w:val="0"/>
        <w:spacing w:line="58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 xml:space="preserve">2020年度，市文艺创评室部门支出绩效指标达到了预期设定的目标值，绩效目标完成较好。绩效指标目标完成情况分析如下： </w:t>
      </w:r>
    </w:p>
    <w:p>
      <w:pPr>
        <w:snapToGrid w:val="0"/>
        <w:spacing w:line="580" w:lineRule="exact"/>
        <w:ind w:firstLine="643" w:firstLineChars="200"/>
        <w:rPr>
          <w:rFonts w:ascii="仿宋_GB2312" w:hAnsi="仿宋_GB2312" w:cs="仿宋_GB2312"/>
          <w:bCs/>
          <w:sz w:val="32"/>
          <w:szCs w:val="32"/>
        </w:rPr>
      </w:pPr>
      <w:r>
        <w:rPr>
          <w:rFonts w:hint="eastAsia" w:ascii="仿宋_GB2312" w:hAnsi="仿宋_GB2312" w:cs="仿宋_GB2312"/>
          <w:b/>
          <w:sz w:val="32"/>
          <w:szCs w:val="32"/>
        </w:rPr>
        <w:t>1.项目决策：</w:t>
      </w:r>
      <w:r>
        <w:rPr>
          <w:rFonts w:hint="eastAsia" w:ascii="仿宋_GB2312" w:hAnsi="仿宋_GB2312" w:cs="仿宋_GB2312"/>
          <w:bCs/>
          <w:sz w:val="32"/>
          <w:szCs w:val="32"/>
        </w:rPr>
        <w:t xml:space="preserve">市文艺创评室在制定2020年度资金预算时，明确了文艺创作发展工作思路、发展目标和工作任务。 </w:t>
      </w:r>
    </w:p>
    <w:p>
      <w:pPr>
        <w:snapToGrid w:val="0"/>
        <w:spacing w:line="580" w:lineRule="exact"/>
        <w:ind w:firstLine="643" w:firstLineChars="200"/>
        <w:rPr>
          <w:rFonts w:ascii="仿宋_GB2312" w:hAnsi="仿宋_GB2312" w:cs="仿宋_GB2312"/>
          <w:bCs/>
          <w:sz w:val="32"/>
          <w:szCs w:val="32"/>
        </w:rPr>
      </w:pPr>
      <w:r>
        <w:rPr>
          <w:rFonts w:hint="eastAsia" w:ascii="仿宋_GB2312" w:hAnsi="仿宋_GB2312" w:cs="仿宋_GB2312"/>
          <w:b/>
          <w:sz w:val="32"/>
          <w:szCs w:val="32"/>
        </w:rPr>
        <w:t>2.项目管理：</w:t>
      </w:r>
      <w:r>
        <w:rPr>
          <w:rFonts w:hint="eastAsia" w:ascii="仿宋_GB2312" w:hAnsi="仿宋_GB2312" w:cs="仿宋_GB2312"/>
          <w:bCs/>
          <w:sz w:val="32"/>
          <w:szCs w:val="32"/>
        </w:rPr>
        <w:t xml:space="preserve">该项目机构健全，分工明确，资金管理制度健全，资金申报、评审、批准、下达程序规范，制定了资金分配方案，资金分配合理，资金使用合规，资金到位率100%。 </w:t>
      </w:r>
    </w:p>
    <w:p>
      <w:pPr>
        <w:snapToGrid w:val="0"/>
        <w:spacing w:line="580" w:lineRule="exact"/>
        <w:ind w:firstLine="643" w:firstLineChars="200"/>
        <w:rPr>
          <w:rFonts w:ascii="仿宋_GB2312" w:hAnsi="仿宋_GB2312" w:cs="仿宋_GB2312"/>
          <w:bCs/>
          <w:sz w:val="32"/>
          <w:szCs w:val="32"/>
        </w:rPr>
      </w:pPr>
      <w:r>
        <w:rPr>
          <w:rFonts w:hint="eastAsia" w:ascii="仿宋_GB2312" w:hAnsi="仿宋_GB2312" w:cs="仿宋_GB2312"/>
          <w:b/>
          <w:sz w:val="32"/>
          <w:szCs w:val="32"/>
        </w:rPr>
        <w:t>3.项目产出：</w:t>
      </w:r>
      <w:r>
        <w:rPr>
          <w:rFonts w:hint="eastAsia" w:ascii="仿宋_GB2312" w:hAnsi="仿宋_GB2312" w:cs="仿宋_GB2312"/>
          <w:bCs/>
          <w:sz w:val="32"/>
          <w:szCs w:val="32"/>
        </w:rPr>
        <w:t xml:space="preserve">项目产出指标实际完成情况基本达到了预期设定的目标值，产出指标的完成情况较好。 </w:t>
      </w:r>
    </w:p>
    <w:p>
      <w:pPr>
        <w:snapToGrid w:val="0"/>
        <w:spacing w:line="580" w:lineRule="exact"/>
        <w:ind w:firstLine="643" w:firstLineChars="200"/>
        <w:rPr>
          <w:rFonts w:ascii="仿宋_GB2312" w:hAnsi="仿宋_GB2312" w:cs="仿宋_GB2312"/>
          <w:bCs/>
          <w:sz w:val="32"/>
          <w:szCs w:val="32"/>
        </w:rPr>
      </w:pPr>
      <w:r>
        <w:rPr>
          <w:rFonts w:hint="eastAsia" w:ascii="仿宋_GB2312" w:hAnsi="仿宋_GB2312" w:cs="仿宋_GB2312"/>
          <w:b/>
          <w:sz w:val="32"/>
          <w:szCs w:val="32"/>
        </w:rPr>
        <w:t>4.项目效果</w:t>
      </w:r>
      <w:r>
        <w:rPr>
          <w:rFonts w:hint="eastAsia" w:ascii="仿宋_GB2312" w:hAnsi="仿宋_GB2312" w:cs="仿宋_GB2312"/>
          <w:b/>
          <w:sz w:val="32"/>
          <w:szCs w:val="32"/>
          <w:lang w:eastAsia="zh-CN"/>
        </w:rPr>
        <w:t>：</w:t>
      </w:r>
      <w:r>
        <w:rPr>
          <w:rFonts w:hint="eastAsia" w:ascii="仿宋_GB2312" w:hAnsi="仿宋_GB2312" w:cs="仿宋_GB2312"/>
          <w:bCs/>
          <w:sz w:val="32"/>
          <w:szCs w:val="32"/>
        </w:rPr>
        <w:t xml:space="preserve"> 通过项目实施，攀枝花文艺创评工作得到保障。</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（二）存在的问题。</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结合自评情况，分析存在的问题及原因。</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（三）相关建议。</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针对项目自评中发现的问题，提出下一步改进完善的意见及有关政策性建议。</w:t>
      </w:r>
    </w:p>
    <w:p>
      <w:pPr>
        <w:autoSpaceDE w:val="0"/>
        <w:autoSpaceDN w:val="0"/>
        <w:adjustRightInd w:val="0"/>
        <w:spacing w:line="600" w:lineRule="exact"/>
        <w:ind w:firstLine="640" w:firstLineChars="200"/>
        <w:jc w:val="left"/>
        <w:rPr>
          <w:rFonts w:ascii="仿宋_GB2312" w:hAnsi="仿宋_GB2312" w:cs="仿宋_GB2312"/>
          <w:kern w:val="0"/>
          <w:sz w:val="32"/>
          <w:szCs w:val="32"/>
        </w:rPr>
      </w:pPr>
    </w:p>
    <w:p>
      <w:pPr>
        <w:autoSpaceDE w:val="0"/>
        <w:autoSpaceDN w:val="0"/>
        <w:adjustRightInd w:val="0"/>
        <w:spacing w:line="600" w:lineRule="exact"/>
        <w:ind w:firstLine="640" w:firstLineChars="200"/>
        <w:jc w:val="left"/>
        <w:rPr>
          <w:rFonts w:ascii="仿宋_GB2312" w:hAnsi="仿宋_GB2312" w:cs="仿宋_GB2312"/>
          <w:kern w:val="0"/>
          <w:sz w:val="32"/>
          <w:szCs w:val="32"/>
        </w:rPr>
      </w:pPr>
    </w:p>
    <w:p>
      <w:pPr>
        <w:autoSpaceDE w:val="0"/>
        <w:autoSpaceDN w:val="0"/>
        <w:adjustRightInd w:val="0"/>
        <w:spacing w:line="600" w:lineRule="exact"/>
        <w:ind w:firstLine="640" w:firstLineChars="200"/>
        <w:jc w:val="left"/>
        <w:rPr>
          <w:rFonts w:ascii="仿宋_GB2312" w:hAnsi="仿宋_GB2312" w:cs="仿宋_GB2312"/>
          <w:kern w:val="0"/>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580" w:lineRule="exact"/>
        <w:rPr>
          <w:rFonts w:ascii="黑体" w:hAnsi="黑体" w:eastAsia="黑体" w:cs="黑体"/>
          <w:sz w:val="32"/>
          <w:szCs w:val="32"/>
        </w:rPr>
        <w:sectPr>
          <w:footerReference r:id="rId17" w:type="first"/>
          <w:footerReference r:id="rId16" w:type="default"/>
          <w:pgSz w:w="11906" w:h="16838"/>
          <w:pgMar w:top="1440" w:right="1800" w:bottom="1440" w:left="1800" w:header="851" w:footer="992" w:gutter="0"/>
          <w:cols w:space="720" w:num="1"/>
          <w:docGrid w:type="lines" w:linePitch="312" w:charSpace="0"/>
        </w:sectPr>
      </w:pPr>
    </w:p>
    <w:p>
      <w:pPr>
        <w:spacing w:line="580" w:lineRule="exact"/>
        <w:rPr>
          <w:rFonts w:ascii="仿宋_GB2312" w:hAnsi="仿宋_GB2312" w:eastAsia="黑体"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-2</w:t>
      </w:r>
    </w:p>
    <w:p>
      <w:pPr>
        <w:pStyle w:val="7"/>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攀枝花市文艺创评室</w:t>
      </w:r>
    </w:p>
    <w:p>
      <w:pPr>
        <w:pStyle w:val="7"/>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2020年省级公共文化服务体系建设</w:t>
      </w:r>
    </w:p>
    <w:p>
      <w:pPr>
        <w:pStyle w:val="7"/>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专项资金整体项目绩效评价报告</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一、项目概况</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（一）项目基本情况。</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1.说明项目主管部门（单位）在该项目管理中的职能。</w:t>
      </w:r>
    </w:p>
    <w:p>
      <w:pPr>
        <w:autoSpaceDE w:val="0"/>
        <w:autoSpaceDN w:val="0"/>
        <w:adjustRightInd w:val="0"/>
        <w:spacing w:line="580" w:lineRule="exact"/>
        <w:ind w:firstLine="640" w:firstLineChars="200"/>
        <w:jc w:val="left"/>
        <w:rPr>
          <w:rFonts w:ascii="仿宋_GB2312" w:hAnsi="仿宋_GB2312" w:cs="仿宋_GB2312"/>
          <w:color w:val="3D3D3D"/>
          <w:sz w:val="32"/>
          <w:szCs w:val="32"/>
          <w:shd w:val="clear" w:color="auto" w:fill="FFFFFF"/>
        </w:rPr>
      </w:pPr>
      <w:r>
        <w:rPr>
          <w:rFonts w:hint="eastAsia" w:ascii="仿宋_GB2312" w:hAnsi="仿宋_GB2312" w:cs="仿宋_GB2312"/>
          <w:color w:val="3D3D3D"/>
          <w:sz w:val="32"/>
          <w:szCs w:val="32"/>
          <w:shd w:val="clear" w:color="auto" w:fill="FFFFFF"/>
        </w:rPr>
        <w:t>项目实施能切实保障人民群众基本文化权益；满足当地群众崇德尚贤，提高建设美好家园的积极性；提升当地群众的文化素养和科学生活水平的作用。</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2.项目立项、资金申报的依据。</w:t>
      </w:r>
    </w:p>
    <w:p>
      <w:pPr>
        <w:autoSpaceDE w:val="0"/>
        <w:autoSpaceDN w:val="0"/>
        <w:adjustRightInd w:val="0"/>
        <w:spacing w:line="580" w:lineRule="exact"/>
        <w:ind w:firstLine="640" w:firstLineChars="200"/>
        <w:jc w:val="left"/>
        <w:rPr>
          <w:rFonts w:ascii="仿宋_GB2312" w:hAnsi="仿宋_GB2312" w:cs="仿宋_GB2312"/>
          <w:bCs/>
          <w:sz w:val="32"/>
          <w:szCs w:val="32"/>
        </w:rPr>
      </w:pPr>
      <w:r>
        <w:rPr>
          <w:rFonts w:hint="eastAsia" w:ascii="仿宋_GB2312" w:hAnsi="仿宋_GB2312" w:cs="仿宋_GB2312"/>
          <w:bCs/>
          <w:sz w:val="32"/>
          <w:szCs w:val="32"/>
        </w:rPr>
        <w:t>2020年省级公共文化服务体系建设专项资金4000元，依据攀财资教〔2020〕83号。</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3.资金管理办法制定情况，资金支持具体项目的条件、范围与支持方式概况。</w:t>
      </w:r>
    </w:p>
    <w:p>
      <w:pPr>
        <w:autoSpaceDE w:val="0"/>
        <w:autoSpaceDN w:val="0"/>
        <w:adjustRightInd w:val="0"/>
        <w:spacing w:line="580" w:lineRule="exact"/>
        <w:ind w:firstLine="640" w:firstLineChars="200"/>
        <w:jc w:val="left"/>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按照有关专项资金管理办法及规定，加强项目资金管理，确保专款专用，围绕公共文化服务项目，开展绩效目标审核，切实提高资金的使用效率。</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4.资金分配的原则及考虑因素。</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该项目资金直接补助刘希用于推动本地广播电视网络视听节目创作生产，不存在资金分配。</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（二）项目绩效目标。</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1.项目主要内容。</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用于推动本地广播电视网络视听节目创作生产</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2.项目应实现的具体绩效目标，包括目标的量化、细化情况以及项目实施进度计划等。</w:t>
      </w:r>
    </w:p>
    <w:p>
      <w:pPr>
        <w:autoSpaceDE w:val="0"/>
        <w:autoSpaceDN w:val="0"/>
        <w:adjustRightInd w:val="0"/>
        <w:spacing w:line="580" w:lineRule="exact"/>
        <w:ind w:firstLine="640" w:firstLineChars="200"/>
        <w:jc w:val="left"/>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用于支持实施广播电视网络视听精品创作生产扶持引导。</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3.分析评价申报内容是否与实际相符，申报目标是否合理可行。</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申报内容与实际相符，合理可行。</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二、项目资金申报及使用情况</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（一）项目资金申报及批复情况。</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2020年省级公共文化服务体系建设专项资金4000元，依据攀财资教〔2020〕83号。</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（二）资金计划、到位及使用情况（可用表格形式反映）。</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1.资金计划。</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2020年本级财政追加预算0.4万元。</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2.资金到位。</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2020年10月资金已到位0.4万元。</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3.资金使用。</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lang w:eastAsia="zh-CN"/>
        </w:rPr>
        <w:t>截至</w:t>
      </w:r>
      <w:r>
        <w:rPr>
          <w:rFonts w:hint="eastAsia" w:ascii="仿宋_GB2312" w:hAnsi="仿宋_GB2312" w:cs="仿宋_GB2312"/>
          <w:kern w:val="0"/>
          <w:sz w:val="32"/>
          <w:szCs w:val="32"/>
        </w:rPr>
        <w:t>2020年12月31日该项目已全部列支。资金的支付范围、支付标准、支付进度、支付依据等合规合法、与预算相符。</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（三）项目财务管理情况。</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市创评室财务管理制度健全，严格执行财务管理制度，账务处理及时，会计核算规范。</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三、项目实施及管理情况</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结合项目组织实施管理办法，重点围绕以下内容进行分析评价，并对自评中发现的问题分析说明。</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（一）项目组织架构及实施流程。</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sz w:val="32"/>
          <w:szCs w:val="32"/>
          <w:shd w:val="clear" w:color="auto" w:fill="FFFFFF"/>
        </w:rPr>
        <w:t>广播电视网络视听精品创作生产扶持。</w:t>
      </w:r>
    </w:p>
    <w:p>
      <w:pPr>
        <w:autoSpaceDE w:val="0"/>
        <w:autoSpaceDN w:val="0"/>
        <w:adjustRightInd w:val="0"/>
        <w:spacing w:line="580" w:lineRule="exact"/>
        <w:ind w:firstLine="643" w:firstLineChars="200"/>
        <w:jc w:val="left"/>
        <w:rPr>
          <w:rFonts w:ascii="仿宋_GB2312" w:hAnsi="仿宋_GB2312" w:cs="仿宋_GB2312"/>
          <w:kern w:val="0"/>
          <w:sz w:val="32"/>
          <w:szCs w:val="32"/>
        </w:rPr>
      </w:pPr>
      <w:r>
        <w:rPr>
          <w:rFonts w:hint="eastAsia" w:ascii="楷体_GB2312" w:hAnsi="楷体_GB2312" w:eastAsia="楷体_GB2312" w:cs="楷体_GB2312"/>
          <w:b/>
          <w:bCs/>
          <w:kern w:val="0"/>
          <w:sz w:val="32"/>
          <w:szCs w:val="32"/>
        </w:rPr>
        <w:t>（二）项目管理情况。</w:t>
      </w:r>
      <w:r>
        <w:rPr>
          <w:rFonts w:hint="eastAsia" w:ascii="仿宋_GB2312" w:hAnsi="仿宋_GB2312" w:cs="仿宋_GB2312"/>
          <w:kern w:val="0"/>
          <w:sz w:val="32"/>
          <w:szCs w:val="32"/>
        </w:rPr>
        <w:t>结合项目特点，总体评价各项目实施单位执行相关法律法规及项目管理制度等情况，如招投标、政府采购、项目公示制等相关规定。</w:t>
      </w:r>
    </w:p>
    <w:p>
      <w:pPr>
        <w:autoSpaceDE w:val="0"/>
        <w:autoSpaceDN w:val="0"/>
        <w:adjustRightInd w:val="0"/>
        <w:spacing w:line="580" w:lineRule="exact"/>
        <w:ind w:firstLine="640" w:firstLineChars="200"/>
        <w:jc w:val="left"/>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推动本地广播电视网络视听节目创作生产</w:t>
      </w:r>
    </w:p>
    <w:p>
      <w:pPr>
        <w:autoSpaceDE w:val="0"/>
        <w:autoSpaceDN w:val="0"/>
        <w:adjustRightInd w:val="0"/>
        <w:spacing w:line="580" w:lineRule="exact"/>
        <w:ind w:firstLine="643" w:firstLineChars="200"/>
        <w:jc w:val="left"/>
        <w:rPr>
          <w:rFonts w:ascii="仿宋_GB2312" w:hAnsi="仿宋_GB2312" w:cs="仿宋_GB2312"/>
          <w:kern w:val="0"/>
          <w:sz w:val="32"/>
          <w:szCs w:val="32"/>
        </w:rPr>
      </w:pPr>
      <w:r>
        <w:rPr>
          <w:rFonts w:hint="eastAsia" w:ascii="楷体_GB2312" w:hAnsi="楷体_GB2312" w:eastAsia="楷体_GB2312" w:cs="楷体_GB2312"/>
          <w:b/>
          <w:bCs/>
          <w:kern w:val="0"/>
          <w:sz w:val="32"/>
          <w:szCs w:val="32"/>
        </w:rPr>
        <w:t>（三）项目监管情况。</w:t>
      </w:r>
      <w:r>
        <w:rPr>
          <w:rFonts w:hint="eastAsia" w:ascii="仿宋_GB2312" w:hAnsi="仿宋_GB2312" w:cs="仿宋_GB2312"/>
          <w:kern w:val="0"/>
          <w:sz w:val="32"/>
          <w:szCs w:val="32"/>
        </w:rPr>
        <w:t>说明项目主管部门为加强项目管理所采取的监管手段、监管程序、监管工作开展情况及实现的效果等。</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四、项目绩效情况</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（一）项目完成情况。</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2020年底已全部完成。</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（二）项目效益情况。</w:t>
      </w:r>
    </w:p>
    <w:p>
      <w:pPr>
        <w:pStyle w:val="7"/>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经济效益成果是加强资金监管，资金使用达到了预定社会效益；社会效益成果是保证区域文化影响和谐稳定发展；生态效益成果是确保区域文化旅游健康发展；可持续影响成果是可持续影响数年以上。</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五、评价结论及建议</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（一）评价结论。</w:t>
      </w:r>
    </w:p>
    <w:p>
      <w:pPr>
        <w:snapToGrid w:val="0"/>
        <w:spacing w:line="58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 xml:space="preserve">2020年度，市文艺创评室部门支出绩效指标达到了预期设定的目标值，绩效目标完成较好。绩效指标目标完成情况分析如下： </w:t>
      </w:r>
    </w:p>
    <w:p>
      <w:pPr>
        <w:snapToGrid w:val="0"/>
        <w:spacing w:line="580" w:lineRule="exact"/>
        <w:ind w:firstLine="643" w:firstLineChars="200"/>
        <w:rPr>
          <w:rFonts w:ascii="仿宋_GB2312" w:hAnsi="仿宋_GB2312" w:cs="仿宋_GB2312"/>
          <w:bCs/>
          <w:sz w:val="32"/>
          <w:szCs w:val="32"/>
        </w:rPr>
      </w:pPr>
      <w:r>
        <w:rPr>
          <w:rFonts w:hint="eastAsia" w:ascii="仿宋_GB2312" w:hAnsi="仿宋_GB2312" w:cs="仿宋_GB2312"/>
          <w:b/>
          <w:sz w:val="32"/>
          <w:szCs w:val="32"/>
        </w:rPr>
        <w:t>1.项目决策：</w:t>
      </w:r>
      <w:r>
        <w:rPr>
          <w:rFonts w:hint="eastAsia" w:ascii="仿宋_GB2312" w:hAnsi="仿宋_GB2312" w:cs="仿宋_GB2312"/>
          <w:bCs/>
          <w:sz w:val="32"/>
          <w:szCs w:val="32"/>
        </w:rPr>
        <w:t xml:space="preserve">市文艺创评室在制定2020年度资金预算时，明确了文艺创作发展工作思路、发展目标和工作任务。 </w:t>
      </w:r>
    </w:p>
    <w:p>
      <w:pPr>
        <w:snapToGrid w:val="0"/>
        <w:spacing w:line="580" w:lineRule="exact"/>
        <w:ind w:firstLine="643" w:firstLineChars="200"/>
        <w:rPr>
          <w:rFonts w:ascii="仿宋_GB2312" w:hAnsi="仿宋_GB2312" w:cs="仿宋_GB2312"/>
          <w:bCs/>
          <w:sz w:val="32"/>
          <w:szCs w:val="32"/>
        </w:rPr>
      </w:pPr>
      <w:r>
        <w:rPr>
          <w:rFonts w:hint="eastAsia" w:ascii="仿宋_GB2312" w:hAnsi="仿宋_GB2312" w:cs="仿宋_GB2312"/>
          <w:b/>
          <w:sz w:val="32"/>
          <w:szCs w:val="32"/>
        </w:rPr>
        <w:t>2.项目管理：</w:t>
      </w:r>
      <w:r>
        <w:rPr>
          <w:rFonts w:hint="eastAsia" w:ascii="仿宋_GB2312" w:hAnsi="仿宋_GB2312" w:cs="仿宋_GB2312"/>
          <w:bCs/>
          <w:sz w:val="32"/>
          <w:szCs w:val="32"/>
        </w:rPr>
        <w:t xml:space="preserve">该项目机构健全，分工明确，资金管理制度健全，资金申报、评审、批准、下达程序规范，制定了资金分配方案，资金分配合理，资金使用合规，资金到位率100%。 </w:t>
      </w:r>
    </w:p>
    <w:p>
      <w:pPr>
        <w:snapToGrid w:val="0"/>
        <w:spacing w:line="580" w:lineRule="exact"/>
        <w:ind w:firstLine="643" w:firstLineChars="200"/>
        <w:rPr>
          <w:rFonts w:ascii="仿宋_GB2312" w:hAnsi="仿宋_GB2312" w:cs="仿宋_GB2312"/>
          <w:bCs/>
          <w:sz w:val="32"/>
          <w:szCs w:val="32"/>
        </w:rPr>
      </w:pPr>
      <w:r>
        <w:rPr>
          <w:rFonts w:hint="eastAsia" w:ascii="仿宋_GB2312" w:hAnsi="仿宋_GB2312" w:cs="仿宋_GB2312"/>
          <w:b/>
          <w:sz w:val="32"/>
          <w:szCs w:val="32"/>
        </w:rPr>
        <w:t>3.项目产出：</w:t>
      </w:r>
      <w:r>
        <w:rPr>
          <w:rFonts w:hint="eastAsia" w:ascii="仿宋_GB2312" w:hAnsi="仿宋_GB2312" w:cs="仿宋_GB2312"/>
          <w:bCs/>
          <w:sz w:val="32"/>
          <w:szCs w:val="32"/>
        </w:rPr>
        <w:t xml:space="preserve">项目产出指标实际完成情况基本达到了预期设定的目标值，产出指标的完成情况较好。 </w:t>
      </w:r>
    </w:p>
    <w:p>
      <w:pPr>
        <w:snapToGrid w:val="0"/>
        <w:spacing w:line="580" w:lineRule="exact"/>
        <w:ind w:firstLine="643" w:firstLineChars="200"/>
        <w:rPr>
          <w:rFonts w:ascii="仿宋_GB2312" w:hAnsi="仿宋_GB2312" w:cs="仿宋_GB2312"/>
          <w:bCs/>
          <w:sz w:val="32"/>
          <w:szCs w:val="32"/>
        </w:rPr>
      </w:pPr>
      <w:r>
        <w:rPr>
          <w:rFonts w:hint="eastAsia" w:ascii="仿宋_GB2312" w:hAnsi="仿宋_GB2312" w:cs="仿宋_GB2312"/>
          <w:b/>
          <w:sz w:val="32"/>
          <w:szCs w:val="32"/>
        </w:rPr>
        <w:t>4.项目效果</w:t>
      </w:r>
      <w:r>
        <w:rPr>
          <w:rFonts w:hint="eastAsia" w:ascii="仿宋_GB2312" w:hAnsi="仿宋_GB2312" w:cs="仿宋_GB2312"/>
          <w:b/>
          <w:sz w:val="32"/>
          <w:szCs w:val="32"/>
          <w:lang w:eastAsia="zh-CN"/>
        </w:rPr>
        <w:t>：</w:t>
      </w:r>
      <w:r>
        <w:rPr>
          <w:rFonts w:hint="eastAsia" w:ascii="仿宋_GB2312" w:hAnsi="仿宋_GB2312" w:cs="仿宋_GB2312"/>
          <w:bCs/>
          <w:sz w:val="32"/>
          <w:szCs w:val="32"/>
        </w:rPr>
        <w:t xml:space="preserve"> 通过项目实施，攀枝花文艺创评工作得到保障。</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（二）存在的问题。</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结合自评情况，分析存在的问题及原因。</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（三）相关建议。</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针对项目自评中发现的问题，提出下一步改进完善的意见及有关政策性建议。</w:t>
      </w:r>
    </w:p>
    <w:p>
      <w:pPr>
        <w:autoSpaceDE w:val="0"/>
        <w:autoSpaceDN w:val="0"/>
        <w:adjustRightInd w:val="0"/>
        <w:spacing w:line="600" w:lineRule="exact"/>
        <w:ind w:firstLine="640" w:firstLineChars="200"/>
        <w:jc w:val="left"/>
        <w:rPr>
          <w:kern w:val="0"/>
          <w:sz w:val="32"/>
          <w:szCs w:val="32"/>
        </w:rPr>
      </w:pPr>
    </w:p>
    <w:p>
      <w:pPr>
        <w:autoSpaceDE w:val="0"/>
        <w:autoSpaceDN w:val="0"/>
        <w:adjustRightInd w:val="0"/>
        <w:spacing w:line="600" w:lineRule="exact"/>
        <w:ind w:firstLine="640" w:firstLineChars="200"/>
        <w:jc w:val="left"/>
        <w:rPr>
          <w:kern w:val="0"/>
          <w:sz w:val="32"/>
          <w:szCs w:val="32"/>
        </w:rPr>
      </w:pPr>
    </w:p>
    <w:p>
      <w:pPr>
        <w:pStyle w:val="7"/>
        <w:spacing w:line="600" w:lineRule="exact"/>
        <w:ind w:firstLine="640" w:firstLineChars="200"/>
        <w:jc w:val="left"/>
        <w:rPr>
          <w:rFonts w:ascii="黑体" w:hAnsi="黑体" w:eastAsia="黑体" w:cs="仿宋_GB2312"/>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r>
        <w:rPr>
          <w:rFonts w:hint="eastAsia" w:ascii="黑体" w:hAnsi="黑体" w:eastAsia="黑体" w:cs="黑体"/>
          <w:sz w:val="32"/>
          <w:szCs w:val="32"/>
        </w:rPr>
        <w:br w:type="page"/>
      </w:r>
    </w:p>
    <w:p>
      <w:pPr>
        <w:spacing w:line="600" w:lineRule="exact"/>
        <w:rPr>
          <w:rFonts w:ascii="仿宋_GB2312" w:hAnsi="仿宋_GB2312" w:eastAsia="黑体"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-3</w:t>
      </w:r>
    </w:p>
    <w:p>
      <w:pPr>
        <w:autoSpaceDE w:val="0"/>
        <w:autoSpaceDN w:val="0"/>
        <w:adjustRightInd w:val="0"/>
        <w:spacing w:line="58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攀枝花市文艺创评室攀枝花建设</w:t>
      </w:r>
    </w:p>
    <w:p>
      <w:pPr>
        <w:autoSpaceDE w:val="0"/>
        <w:autoSpaceDN w:val="0"/>
        <w:adjustRightInd w:val="0"/>
        <w:spacing w:line="5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55周年活动经费整体项目2020年度绩效评价报告</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一、项目概况</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（一）项目基本情况。</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1.说明项目主管部门（单位）在该项目管理中的职能。</w:t>
      </w:r>
    </w:p>
    <w:p>
      <w:pPr>
        <w:snapToGrid w:val="0"/>
        <w:spacing w:line="58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项目主管单位：攀枝花市文化广播电视和旅游局</w:t>
      </w:r>
    </w:p>
    <w:p>
      <w:pPr>
        <w:snapToGrid w:val="0"/>
        <w:spacing w:line="58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职能：牵头实施项目、编制实施方案、采购必要设备、人员队伍建设培训</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2.项目立项、资金申报的依据。</w:t>
      </w:r>
    </w:p>
    <w:p>
      <w:pPr>
        <w:snapToGrid w:val="0"/>
        <w:spacing w:line="58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攀枝花建设55周年活动经费83600元，依据攀财资教〔2020〕26号。</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3.资金管理办法制定情况，资金支持具体项目的条件、范围与支持方式概况。</w:t>
      </w:r>
    </w:p>
    <w:p>
      <w:pPr>
        <w:autoSpaceDE w:val="0"/>
        <w:autoSpaceDN w:val="0"/>
        <w:adjustRightInd w:val="0"/>
        <w:spacing w:line="580" w:lineRule="exact"/>
        <w:ind w:firstLine="640" w:firstLineChars="200"/>
        <w:jc w:val="left"/>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按照有关专项资金管理办法及规定，加强项目资金管理，确保专款专用，围绕</w:t>
      </w:r>
      <w:r>
        <w:rPr>
          <w:rFonts w:hint="eastAsia" w:ascii="仿宋_GB2312" w:hAnsi="仿宋_GB2312" w:cs="仿宋_GB2312"/>
          <w:bCs/>
          <w:sz w:val="32"/>
          <w:szCs w:val="32"/>
        </w:rPr>
        <w:t>攀枝花建设55周年系列活动</w:t>
      </w:r>
      <w:r>
        <w:rPr>
          <w:rFonts w:hint="eastAsia" w:ascii="仿宋_GB2312" w:hAnsi="仿宋_GB2312" w:cs="仿宋_GB2312"/>
          <w:color w:val="333333"/>
          <w:sz w:val="32"/>
          <w:szCs w:val="32"/>
          <w:shd w:val="clear" w:color="auto" w:fill="FFFFFF"/>
        </w:rPr>
        <w:t>，开展文学作品线上征集活动优秀作品评审、奖励、制作、展播等。</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4.资金分配的原则及考虑因素。</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该项目资金用于</w:t>
      </w:r>
      <w:r>
        <w:rPr>
          <w:rFonts w:hint="eastAsia" w:ascii="仿宋_GB2312" w:hAnsi="仿宋_GB2312" w:cs="仿宋_GB2312"/>
          <w:color w:val="333333"/>
          <w:sz w:val="32"/>
          <w:szCs w:val="32"/>
          <w:shd w:val="clear" w:color="auto" w:fill="FFFFFF"/>
        </w:rPr>
        <w:t>开展文学作品线上征集活动优秀作品评审、奖励、制作、展播等。</w:t>
      </w:r>
      <w:r>
        <w:rPr>
          <w:rFonts w:hint="eastAsia" w:ascii="仿宋_GB2312" w:hAnsi="仿宋_GB2312" w:cs="仿宋_GB2312"/>
          <w:sz w:val="32"/>
          <w:szCs w:val="32"/>
          <w:shd w:val="clear" w:color="auto" w:fill="FFFFFF"/>
        </w:rPr>
        <w:t>“弘扬三线精神，抗击新冠疫情”征文比赛活动</w:t>
      </w:r>
      <w:r>
        <w:rPr>
          <w:rFonts w:hint="eastAsia" w:ascii="仿宋_GB2312" w:hAnsi="仿宋_GB2312" w:cs="仿宋_GB2312"/>
          <w:kern w:val="0"/>
          <w:sz w:val="32"/>
          <w:szCs w:val="32"/>
        </w:rPr>
        <w:t>。</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（二）项目绩效目标。</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1.项目主要内容。</w:t>
      </w:r>
    </w:p>
    <w:p>
      <w:pPr>
        <w:autoSpaceDE w:val="0"/>
        <w:autoSpaceDN w:val="0"/>
        <w:adjustRightInd w:val="0"/>
        <w:spacing w:line="580" w:lineRule="exact"/>
        <w:ind w:firstLine="640" w:firstLineChars="200"/>
        <w:jc w:val="left"/>
        <w:rPr>
          <w:rFonts w:ascii="仿宋_GB2312" w:hAnsi="仿宋_GB2312" w:cs="仿宋_GB2312"/>
          <w:sz w:val="32"/>
          <w:szCs w:val="32"/>
          <w:shd w:val="clear" w:color="auto" w:fill="FFFFFF"/>
        </w:rPr>
      </w:pPr>
      <w:r>
        <w:rPr>
          <w:rFonts w:hint="eastAsia" w:ascii="仿宋_GB2312" w:hAnsi="仿宋_GB2312" w:cs="仿宋_GB2312"/>
          <w:color w:val="333333"/>
          <w:sz w:val="32"/>
          <w:szCs w:val="32"/>
          <w:shd w:val="clear" w:color="auto" w:fill="FFFFFF"/>
        </w:rPr>
        <w:t>围绕</w:t>
      </w:r>
      <w:r>
        <w:rPr>
          <w:rFonts w:hint="eastAsia" w:ascii="仿宋_GB2312" w:hAnsi="仿宋_GB2312" w:cs="仿宋_GB2312"/>
          <w:bCs/>
          <w:sz w:val="32"/>
          <w:szCs w:val="32"/>
        </w:rPr>
        <w:t>攀枝花建设55周年系列活动，</w:t>
      </w:r>
      <w:r>
        <w:rPr>
          <w:rFonts w:hint="eastAsia" w:ascii="仿宋_GB2312" w:hAnsi="仿宋_GB2312" w:cs="仿宋_GB2312"/>
          <w:sz w:val="32"/>
          <w:szCs w:val="32"/>
          <w:shd w:val="clear" w:color="auto" w:fill="FFFFFF"/>
        </w:rPr>
        <w:t>开展“弘扬三线精神，抗击新冠疫情”征文比赛活动</w:t>
      </w:r>
      <w:r>
        <w:rPr>
          <w:rFonts w:hint="eastAsia" w:ascii="仿宋_GB2312" w:hAnsi="仿宋_GB2312" w:cs="仿宋_GB2312"/>
          <w:kern w:val="0"/>
          <w:sz w:val="32"/>
          <w:szCs w:val="32"/>
        </w:rPr>
        <w:t>。</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2.项目应实现的具体绩效目标，包括目标的量化、细化情况以及项目实施进度计划等。</w:t>
      </w:r>
    </w:p>
    <w:p>
      <w:pPr>
        <w:spacing w:line="580" w:lineRule="exact"/>
        <w:ind w:firstLine="640" w:firstLineChars="200"/>
        <w:rPr>
          <w:rFonts w:ascii="仿宋_GB2312" w:hAnsi="仿宋_GB2312" w:cs="仿宋_GB2312"/>
          <w:sz w:val="32"/>
          <w:szCs w:val="32"/>
          <w:shd w:val="clear" w:color="auto" w:fill="FFFFFF"/>
        </w:rPr>
      </w:pPr>
      <w:r>
        <w:rPr>
          <w:rFonts w:hint="eastAsia" w:ascii="仿宋_GB2312" w:hAnsi="仿宋_GB2312" w:cs="仿宋_GB2312"/>
          <w:color w:val="333333"/>
          <w:sz w:val="32"/>
          <w:szCs w:val="32"/>
          <w:shd w:val="clear" w:color="auto" w:fill="FFFFFF"/>
        </w:rPr>
        <w:t>围绕</w:t>
      </w:r>
      <w:r>
        <w:rPr>
          <w:rFonts w:hint="eastAsia" w:ascii="仿宋_GB2312" w:hAnsi="仿宋_GB2312" w:cs="仿宋_GB2312"/>
          <w:bCs/>
          <w:sz w:val="32"/>
          <w:szCs w:val="32"/>
        </w:rPr>
        <w:t>攀枝花建设55周年系列活动，</w:t>
      </w:r>
      <w:r>
        <w:rPr>
          <w:rFonts w:hint="eastAsia" w:ascii="仿宋_GB2312" w:hAnsi="仿宋_GB2312" w:cs="仿宋_GB2312"/>
          <w:sz w:val="32"/>
          <w:szCs w:val="32"/>
          <w:shd w:val="clear" w:color="auto" w:fill="FFFFFF"/>
        </w:rPr>
        <w:t>开展艺术创评，促进艺术繁荣。 艺术创评 艺术评论 艺术研究 艺术学术书刊编辑 艺术创评人才的培养。</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3.分析评价申报内容是否与实际相符，申报目标是否合理可行。</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申报内容与实际相符，合理可行。</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二、项目资金申报及使用情况</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（一）项目资金申报及批复情况。</w:t>
      </w:r>
    </w:p>
    <w:p>
      <w:pPr>
        <w:snapToGrid w:val="0"/>
        <w:spacing w:line="580" w:lineRule="exact"/>
        <w:ind w:firstLine="640" w:firstLineChars="200"/>
        <w:rPr>
          <w:rFonts w:ascii="仿宋_GB2312" w:hAnsi="仿宋_GB2312" w:cs="仿宋_GB2312"/>
          <w:kern w:val="0"/>
          <w:sz w:val="32"/>
          <w:szCs w:val="32"/>
        </w:rPr>
      </w:pPr>
      <w:r>
        <w:rPr>
          <w:rFonts w:hint="eastAsia" w:ascii="仿宋_GB2312" w:hAnsi="仿宋_GB2312" w:cs="仿宋_GB2312"/>
          <w:bCs/>
          <w:sz w:val="32"/>
          <w:szCs w:val="32"/>
        </w:rPr>
        <w:t>攀枝花建设55周年活动经费83600元，依据攀财资教〔2020〕26号。</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（二）资金计划、到位及使用情况（可用表格形式反映）。</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1.资金计划。</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2020年项目计划资金8.36万元。</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2.资金到位。</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项目计划资金已全部到位。</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3.资金使用。</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lang w:eastAsia="zh-CN"/>
        </w:rPr>
        <w:t>截至</w:t>
      </w:r>
      <w:r>
        <w:rPr>
          <w:rFonts w:hint="eastAsia" w:ascii="仿宋_GB2312" w:hAnsi="仿宋_GB2312" w:cs="仿宋_GB2312"/>
          <w:kern w:val="0"/>
          <w:sz w:val="32"/>
          <w:szCs w:val="32"/>
        </w:rPr>
        <w:t>2020年12月31日该项目已全部列支。资金的支付范围、支付标准、支付进度、支付依据等合规合法、与预算相符。</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（三）项目财务管理情况。</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市创评室财务管理制度健全，严格执行财务管理制度，账务处理及时，会计核算规范。</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三、项目实施及管理情况</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结合项目组织实施管理办法，重点围绕以下内容进行分析评价，并对自评中发现的问题分析说明。</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（一）项目组织架构及实施流程。</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sz w:val="32"/>
          <w:szCs w:val="32"/>
          <w:shd w:val="clear" w:color="auto" w:fill="FFFFFF"/>
        </w:rPr>
        <w:t>开展艺术创评，促进艺术繁荣。 艺术创评 艺术评论 艺术研究 艺术学术书刊编辑 艺术创评人才的培养。</w:t>
      </w:r>
    </w:p>
    <w:p>
      <w:pPr>
        <w:autoSpaceDE w:val="0"/>
        <w:autoSpaceDN w:val="0"/>
        <w:adjustRightInd w:val="0"/>
        <w:spacing w:line="580" w:lineRule="exact"/>
        <w:ind w:firstLine="643" w:firstLineChars="200"/>
        <w:jc w:val="left"/>
        <w:rPr>
          <w:rFonts w:ascii="仿宋_GB2312" w:hAnsi="仿宋_GB2312" w:cs="仿宋_GB2312"/>
          <w:kern w:val="0"/>
          <w:sz w:val="32"/>
          <w:szCs w:val="32"/>
        </w:rPr>
      </w:pPr>
      <w:r>
        <w:rPr>
          <w:rFonts w:hint="eastAsia" w:ascii="楷体_GB2312" w:hAnsi="楷体_GB2312" w:eastAsia="楷体_GB2312" w:cs="楷体_GB2312"/>
          <w:b/>
          <w:bCs/>
          <w:kern w:val="0"/>
          <w:sz w:val="32"/>
          <w:szCs w:val="32"/>
        </w:rPr>
        <w:t>（二）项目管理情况。</w:t>
      </w:r>
      <w:r>
        <w:rPr>
          <w:rFonts w:hint="eastAsia" w:ascii="仿宋_GB2312" w:hAnsi="仿宋_GB2312" w:cs="仿宋_GB2312"/>
          <w:kern w:val="0"/>
          <w:sz w:val="32"/>
          <w:szCs w:val="32"/>
        </w:rPr>
        <w:t>结合项目特点，总体评价各项目实施单位执行相关法律法规及项目管理制度等情况，如招投标、政府采购、项目公示制等相关规定。</w:t>
      </w:r>
    </w:p>
    <w:p>
      <w:pPr>
        <w:spacing w:line="580" w:lineRule="exact"/>
        <w:ind w:firstLine="640" w:firstLineChars="200"/>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通过抗疫文学作品征文比赛，使我市的文艺创作和文化高地建设中发挥了积极作用，进一步提升“英雄攀枝花•阳光康养地”的知名度和影响力。</w:t>
      </w:r>
    </w:p>
    <w:p>
      <w:pPr>
        <w:autoSpaceDE w:val="0"/>
        <w:autoSpaceDN w:val="0"/>
        <w:adjustRightInd w:val="0"/>
        <w:spacing w:line="580" w:lineRule="exact"/>
        <w:ind w:firstLine="643" w:firstLineChars="200"/>
        <w:jc w:val="left"/>
        <w:rPr>
          <w:rFonts w:ascii="仿宋_GB2312" w:hAnsi="仿宋_GB2312" w:cs="仿宋_GB2312"/>
          <w:kern w:val="0"/>
          <w:sz w:val="32"/>
          <w:szCs w:val="32"/>
        </w:rPr>
      </w:pPr>
      <w:r>
        <w:rPr>
          <w:rFonts w:hint="eastAsia" w:ascii="楷体_GB2312" w:hAnsi="楷体_GB2312" w:eastAsia="楷体_GB2312" w:cs="楷体_GB2312"/>
          <w:b/>
          <w:bCs/>
          <w:kern w:val="0"/>
          <w:sz w:val="32"/>
          <w:szCs w:val="32"/>
        </w:rPr>
        <w:t>（三）项目监管情况。</w:t>
      </w:r>
      <w:r>
        <w:rPr>
          <w:rFonts w:hint="eastAsia" w:ascii="仿宋_GB2312" w:hAnsi="仿宋_GB2312" w:cs="仿宋_GB2312"/>
          <w:kern w:val="0"/>
          <w:sz w:val="32"/>
          <w:szCs w:val="32"/>
        </w:rPr>
        <w:t>说明项目主管部门为加强项目管理所采取的监管手段、监管程序、监管工作开展情况及实现的效果等。</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四、项目绩效情况</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（一）项目完成情况。</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完成45篇抗疫情优秀作品征集，并组织专家对原创文学作品进行评审。2020年底已全部完成。</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（二）项目效益情况。</w:t>
      </w:r>
    </w:p>
    <w:p>
      <w:pPr>
        <w:pStyle w:val="7"/>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经济效益成果是加强资金监管，资金使用达到了预定社会效益；社会效益成果是保证区域文化影响和谐稳定发展；生态效益成果是确保区域文化旅游健康发展；可持续影响成果是可持续影响数年以上。</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五、评价结论及建议</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（一）评价结论。</w:t>
      </w:r>
    </w:p>
    <w:p>
      <w:pPr>
        <w:snapToGrid w:val="0"/>
        <w:spacing w:line="58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 xml:space="preserve">2020年度，市文艺创评室部门支出绩效指标达到了预期设定的目标值，绩效目标完成较好。绩效指标目标完成情况分析如下： </w:t>
      </w:r>
    </w:p>
    <w:p>
      <w:pPr>
        <w:snapToGrid w:val="0"/>
        <w:spacing w:line="580" w:lineRule="exact"/>
        <w:ind w:firstLine="643" w:firstLineChars="200"/>
        <w:rPr>
          <w:rFonts w:ascii="仿宋_GB2312" w:hAnsi="仿宋_GB2312" w:cs="仿宋_GB2312"/>
          <w:bCs/>
          <w:sz w:val="32"/>
          <w:szCs w:val="32"/>
        </w:rPr>
      </w:pPr>
      <w:r>
        <w:rPr>
          <w:rFonts w:hint="eastAsia" w:ascii="仿宋_GB2312" w:hAnsi="仿宋_GB2312" w:cs="仿宋_GB2312"/>
          <w:b/>
          <w:sz w:val="32"/>
          <w:szCs w:val="32"/>
        </w:rPr>
        <w:t>1.项目决策：</w:t>
      </w:r>
      <w:r>
        <w:rPr>
          <w:rFonts w:hint="eastAsia" w:ascii="仿宋_GB2312" w:hAnsi="仿宋_GB2312" w:cs="仿宋_GB2312"/>
          <w:bCs/>
          <w:sz w:val="32"/>
          <w:szCs w:val="32"/>
        </w:rPr>
        <w:t xml:space="preserve">市文艺创评室在制定2020年度资金预算时，明确了文艺创作发展工作思路、发展目标和工作任务。 </w:t>
      </w:r>
    </w:p>
    <w:p>
      <w:pPr>
        <w:snapToGrid w:val="0"/>
        <w:spacing w:line="580" w:lineRule="exact"/>
        <w:ind w:firstLine="643" w:firstLineChars="200"/>
        <w:rPr>
          <w:rFonts w:ascii="仿宋_GB2312" w:hAnsi="仿宋_GB2312" w:cs="仿宋_GB2312"/>
          <w:bCs/>
          <w:sz w:val="32"/>
          <w:szCs w:val="32"/>
        </w:rPr>
      </w:pPr>
      <w:r>
        <w:rPr>
          <w:rFonts w:hint="eastAsia" w:ascii="仿宋_GB2312" w:hAnsi="仿宋_GB2312" w:cs="仿宋_GB2312"/>
          <w:b/>
          <w:sz w:val="32"/>
          <w:szCs w:val="32"/>
        </w:rPr>
        <w:t>2.项目管理：</w:t>
      </w:r>
      <w:r>
        <w:rPr>
          <w:rFonts w:hint="eastAsia" w:ascii="仿宋_GB2312" w:hAnsi="仿宋_GB2312" w:cs="仿宋_GB2312"/>
          <w:bCs/>
          <w:sz w:val="32"/>
          <w:szCs w:val="32"/>
        </w:rPr>
        <w:t xml:space="preserve">该项目机构健全，分工明确，资金管理制度健全，资金申报、评审、批准、下达程序规范，制定了资金分配方案，资金分配合理，资金使用合规，资金到位率100%。 </w:t>
      </w:r>
    </w:p>
    <w:p>
      <w:pPr>
        <w:snapToGrid w:val="0"/>
        <w:spacing w:line="580" w:lineRule="exact"/>
        <w:ind w:firstLine="643" w:firstLineChars="200"/>
        <w:rPr>
          <w:rFonts w:ascii="仿宋_GB2312" w:hAnsi="仿宋_GB2312" w:cs="仿宋_GB2312"/>
          <w:bCs/>
          <w:sz w:val="32"/>
          <w:szCs w:val="32"/>
        </w:rPr>
      </w:pPr>
      <w:r>
        <w:rPr>
          <w:rFonts w:hint="eastAsia" w:ascii="仿宋_GB2312" w:hAnsi="仿宋_GB2312" w:cs="仿宋_GB2312"/>
          <w:b/>
          <w:sz w:val="32"/>
          <w:szCs w:val="32"/>
        </w:rPr>
        <w:t>3.项目产出：</w:t>
      </w:r>
      <w:r>
        <w:rPr>
          <w:rFonts w:hint="eastAsia" w:ascii="仿宋_GB2312" w:hAnsi="仿宋_GB2312" w:cs="仿宋_GB2312"/>
          <w:bCs/>
          <w:sz w:val="32"/>
          <w:szCs w:val="32"/>
        </w:rPr>
        <w:t xml:space="preserve">项目产出指标实际完成情况基本达到了预期设定的目标值，产出指标的完成情况较好。 </w:t>
      </w:r>
    </w:p>
    <w:p>
      <w:pPr>
        <w:snapToGrid w:val="0"/>
        <w:spacing w:line="580" w:lineRule="exact"/>
        <w:ind w:firstLine="643" w:firstLineChars="200"/>
        <w:rPr>
          <w:rFonts w:ascii="仿宋_GB2312" w:hAnsi="仿宋_GB2312" w:cs="仿宋_GB2312"/>
          <w:bCs/>
          <w:sz w:val="32"/>
          <w:szCs w:val="32"/>
        </w:rPr>
      </w:pPr>
      <w:r>
        <w:rPr>
          <w:rFonts w:hint="eastAsia" w:ascii="仿宋_GB2312" w:hAnsi="仿宋_GB2312" w:cs="仿宋_GB2312"/>
          <w:b/>
          <w:sz w:val="32"/>
          <w:szCs w:val="32"/>
        </w:rPr>
        <w:t>4.项目效果</w:t>
      </w:r>
      <w:r>
        <w:rPr>
          <w:rFonts w:hint="eastAsia" w:ascii="仿宋_GB2312" w:hAnsi="仿宋_GB2312" w:cs="仿宋_GB2312"/>
          <w:b/>
          <w:sz w:val="32"/>
          <w:szCs w:val="32"/>
          <w:lang w:eastAsia="zh-CN"/>
        </w:rPr>
        <w:t>：</w:t>
      </w:r>
      <w:r>
        <w:rPr>
          <w:rFonts w:hint="eastAsia" w:ascii="仿宋_GB2312" w:hAnsi="仿宋_GB2312" w:cs="仿宋_GB2312"/>
          <w:bCs/>
          <w:sz w:val="32"/>
          <w:szCs w:val="32"/>
        </w:rPr>
        <w:t xml:space="preserve"> 通过项目实施，攀枝花文艺创评工作得到保障。</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（二）存在的问题。</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无</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（三）相关建议。</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无</w:t>
      </w: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r>
        <w:rPr>
          <w:rFonts w:hint="eastAsia" w:ascii="黑体" w:hAnsi="黑体" w:eastAsia="黑体" w:cs="黑体"/>
          <w:sz w:val="32"/>
          <w:szCs w:val="32"/>
        </w:rPr>
        <w:br w:type="page"/>
      </w:r>
    </w:p>
    <w:p>
      <w:pPr>
        <w:spacing w:line="600" w:lineRule="exact"/>
        <w:rPr>
          <w:rFonts w:ascii="仿宋_GB2312" w:hAnsi="仿宋_GB2312" w:eastAsia="黑体"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-4</w:t>
      </w:r>
    </w:p>
    <w:p>
      <w:pPr>
        <w:autoSpaceDE w:val="0"/>
        <w:autoSpaceDN w:val="0"/>
        <w:adjustRightInd w:val="0"/>
        <w:spacing w:line="58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攀枝花市文艺创评室2019年结转</w:t>
      </w:r>
    </w:p>
    <w:p>
      <w:pPr>
        <w:autoSpaceDE w:val="0"/>
        <w:autoSpaceDN w:val="0"/>
        <w:adjustRightInd w:val="0"/>
        <w:spacing w:line="58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省下创建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攀枝花文化整体项目2020</w:t>
      </w:r>
    </w:p>
    <w:p>
      <w:pPr>
        <w:autoSpaceDE w:val="0"/>
        <w:autoSpaceDN w:val="0"/>
        <w:adjustRightInd w:val="0"/>
        <w:spacing w:line="5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年度绩效评价报告</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一、项目概况</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（一）项目基本情况。</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1.说明项目主管部门（单位）在该项目管理中的职能。</w:t>
      </w:r>
    </w:p>
    <w:p>
      <w:pPr>
        <w:spacing w:line="580" w:lineRule="exact"/>
        <w:ind w:firstLine="640" w:firstLineChars="200"/>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在“一带一路”前提下，为挖掘“英雄攀枝花、阳光康养地”的深层文化内涵，积极开展与本土及周边的文化交流采风创作活动。攀枝花市文艺创评室紧紧围绕市委市政府规划和攀枝花市文广旅局工作目标，有条不紊地开展文化交流与采风创作活动。</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2.项目立项、资金申报的依据。</w:t>
      </w:r>
    </w:p>
    <w:p>
      <w:pPr>
        <w:snapToGrid w:val="0"/>
        <w:spacing w:line="58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2019年结转省下创建经费50000元，依据攀财资社〔2020〕1号。</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3.资金管理办法制定情况，资金支持具体项目的条件、范围与支持方式概况。</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资金管理按照市创评室内控制定的管理办法进行管理。按照协议约定，严格按照项目进度完成情况拨付资金。</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4.资金分配的原则及考虑因素。</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该项目资金直接用于文化艺术的挖掘、采访、创作、评论。不存在资金分配。</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（二）项目绩效目标。</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1.项目主要内容。</w:t>
      </w:r>
    </w:p>
    <w:p>
      <w:pPr>
        <w:spacing w:line="580" w:lineRule="exact"/>
        <w:ind w:firstLine="640" w:firstLineChars="200"/>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开展艺术创评，促进艺术繁荣。 艺术创评 艺术评论 艺术研究 艺术学术书刊编辑 艺术创评人才的培养。</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2.项目应实现的具体绩效目标，包括目标的量化、细化情况以及项目实施进度计划等。</w:t>
      </w:r>
    </w:p>
    <w:p>
      <w:pPr>
        <w:spacing w:line="580" w:lineRule="exact"/>
        <w:ind w:firstLine="640" w:firstLineChars="200"/>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2020年，市文艺创评室通过组织作家艺术家挖采访、挖掘城市原点文化、康养文化，进行文艺创作，服务于英雄攀枝花，阳光康养地，打造文化高地，促攀枝花社会经济发展。每月进行2次挖掘、采访、创作、评论，全年共计24次。</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3.分析评价申报内容是否与实际相符，申报目标是否合理可行。</w:t>
      </w:r>
    </w:p>
    <w:p>
      <w:pPr>
        <w:spacing w:line="580" w:lineRule="exact"/>
        <w:ind w:firstLine="640" w:firstLineChars="200"/>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我室采取积极主动态度和具体措施加强对文艺家、文化作者的联络协调，为进一步深入开展文艺创评工作奠定坚实的基础。在对原有重点文艺家、文化作者建立了长期联系的陈建文、毛文洪、谢天寿、王幸、赖俊熙、邓世椿、成世伦刘兴明、刘海军等作家艺术家的基础上，又增加了刘希、邓明莉、朱志成、童久容、饶宝康、蒙会仙、赵孝云、周琼、冉茂琼、朱世伦、陈继霖、徐海涛、李天全、云川、曹晓燕、李敏、王楠帧等本土艺术创作人才，形成一支有相当创作规模更具创作实力与活力的文艺创评队伍，在我市的文艺创作和文化高地建设中发挥了积极作用。</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二、项目资金申报及使用情况</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（一）项目资金申报及批复情况。</w:t>
      </w:r>
    </w:p>
    <w:p>
      <w:pPr>
        <w:snapToGrid w:val="0"/>
        <w:spacing w:line="58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2019年结转省下创建经费50000元，依据攀财资社〔2020〕1号。</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（二）资金计划、到位及使用情况（可用表格形式反映）。</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1.资金计划。</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项目计划资金5万元。</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2.资金到位。</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项目计划资金5万元已全部到位。</w:t>
      </w:r>
    </w:p>
    <w:p>
      <w:pPr>
        <w:autoSpaceDE w:val="0"/>
        <w:autoSpaceDN w:val="0"/>
        <w:adjustRightInd w:val="0"/>
        <w:spacing w:line="580" w:lineRule="exact"/>
        <w:ind w:firstLine="643" w:firstLineChars="200"/>
        <w:jc w:val="left"/>
        <w:rPr>
          <w:rFonts w:ascii="仿宋_GB2312" w:hAnsi="仿宋_GB2312" w:cs="仿宋_GB2312"/>
          <w:b/>
          <w:bCs/>
          <w:kern w:val="0"/>
          <w:sz w:val="32"/>
          <w:szCs w:val="32"/>
        </w:rPr>
      </w:pPr>
      <w:r>
        <w:rPr>
          <w:rFonts w:hint="eastAsia" w:ascii="仿宋_GB2312" w:hAnsi="仿宋_GB2312" w:cs="仿宋_GB2312"/>
          <w:b/>
          <w:bCs/>
          <w:kern w:val="0"/>
          <w:sz w:val="32"/>
          <w:szCs w:val="32"/>
        </w:rPr>
        <w:t>3.资金使用。</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lang w:eastAsia="zh-CN"/>
        </w:rPr>
        <w:t>截至</w:t>
      </w:r>
      <w:r>
        <w:rPr>
          <w:rFonts w:hint="eastAsia" w:ascii="仿宋_GB2312" w:hAnsi="仿宋_GB2312" w:cs="仿宋_GB2312"/>
          <w:kern w:val="0"/>
          <w:sz w:val="32"/>
          <w:szCs w:val="32"/>
        </w:rPr>
        <w:t>2020年12月31日该项目已全部列支。资金的支付范围、支付标准、支付进度、支付依据等合规合法、与预算相符。</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（三）项目财务管理情况。</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市创评室财务管理制度健全，严格执行财务管理制度，账务处理及时，会计核算规范。</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三、项目实施及管理情况</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结合项目组织实施管理办法，重点围绕以下内容进行分析评价，并对自评中发现的问题分析说明。</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（一）项目组织架构及实施流程。</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sz w:val="32"/>
          <w:szCs w:val="32"/>
          <w:shd w:val="clear" w:color="auto" w:fill="FFFFFF"/>
        </w:rPr>
        <w:t>开展艺术创评，促进艺术繁荣。 艺术创评 艺术评论 艺术研究 艺术学术书刊编辑 艺术创评人才的培养。</w:t>
      </w:r>
    </w:p>
    <w:p>
      <w:pPr>
        <w:autoSpaceDE w:val="0"/>
        <w:autoSpaceDN w:val="0"/>
        <w:adjustRightInd w:val="0"/>
        <w:spacing w:line="580" w:lineRule="exact"/>
        <w:ind w:firstLine="643" w:firstLineChars="200"/>
        <w:jc w:val="left"/>
        <w:rPr>
          <w:rFonts w:ascii="仿宋_GB2312" w:hAnsi="仿宋_GB2312" w:cs="仿宋_GB2312"/>
          <w:kern w:val="0"/>
          <w:sz w:val="32"/>
          <w:szCs w:val="32"/>
        </w:rPr>
      </w:pPr>
      <w:r>
        <w:rPr>
          <w:rFonts w:hint="eastAsia" w:ascii="楷体_GB2312" w:hAnsi="楷体_GB2312" w:eastAsia="楷体_GB2312" w:cs="楷体_GB2312"/>
          <w:b/>
          <w:bCs/>
          <w:kern w:val="0"/>
          <w:sz w:val="32"/>
          <w:szCs w:val="32"/>
        </w:rPr>
        <w:t>（二）项目管理情况。</w:t>
      </w:r>
      <w:r>
        <w:rPr>
          <w:rFonts w:hint="eastAsia" w:ascii="仿宋_GB2312" w:hAnsi="仿宋_GB2312" w:cs="仿宋_GB2312"/>
          <w:kern w:val="0"/>
          <w:sz w:val="32"/>
          <w:szCs w:val="32"/>
        </w:rPr>
        <w:t>结合项目特点，总体评价各项目实施单位执行相关法律法规及项目管理制度等情况，如招投标、政府采购、项目公示制等相关规定。</w:t>
      </w:r>
    </w:p>
    <w:p>
      <w:pPr>
        <w:spacing w:line="580" w:lineRule="exact"/>
        <w:ind w:firstLine="640" w:firstLineChars="200"/>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通过挖掘、采访、创作、评论，使我市的文艺创作和文化高地建设中发挥了积极作用，进一步提升“英雄攀枝花•阳光康养地”的知名度和影响力。</w:t>
      </w:r>
    </w:p>
    <w:p>
      <w:pPr>
        <w:autoSpaceDE w:val="0"/>
        <w:autoSpaceDN w:val="0"/>
        <w:adjustRightInd w:val="0"/>
        <w:spacing w:line="580" w:lineRule="exact"/>
        <w:ind w:firstLine="643" w:firstLineChars="200"/>
        <w:jc w:val="left"/>
        <w:rPr>
          <w:rFonts w:ascii="仿宋_GB2312" w:hAnsi="仿宋_GB2312" w:cs="仿宋_GB2312"/>
          <w:kern w:val="0"/>
          <w:sz w:val="32"/>
          <w:szCs w:val="32"/>
        </w:rPr>
      </w:pPr>
      <w:r>
        <w:rPr>
          <w:rFonts w:hint="eastAsia" w:ascii="楷体_GB2312" w:hAnsi="楷体_GB2312" w:eastAsia="楷体_GB2312" w:cs="楷体_GB2312"/>
          <w:b/>
          <w:bCs/>
          <w:kern w:val="0"/>
          <w:sz w:val="32"/>
          <w:szCs w:val="32"/>
        </w:rPr>
        <w:t>（三）项目监管情况。</w:t>
      </w:r>
      <w:r>
        <w:rPr>
          <w:rFonts w:hint="eastAsia" w:ascii="仿宋_GB2312" w:hAnsi="仿宋_GB2312" w:cs="仿宋_GB2312"/>
          <w:kern w:val="0"/>
          <w:sz w:val="32"/>
          <w:szCs w:val="32"/>
        </w:rPr>
        <w:t>说明项目主管部门为加强项目管理所采取的监管手段、监管程序、监管工作开展情况及实现的效果等。</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四、项目绩效情况</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（一）项目完成情况。</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项目完成杂志4期，每期200册，完成挖掘、采访、创作、评论次数24次，2020年底已全部完成。</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（二）项目效益情况。</w:t>
      </w:r>
    </w:p>
    <w:p>
      <w:pPr>
        <w:pStyle w:val="7"/>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经济效益成果是加强资金监管，资金使用达到了预定社会效益；社会效益成果是保证区域文化影响和谐稳定发展；生态效益成果是确保区域文化旅游健康发展；可持续影响成果是可持续影响数年以上。</w:t>
      </w:r>
    </w:p>
    <w:p>
      <w:pPr>
        <w:autoSpaceDE w:val="0"/>
        <w:autoSpaceDN w:val="0"/>
        <w:adjustRightInd w:val="0"/>
        <w:spacing w:line="58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五、评价结论及建议</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（一）评价结论。</w:t>
      </w:r>
    </w:p>
    <w:p>
      <w:pPr>
        <w:snapToGrid w:val="0"/>
        <w:spacing w:line="58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 xml:space="preserve">2020年度，市文艺创评室部门支出绩效指标达到了预期设定的目标值，绩效目标完成较好。绩效指标目标完成情况分析如下： </w:t>
      </w:r>
    </w:p>
    <w:p>
      <w:pPr>
        <w:snapToGrid w:val="0"/>
        <w:spacing w:line="580" w:lineRule="exact"/>
        <w:ind w:firstLine="643" w:firstLineChars="200"/>
        <w:rPr>
          <w:rFonts w:ascii="仿宋_GB2312" w:hAnsi="仿宋_GB2312" w:cs="仿宋_GB2312"/>
          <w:bCs/>
          <w:sz w:val="32"/>
          <w:szCs w:val="32"/>
        </w:rPr>
      </w:pPr>
      <w:r>
        <w:rPr>
          <w:rFonts w:hint="eastAsia" w:ascii="仿宋_GB2312" w:hAnsi="仿宋_GB2312" w:cs="仿宋_GB2312"/>
          <w:b/>
          <w:sz w:val="32"/>
          <w:szCs w:val="32"/>
        </w:rPr>
        <w:t>1.项目决策：</w:t>
      </w:r>
      <w:r>
        <w:rPr>
          <w:rFonts w:hint="eastAsia" w:ascii="仿宋_GB2312" w:hAnsi="仿宋_GB2312" w:cs="仿宋_GB2312"/>
          <w:bCs/>
          <w:sz w:val="32"/>
          <w:szCs w:val="32"/>
        </w:rPr>
        <w:t xml:space="preserve">市文艺创评室在制定2020年度资金预算时，明确了文艺创作发展工作思路、发展目标和工作任务。 </w:t>
      </w:r>
    </w:p>
    <w:p>
      <w:pPr>
        <w:snapToGrid w:val="0"/>
        <w:spacing w:line="580" w:lineRule="exact"/>
        <w:ind w:firstLine="643" w:firstLineChars="200"/>
        <w:rPr>
          <w:rFonts w:ascii="仿宋_GB2312" w:hAnsi="仿宋_GB2312" w:cs="仿宋_GB2312"/>
          <w:bCs/>
          <w:sz w:val="32"/>
          <w:szCs w:val="32"/>
        </w:rPr>
      </w:pPr>
      <w:r>
        <w:rPr>
          <w:rFonts w:hint="eastAsia" w:ascii="仿宋_GB2312" w:hAnsi="仿宋_GB2312" w:cs="仿宋_GB2312"/>
          <w:b/>
          <w:sz w:val="32"/>
          <w:szCs w:val="32"/>
        </w:rPr>
        <w:t>2.项目管理：</w:t>
      </w:r>
      <w:r>
        <w:rPr>
          <w:rFonts w:hint="eastAsia" w:ascii="仿宋_GB2312" w:hAnsi="仿宋_GB2312" w:cs="仿宋_GB2312"/>
          <w:bCs/>
          <w:sz w:val="32"/>
          <w:szCs w:val="32"/>
        </w:rPr>
        <w:t xml:space="preserve">该项目机构健全，分工明确，资金管理制度健全，资金申报、评审、批准、下达程序规范，制定了资金分配方案，资金分配合理，资金使用合规，资金到位率100%。 </w:t>
      </w:r>
    </w:p>
    <w:p>
      <w:pPr>
        <w:snapToGrid w:val="0"/>
        <w:spacing w:line="580" w:lineRule="exact"/>
        <w:ind w:firstLine="643" w:firstLineChars="200"/>
        <w:rPr>
          <w:rFonts w:ascii="仿宋_GB2312" w:hAnsi="仿宋_GB2312" w:cs="仿宋_GB2312"/>
          <w:bCs/>
          <w:sz w:val="32"/>
          <w:szCs w:val="32"/>
        </w:rPr>
      </w:pPr>
      <w:r>
        <w:rPr>
          <w:rFonts w:hint="eastAsia" w:ascii="仿宋_GB2312" w:hAnsi="仿宋_GB2312" w:cs="仿宋_GB2312"/>
          <w:b/>
          <w:sz w:val="32"/>
          <w:szCs w:val="32"/>
        </w:rPr>
        <w:t>3.项目产出：</w:t>
      </w:r>
      <w:r>
        <w:rPr>
          <w:rFonts w:hint="eastAsia" w:ascii="仿宋_GB2312" w:hAnsi="仿宋_GB2312" w:cs="仿宋_GB2312"/>
          <w:bCs/>
          <w:sz w:val="32"/>
          <w:szCs w:val="32"/>
        </w:rPr>
        <w:t xml:space="preserve">项目产出指标实际完成情况基本达到了预期设定的目标值，产出指标的完成情况较好。 </w:t>
      </w:r>
    </w:p>
    <w:p>
      <w:pPr>
        <w:snapToGrid w:val="0"/>
        <w:spacing w:line="580" w:lineRule="exact"/>
        <w:ind w:firstLine="643" w:firstLineChars="200"/>
        <w:rPr>
          <w:rFonts w:ascii="仿宋_GB2312" w:hAnsi="仿宋_GB2312" w:cs="仿宋_GB2312"/>
          <w:bCs/>
          <w:sz w:val="32"/>
          <w:szCs w:val="32"/>
        </w:rPr>
      </w:pPr>
      <w:r>
        <w:rPr>
          <w:rFonts w:hint="eastAsia" w:ascii="仿宋_GB2312" w:hAnsi="仿宋_GB2312" w:cs="仿宋_GB2312"/>
          <w:b/>
          <w:sz w:val="32"/>
          <w:szCs w:val="32"/>
        </w:rPr>
        <w:t>4.项目效果</w:t>
      </w:r>
      <w:r>
        <w:rPr>
          <w:rFonts w:hint="eastAsia" w:ascii="仿宋_GB2312" w:hAnsi="仿宋_GB2312" w:cs="仿宋_GB2312"/>
          <w:b/>
          <w:sz w:val="32"/>
          <w:szCs w:val="32"/>
          <w:lang w:eastAsia="zh-CN"/>
        </w:rPr>
        <w:t>：</w:t>
      </w:r>
      <w:r>
        <w:rPr>
          <w:rFonts w:hint="eastAsia" w:ascii="仿宋_GB2312" w:hAnsi="仿宋_GB2312" w:cs="仿宋_GB2312"/>
          <w:bCs/>
          <w:sz w:val="32"/>
          <w:szCs w:val="32"/>
        </w:rPr>
        <w:t xml:space="preserve"> 通过项目实施，攀枝花文艺创评工作得到保障。</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（二）存在的问题。</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无</w:t>
      </w:r>
    </w:p>
    <w:p>
      <w:pPr>
        <w:autoSpaceDE w:val="0"/>
        <w:autoSpaceDN w:val="0"/>
        <w:adjustRightInd w:val="0"/>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（三）相关建议。</w:t>
      </w:r>
    </w:p>
    <w:p>
      <w:pPr>
        <w:autoSpaceDE w:val="0"/>
        <w:autoSpaceDN w:val="0"/>
        <w:adjustRightInd w:val="0"/>
        <w:spacing w:line="580" w:lineRule="exact"/>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无</w:t>
      </w:r>
    </w:p>
    <w:p>
      <w:pPr>
        <w:autoSpaceDE w:val="0"/>
        <w:autoSpaceDN w:val="0"/>
        <w:adjustRightInd w:val="0"/>
        <w:spacing w:line="580" w:lineRule="exact"/>
        <w:ind w:firstLine="640" w:firstLineChars="200"/>
        <w:jc w:val="left"/>
        <w:rPr>
          <w:rFonts w:ascii="仿宋_GB2312" w:hAnsi="仿宋_GB2312" w:cs="仿宋_GB2312"/>
          <w:kern w:val="0"/>
          <w:sz w:val="32"/>
          <w:szCs w:val="32"/>
        </w:rPr>
      </w:pPr>
    </w:p>
    <w:p>
      <w:pPr>
        <w:autoSpaceDE w:val="0"/>
        <w:autoSpaceDN w:val="0"/>
        <w:adjustRightInd w:val="0"/>
        <w:spacing w:line="600" w:lineRule="exact"/>
        <w:ind w:firstLine="640" w:firstLineChars="200"/>
        <w:jc w:val="left"/>
        <w:rPr>
          <w:rFonts w:ascii="仿宋_GB2312" w:hAnsi="仿宋_GB2312" w:cs="仿宋_GB2312"/>
          <w:kern w:val="0"/>
          <w:sz w:val="32"/>
          <w:szCs w:val="32"/>
        </w:rPr>
      </w:pPr>
    </w:p>
    <w:p>
      <w:pPr>
        <w:pStyle w:val="7"/>
        <w:spacing w:line="600" w:lineRule="exact"/>
        <w:ind w:firstLine="640" w:firstLineChars="200"/>
        <w:jc w:val="left"/>
        <w:rPr>
          <w:rFonts w:ascii="黑体" w:hAnsi="黑体" w:eastAsia="黑体" w:cs="仿宋_GB2312"/>
          <w:sz w:val="32"/>
          <w:szCs w:val="32"/>
        </w:rPr>
      </w:pPr>
    </w:p>
    <w:p>
      <w:pPr>
        <w:pStyle w:val="7"/>
        <w:spacing w:line="600" w:lineRule="exact"/>
        <w:ind w:firstLine="640" w:firstLineChars="200"/>
        <w:jc w:val="left"/>
        <w:rPr>
          <w:rFonts w:ascii="黑体" w:hAnsi="黑体" w:eastAsia="黑体" w:cs="仿宋_GB2312"/>
          <w:sz w:val="32"/>
          <w:szCs w:val="32"/>
        </w:rPr>
      </w:pPr>
    </w:p>
    <w:p>
      <w:pPr>
        <w:pStyle w:val="7"/>
        <w:spacing w:line="600" w:lineRule="exact"/>
        <w:ind w:firstLine="640" w:firstLineChars="200"/>
        <w:jc w:val="left"/>
        <w:rPr>
          <w:rFonts w:ascii="黑体" w:hAnsi="黑体" w:eastAsia="黑体" w:cs="仿宋_GB2312"/>
          <w:sz w:val="32"/>
          <w:szCs w:val="32"/>
        </w:rPr>
      </w:pPr>
    </w:p>
    <w:p>
      <w:pPr>
        <w:pStyle w:val="7"/>
        <w:spacing w:line="600" w:lineRule="exact"/>
        <w:ind w:firstLine="640" w:firstLineChars="200"/>
        <w:jc w:val="left"/>
        <w:rPr>
          <w:rFonts w:ascii="黑体" w:hAnsi="黑体" w:eastAsia="黑体" w:cs="仿宋_GB2312"/>
          <w:sz w:val="32"/>
          <w:szCs w:val="32"/>
        </w:rPr>
      </w:pPr>
    </w:p>
    <w:p>
      <w:pPr>
        <w:pStyle w:val="7"/>
        <w:spacing w:line="600" w:lineRule="exact"/>
        <w:ind w:firstLine="640" w:firstLineChars="200"/>
        <w:jc w:val="left"/>
        <w:rPr>
          <w:rFonts w:ascii="黑体" w:hAnsi="黑体" w:eastAsia="黑体" w:cs="仿宋_GB2312"/>
          <w:sz w:val="32"/>
          <w:szCs w:val="32"/>
        </w:rPr>
      </w:pPr>
    </w:p>
    <w:p>
      <w:pPr>
        <w:pStyle w:val="7"/>
        <w:spacing w:line="600" w:lineRule="exact"/>
        <w:ind w:firstLine="640" w:firstLineChars="200"/>
        <w:jc w:val="left"/>
        <w:rPr>
          <w:rFonts w:ascii="黑体" w:hAnsi="黑体" w:eastAsia="黑体" w:cs="仿宋_GB2312"/>
          <w:sz w:val="32"/>
          <w:szCs w:val="32"/>
        </w:rPr>
      </w:pPr>
    </w:p>
    <w:p>
      <w:pPr>
        <w:pStyle w:val="7"/>
        <w:spacing w:line="600" w:lineRule="exact"/>
        <w:ind w:firstLine="640" w:firstLineChars="200"/>
        <w:jc w:val="left"/>
        <w:rPr>
          <w:rFonts w:ascii="黑体" w:hAnsi="黑体" w:eastAsia="黑体" w:cs="仿宋_GB2312"/>
          <w:sz w:val="32"/>
          <w:szCs w:val="32"/>
        </w:rPr>
      </w:pPr>
    </w:p>
    <w:p>
      <w:pPr>
        <w:pStyle w:val="7"/>
        <w:spacing w:line="600" w:lineRule="exact"/>
        <w:ind w:firstLine="640" w:firstLineChars="200"/>
        <w:jc w:val="left"/>
        <w:rPr>
          <w:rFonts w:ascii="黑体" w:hAnsi="黑体" w:eastAsia="黑体" w:cs="仿宋_GB2312"/>
          <w:sz w:val="32"/>
          <w:szCs w:val="32"/>
        </w:rPr>
      </w:pPr>
    </w:p>
    <w:p>
      <w:pPr>
        <w:pStyle w:val="7"/>
        <w:spacing w:line="600" w:lineRule="exact"/>
        <w:ind w:firstLine="640" w:firstLineChars="200"/>
        <w:jc w:val="left"/>
        <w:rPr>
          <w:rFonts w:ascii="黑体" w:hAnsi="黑体" w:eastAsia="黑体" w:cs="仿宋_GB2312"/>
          <w:sz w:val="32"/>
          <w:szCs w:val="32"/>
        </w:rPr>
      </w:pPr>
    </w:p>
    <w:p>
      <w:pPr>
        <w:pStyle w:val="7"/>
        <w:spacing w:line="600" w:lineRule="exact"/>
        <w:ind w:firstLine="640" w:firstLineChars="200"/>
        <w:jc w:val="left"/>
        <w:rPr>
          <w:rFonts w:ascii="黑体" w:hAnsi="黑体" w:eastAsia="黑体" w:cs="仿宋_GB2312"/>
          <w:sz w:val="32"/>
          <w:szCs w:val="32"/>
        </w:rPr>
      </w:pPr>
    </w:p>
    <w:p>
      <w:pPr>
        <w:pStyle w:val="7"/>
        <w:spacing w:line="600" w:lineRule="exact"/>
        <w:ind w:firstLine="640" w:firstLineChars="200"/>
        <w:jc w:val="left"/>
        <w:rPr>
          <w:rFonts w:ascii="黑体" w:hAnsi="黑体" w:eastAsia="黑体" w:cs="仿宋_GB2312"/>
          <w:sz w:val="32"/>
          <w:szCs w:val="32"/>
        </w:rPr>
      </w:pPr>
    </w:p>
    <w:p>
      <w:pPr>
        <w:spacing w:line="600" w:lineRule="exact"/>
        <w:jc w:val="center"/>
        <w:outlineLvl w:val="0"/>
        <w:rPr>
          <w:rFonts w:ascii="黑体" w:hAnsi="黑体" w:eastAsia="黑体"/>
          <w:color w:val="000000"/>
          <w:sz w:val="44"/>
          <w:szCs w:val="44"/>
        </w:rPr>
      </w:pPr>
      <w:bookmarkStart w:id="89" w:name="_Toc15396618"/>
    </w:p>
    <w:p>
      <w:pPr>
        <w:spacing w:line="600" w:lineRule="exact"/>
        <w:jc w:val="center"/>
        <w:outlineLvl w:val="0"/>
        <w:rPr>
          <w:rFonts w:ascii="黑体" w:hAnsi="黑体" w:eastAsia="黑体"/>
          <w:color w:val="000000"/>
          <w:sz w:val="44"/>
          <w:szCs w:val="44"/>
        </w:rPr>
      </w:pPr>
    </w:p>
    <w:bookmarkEnd w:id="84"/>
    <w:bookmarkEnd w:id="89"/>
    <w:p>
      <w:pPr>
        <w:pStyle w:val="3"/>
        <w:spacing w:line="600" w:lineRule="exact"/>
        <w:jc w:val="center"/>
        <w:rPr>
          <w:rStyle w:val="21"/>
          <w:rFonts w:ascii="黑体" w:hAnsi="黑体" w:eastAsia="黑体" w:cs="黑体"/>
          <w:b w:val="0"/>
          <w:bCs w:val="0"/>
          <w:sz w:val="44"/>
          <w:szCs w:val="44"/>
        </w:rPr>
      </w:pPr>
      <w:r>
        <w:rPr>
          <w:rStyle w:val="21"/>
          <w:rFonts w:hint="eastAsia" w:ascii="黑体" w:hAnsi="黑体" w:eastAsia="黑体" w:cs="黑体"/>
          <w:b w:val="0"/>
          <w:bCs w:val="0"/>
          <w:sz w:val="44"/>
          <w:szCs w:val="44"/>
        </w:rPr>
        <w:t>第五部分附表</w:t>
      </w:r>
    </w:p>
    <w:p>
      <w:pPr>
        <w:pStyle w:val="3"/>
        <w:spacing w:line="600" w:lineRule="exact"/>
        <w:rPr>
          <w:rStyle w:val="21"/>
          <w:rFonts w:ascii="仿宋" w:hAnsi="仿宋" w:eastAsia="仿宋"/>
          <w:b w:val="0"/>
          <w:bCs w:val="0"/>
        </w:rPr>
      </w:pPr>
      <w:r>
        <w:rPr>
          <w:rStyle w:val="21"/>
          <w:rFonts w:hint="eastAsia" w:ascii="仿宋" w:hAnsi="仿宋" w:eastAsia="仿宋"/>
          <w:b w:val="0"/>
          <w:bCs w:val="0"/>
        </w:rPr>
        <w:t>一、收入支出决算总表</w:t>
      </w:r>
    </w:p>
    <w:p>
      <w:pPr>
        <w:pStyle w:val="3"/>
        <w:spacing w:line="600" w:lineRule="exact"/>
        <w:rPr>
          <w:rFonts w:ascii="仿宋" w:hAnsi="仿宋" w:eastAsia="仿宋"/>
          <w:color w:val="000000"/>
        </w:rPr>
      </w:pPr>
      <w:bookmarkStart w:id="90" w:name="_Toc15396620"/>
      <w:bookmarkStart w:id="91" w:name="_Toc24926"/>
      <w:r>
        <w:rPr>
          <w:rFonts w:hint="eastAsia" w:ascii="仿宋" w:hAnsi="仿宋" w:eastAsia="仿宋"/>
          <w:b w:val="0"/>
          <w:color w:val="000000"/>
        </w:rPr>
        <w:t>二、收</w:t>
      </w:r>
      <w:r>
        <w:rPr>
          <w:rStyle w:val="21"/>
          <w:rFonts w:hint="eastAsia" w:ascii="仿宋" w:hAnsi="仿宋" w:eastAsia="仿宋"/>
          <w:b w:val="0"/>
          <w:bCs w:val="0"/>
        </w:rPr>
        <w:t>入决算表</w:t>
      </w:r>
      <w:bookmarkEnd w:id="90"/>
      <w:bookmarkEnd w:id="91"/>
    </w:p>
    <w:p>
      <w:pPr>
        <w:pStyle w:val="3"/>
        <w:spacing w:line="600" w:lineRule="exact"/>
        <w:rPr>
          <w:rFonts w:ascii="仿宋" w:hAnsi="仿宋" w:eastAsia="仿宋"/>
          <w:color w:val="000000"/>
        </w:rPr>
      </w:pPr>
      <w:bookmarkStart w:id="92" w:name="_Toc26574"/>
      <w:bookmarkStart w:id="93" w:name="_Toc15396621"/>
      <w:r>
        <w:rPr>
          <w:rStyle w:val="21"/>
          <w:rFonts w:hint="eastAsia" w:ascii="仿宋" w:hAnsi="仿宋" w:eastAsia="仿宋"/>
          <w:b w:val="0"/>
          <w:bCs w:val="0"/>
        </w:rPr>
        <w:t>三、</w:t>
      </w:r>
      <w:r>
        <w:rPr>
          <w:rFonts w:hint="eastAsia" w:ascii="仿宋" w:hAnsi="仿宋" w:eastAsia="仿宋"/>
          <w:b w:val="0"/>
          <w:color w:val="000000"/>
        </w:rPr>
        <w:t>支</w:t>
      </w:r>
      <w:r>
        <w:rPr>
          <w:rStyle w:val="21"/>
          <w:rFonts w:hint="eastAsia" w:ascii="仿宋" w:hAnsi="仿宋" w:eastAsia="仿宋"/>
          <w:b w:val="0"/>
          <w:bCs w:val="0"/>
        </w:rPr>
        <w:t>出决算表</w:t>
      </w:r>
      <w:bookmarkEnd w:id="92"/>
      <w:bookmarkEnd w:id="93"/>
    </w:p>
    <w:p>
      <w:pPr>
        <w:pStyle w:val="3"/>
        <w:spacing w:line="600" w:lineRule="exact"/>
        <w:rPr>
          <w:rFonts w:ascii="仿宋" w:hAnsi="仿宋" w:eastAsia="仿宋"/>
          <w:b w:val="0"/>
          <w:color w:val="000000"/>
        </w:rPr>
      </w:pPr>
      <w:bookmarkStart w:id="94" w:name="_Toc26148"/>
      <w:bookmarkStart w:id="95" w:name="_Toc15396622"/>
      <w:r>
        <w:rPr>
          <w:rStyle w:val="21"/>
          <w:rFonts w:hint="eastAsia" w:ascii="仿宋" w:hAnsi="仿宋" w:eastAsia="仿宋"/>
          <w:b w:val="0"/>
          <w:bCs w:val="0"/>
        </w:rPr>
        <w:t>四、</w:t>
      </w:r>
      <w:r>
        <w:rPr>
          <w:rFonts w:hint="eastAsia" w:ascii="仿宋" w:hAnsi="仿宋" w:eastAsia="仿宋"/>
          <w:b w:val="0"/>
          <w:color w:val="000000"/>
        </w:rPr>
        <w:t>财</w:t>
      </w:r>
      <w:r>
        <w:rPr>
          <w:rStyle w:val="21"/>
          <w:rFonts w:hint="eastAsia" w:ascii="仿宋" w:hAnsi="仿宋" w:eastAsia="仿宋"/>
          <w:b w:val="0"/>
          <w:bCs w:val="0"/>
        </w:rPr>
        <w:t>政拨款收入支出决算总表</w:t>
      </w:r>
      <w:bookmarkEnd w:id="94"/>
      <w:bookmarkEnd w:id="95"/>
    </w:p>
    <w:p>
      <w:pPr>
        <w:pStyle w:val="3"/>
        <w:spacing w:line="600" w:lineRule="exact"/>
        <w:rPr>
          <w:rStyle w:val="21"/>
          <w:rFonts w:ascii="仿宋" w:hAnsi="仿宋" w:eastAsia="仿宋"/>
          <w:b w:val="0"/>
          <w:bCs w:val="0"/>
        </w:rPr>
      </w:pPr>
      <w:bookmarkStart w:id="96" w:name="_Toc15396623"/>
      <w:bookmarkStart w:id="97" w:name="_Toc5983"/>
      <w:r>
        <w:rPr>
          <w:rStyle w:val="21"/>
          <w:rFonts w:hint="eastAsia" w:ascii="仿宋" w:hAnsi="仿宋" w:eastAsia="仿宋"/>
          <w:b w:val="0"/>
          <w:bCs w:val="0"/>
        </w:rPr>
        <w:t>五、</w:t>
      </w:r>
      <w:r>
        <w:rPr>
          <w:rFonts w:hint="eastAsia" w:ascii="仿宋" w:hAnsi="仿宋" w:eastAsia="仿宋"/>
          <w:b w:val="0"/>
          <w:color w:val="000000"/>
        </w:rPr>
        <w:t>财</w:t>
      </w:r>
      <w:r>
        <w:rPr>
          <w:rStyle w:val="21"/>
          <w:rFonts w:hint="eastAsia" w:ascii="仿宋" w:hAnsi="仿宋" w:eastAsia="仿宋"/>
          <w:b w:val="0"/>
          <w:bCs w:val="0"/>
        </w:rPr>
        <w:t>政拨款支出决算明细表</w:t>
      </w:r>
      <w:bookmarkEnd w:id="96"/>
      <w:bookmarkEnd w:id="97"/>
      <w:bookmarkStart w:id="98" w:name="_Toc15396624"/>
    </w:p>
    <w:p>
      <w:pPr>
        <w:pStyle w:val="3"/>
        <w:spacing w:line="600" w:lineRule="exact"/>
        <w:rPr>
          <w:rFonts w:ascii="仿宋" w:hAnsi="仿宋" w:eastAsia="仿宋"/>
          <w:color w:val="000000"/>
        </w:rPr>
      </w:pPr>
      <w:bookmarkStart w:id="99" w:name="_Toc7017"/>
      <w:r>
        <w:rPr>
          <w:rStyle w:val="21"/>
          <w:rFonts w:hint="eastAsia" w:ascii="仿宋" w:hAnsi="仿宋" w:eastAsia="仿宋"/>
          <w:b w:val="0"/>
          <w:bCs w:val="0"/>
        </w:rPr>
        <w:t>六、</w:t>
      </w:r>
      <w:r>
        <w:rPr>
          <w:rFonts w:hint="eastAsia" w:ascii="仿宋" w:hAnsi="仿宋" w:eastAsia="仿宋"/>
          <w:b w:val="0"/>
          <w:color w:val="000000"/>
        </w:rPr>
        <w:t>一</w:t>
      </w:r>
      <w:r>
        <w:rPr>
          <w:rStyle w:val="21"/>
          <w:rFonts w:hint="eastAsia" w:ascii="仿宋" w:hAnsi="仿宋" w:eastAsia="仿宋"/>
          <w:b w:val="0"/>
          <w:bCs w:val="0"/>
        </w:rPr>
        <w:t>般公共预算财政拨款支出决算表</w:t>
      </w:r>
      <w:bookmarkEnd w:id="98"/>
      <w:bookmarkEnd w:id="99"/>
    </w:p>
    <w:p>
      <w:pPr>
        <w:pStyle w:val="3"/>
        <w:spacing w:line="600" w:lineRule="exact"/>
        <w:rPr>
          <w:rFonts w:ascii="仿宋" w:hAnsi="仿宋" w:eastAsia="仿宋"/>
          <w:color w:val="000000"/>
        </w:rPr>
      </w:pPr>
      <w:bookmarkStart w:id="100" w:name="_Toc13002"/>
      <w:bookmarkStart w:id="101" w:name="_Toc15396625"/>
      <w:r>
        <w:rPr>
          <w:rStyle w:val="21"/>
          <w:rFonts w:hint="eastAsia" w:ascii="仿宋" w:hAnsi="仿宋" w:eastAsia="仿宋"/>
          <w:b w:val="0"/>
          <w:bCs w:val="0"/>
        </w:rPr>
        <w:t>七、</w:t>
      </w:r>
      <w:r>
        <w:rPr>
          <w:rFonts w:hint="eastAsia" w:ascii="仿宋" w:hAnsi="仿宋" w:eastAsia="仿宋"/>
          <w:b w:val="0"/>
          <w:color w:val="000000"/>
        </w:rPr>
        <w:t>一</w:t>
      </w:r>
      <w:r>
        <w:rPr>
          <w:rStyle w:val="21"/>
          <w:rFonts w:hint="eastAsia" w:ascii="仿宋" w:hAnsi="仿宋" w:eastAsia="仿宋"/>
          <w:b w:val="0"/>
          <w:bCs w:val="0"/>
        </w:rPr>
        <w:t>般公共预算财政拨款支出决算明细表</w:t>
      </w:r>
      <w:bookmarkEnd w:id="100"/>
      <w:bookmarkEnd w:id="101"/>
    </w:p>
    <w:p>
      <w:pPr>
        <w:pStyle w:val="3"/>
        <w:spacing w:line="600" w:lineRule="exact"/>
        <w:rPr>
          <w:rFonts w:ascii="仿宋" w:hAnsi="仿宋" w:eastAsia="仿宋"/>
          <w:color w:val="000000"/>
        </w:rPr>
      </w:pPr>
      <w:bookmarkStart w:id="102" w:name="_Toc537"/>
      <w:bookmarkStart w:id="103" w:name="_Toc15396626"/>
      <w:r>
        <w:rPr>
          <w:rStyle w:val="21"/>
          <w:rFonts w:hint="eastAsia" w:ascii="仿宋" w:hAnsi="仿宋" w:eastAsia="仿宋"/>
          <w:b w:val="0"/>
          <w:bCs w:val="0"/>
        </w:rPr>
        <w:t>八、</w:t>
      </w:r>
      <w:r>
        <w:rPr>
          <w:rFonts w:hint="eastAsia" w:ascii="仿宋" w:hAnsi="仿宋" w:eastAsia="仿宋"/>
          <w:b w:val="0"/>
          <w:color w:val="000000"/>
        </w:rPr>
        <w:t>一</w:t>
      </w:r>
      <w:r>
        <w:rPr>
          <w:rStyle w:val="21"/>
          <w:rFonts w:hint="eastAsia" w:ascii="仿宋" w:hAnsi="仿宋" w:eastAsia="仿宋"/>
          <w:b w:val="0"/>
          <w:bCs w:val="0"/>
        </w:rPr>
        <w:t>般公共预算财政拨款基本支出决算表</w:t>
      </w:r>
      <w:bookmarkEnd w:id="102"/>
      <w:bookmarkEnd w:id="103"/>
    </w:p>
    <w:p>
      <w:pPr>
        <w:pStyle w:val="3"/>
        <w:spacing w:line="600" w:lineRule="exact"/>
        <w:rPr>
          <w:rFonts w:ascii="仿宋" w:hAnsi="仿宋" w:eastAsia="仿宋"/>
          <w:color w:val="000000"/>
        </w:rPr>
      </w:pPr>
      <w:bookmarkStart w:id="104" w:name="_Toc15396627"/>
      <w:bookmarkStart w:id="105" w:name="_Toc5126"/>
      <w:r>
        <w:rPr>
          <w:rStyle w:val="21"/>
          <w:rFonts w:hint="eastAsia" w:ascii="仿宋" w:hAnsi="仿宋" w:eastAsia="仿宋"/>
          <w:b w:val="0"/>
          <w:bCs w:val="0"/>
        </w:rPr>
        <w:t>九、</w:t>
      </w:r>
      <w:r>
        <w:rPr>
          <w:rFonts w:hint="eastAsia" w:ascii="仿宋" w:hAnsi="仿宋" w:eastAsia="仿宋"/>
          <w:b w:val="0"/>
          <w:color w:val="000000"/>
        </w:rPr>
        <w:t>一</w:t>
      </w:r>
      <w:r>
        <w:rPr>
          <w:rStyle w:val="21"/>
          <w:rFonts w:hint="eastAsia" w:ascii="仿宋" w:hAnsi="仿宋" w:eastAsia="仿宋"/>
          <w:b w:val="0"/>
          <w:bCs w:val="0"/>
        </w:rPr>
        <w:t>般公共预算财政拨款项目支出决算表</w:t>
      </w:r>
      <w:bookmarkEnd w:id="104"/>
      <w:bookmarkEnd w:id="105"/>
    </w:p>
    <w:p>
      <w:pPr>
        <w:pStyle w:val="3"/>
        <w:spacing w:line="600" w:lineRule="exact"/>
        <w:rPr>
          <w:rFonts w:ascii="仿宋" w:hAnsi="仿宋" w:eastAsia="仿宋"/>
          <w:color w:val="000000"/>
        </w:rPr>
      </w:pPr>
      <w:bookmarkStart w:id="106" w:name="_Toc15396628"/>
      <w:bookmarkStart w:id="107" w:name="_Toc24099"/>
      <w:r>
        <w:rPr>
          <w:rStyle w:val="21"/>
          <w:rFonts w:hint="eastAsia" w:ascii="仿宋" w:hAnsi="仿宋" w:eastAsia="仿宋"/>
          <w:b w:val="0"/>
          <w:bCs w:val="0"/>
        </w:rPr>
        <w:t>十、</w:t>
      </w:r>
      <w:r>
        <w:rPr>
          <w:rFonts w:hint="eastAsia" w:ascii="仿宋" w:hAnsi="仿宋" w:eastAsia="仿宋"/>
          <w:b w:val="0"/>
          <w:color w:val="000000"/>
        </w:rPr>
        <w:t>一</w:t>
      </w:r>
      <w:r>
        <w:rPr>
          <w:rStyle w:val="21"/>
          <w:rFonts w:hint="eastAsia" w:ascii="仿宋" w:hAnsi="仿宋" w:eastAsia="仿宋"/>
          <w:b w:val="0"/>
          <w:bCs w:val="0"/>
        </w:rPr>
        <w:t>般公共预算财政拨款“三公”经费支出决算表</w:t>
      </w:r>
      <w:bookmarkEnd w:id="106"/>
      <w:bookmarkEnd w:id="107"/>
    </w:p>
    <w:p>
      <w:pPr>
        <w:pStyle w:val="3"/>
        <w:spacing w:line="600" w:lineRule="exact"/>
        <w:rPr>
          <w:rFonts w:ascii="仿宋" w:hAnsi="仿宋" w:eastAsia="仿宋"/>
          <w:color w:val="000000"/>
        </w:rPr>
      </w:pPr>
      <w:bookmarkStart w:id="108" w:name="_Toc16848"/>
      <w:bookmarkStart w:id="109" w:name="_Toc15396629"/>
      <w:r>
        <w:rPr>
          <w:rStyle w:val="21"/>
          <w:rFonts w:hint="eastAsia" w:ascii="仿宋" w:hAnsi="仿宋" w:eastAsia="仿宋"/>
          <w:b w:val="0"/>
          <w:bCs w:val="0"/>
        </w:rPr>
        <w:t>十一、</w:t>
      </w:r>
      <w:r>
        <w:rPr>
          <w:rFonts w:hint="eastAsia" w:ascii="仿宋" w:hAnsi="仿宋" w:eastAsia="仿宋"/>
          <w:b w:val="0"/>
          <w:color w:val="000000"/>
        </w:rPr>
        <w:t>政</w:t>
      </w:r>
      <w:r>
        <w:rPr>
          <w:rStyle w:val="21"/>
          <w:rFonts w:hint="eastAsia" w:ascii="仿宋" w:hAnsi="仿宋" w:eastAsia="仿宋"/>
          <w:b w:val="0"/>
          <w:bCs w:val="0"/>
        </w:rPr>
        <w:t>府性基金预算财政拨款收入支出决算表</w:t>
      </w:r>
      <w:bookmarkEnd w:id="108"/>
      <w:bookmarkEnd w:id="109"/>
    </w:p>
    <w:p>
      <w:pPr>
        <w:pStyle w:val="3"/>
        <w:spacing w:line="600" w:lineRule="exact"/>
        <w:rPr>
          <w:rFonts w:ascii="仿宋" w:hAnsi="仿宋" w:eastAsia="仿宋"/>
          <w:color w:val="000000"/>
        </w:rPr>
      </w:pPr>
      <w:bookmarkStart w:id="110" w:name="_Toc15396630"/>
      <w:bookmarkStart w:id="111" w:name="_Toc19378"/>
      <w:r>
        <w:rPr>
          <w:rStyle w:val="21"/>
          <w:rFonts w:hint="eastAsia" w:ascii="仿宋" w:hAnsi="仿宋" w:eastAsia="仿宋"/>
          <w:b w:val="0"/>
          <w:bCs w:val="0"/>
        </w:rPr>
        <w:t>十二、</w:t>
      </w:r>
      <w:r>
        <w:rPr>
          <w:rFonts w:hint="eastAsia" w:ascii="仿宋" w:hAnsi="仿宋" w:eastAsia="仿宋"/>
          <w:b w:val="0"/>
          <w:color w:val="000000"/>
        </w:rPr>
        <w:t>政</w:t>
      </w:r>
      <w:r>
        <w:rPr>
          <w:rStyle w:val="21"/>
          <w:rFonts w:hint="eastAsia" w:ascii="仿宋" w:hAnsi="仿宋" w:eastAsia="仿宋"/>
          <w:b w:val="0"/>
          <w:bCs w:val="0"/>
        </w:rPr>
        <w:t>府性基金预算财政拨款“三公”经费支出决算表</w:t>
      </w:r>
      <w:bookmarkEnd w:id="110"/>
      <w:r>
        <w:rPr>
          <w:rStyle w:val="21"/>
          <w:rFonts w:hint="eastAsia" w:ascii="仿宋" w:hAnsi="仿宋" w:eastAsia="仿宋"/>
          <w:b w:val="0"/>
          <w:bCs w:val="0"/>
        </w:rPr>
        <w:t>（此表无数据）</w:t>
      </w:r>
      <w:bookmarkEnd w:id="111"/>
    </w:p>
    <w:p>
      <w:pPr>
        <w:pStyle w:val="3"/>
        <w:spacing w:line="600" w:lineRule="exact"/>
        <w:rPr>
          <w:rStyle w:val="21"/>
          <w:rFonts w:ascii="仿宋" w:hAnsi="仿宋" w:eastAsia="仿宋"/>
          <w:b w:val="0"/>
          <w:bCs w:val="0"/>
        </w:rPr>
      </w:pPr>
      <w:bookmarkStart w:id="112" w:name="_Toc15396631"/>
      <w:bookmarkStart w:id="113" w:name="_Toc24189"/>
      <w:r>
        <w:rPr>
          <w:rStyle w:val="21"/>
          <w:rFonts w:hint="eastAsia" w:ascii="仿宋" w:hAnsi="仿宋" w:eastAsia="仿宋"/>
          <w:b w:val="0"/>
          <w:bCs w:val="0"/>
        </w:rPr>
        <w:t>十三、</w:t>
      </w:r>
      <w:r>
        <w:rPr>
          <w:rFonts w:hint="eastAsia" w:ascii="仿宋" w:hAnsi="仿宋" w:eastAsia="仿宋"/>
          <w:b w:val="0"/>
          <w:color w:val="000000"/>
        </w:rPr>
        <w:t>国</w:t>
      </w:r>
      <w:r>
        <w:rPr>
          <w:rStyle w:val="21"/>
          <w:rFonts w:hint="eastAsia" w:ascii="仿宋" w:hAnsi="仿宋" w:eastAsia="仿宋"/>
          <w:b w:val="0"/>
          <w:bCs w:val="0"/>
        </w:rPr>
        <w:t>有资本经营预算财政拨款支出决算表</w:t>
      </w:r>
      <w:bookmarkEnd w:id="112"/>
      <w:r>
        <w:rPr>
          <w:rStyle w:val="21"/>
          <w:rFonts w:hint="eastAsia" w:ascii="仿宋" w:hAnsi="仿宋" w:eastAsia="仿宋"/>
          <w:b w:val="0"/>
          <w:bCs w:val="0"/>
        </w:rPr>
        <w:t>（此表无数据）</w:t>
      </w:r>
      <w:bookmarkEnd w:id="113"/>
    </w:p>
    <w:p>
      <w:pPr>
        <w:pStyle w:val="3"/>
        <w:spacing w:line="600" w:lineRule="exact"/>
        <w:rPr>
          <w:rStyle w:val="21"/>
          <w:rFonts w:ascii="仿宋" w:hAnsi="仿宋" w:eastAsia="仿宋"/>
          <w:b w:val="0"/>
          <w:bCs w:val="0"/>
        </w:rPr>
      </w:pPr>
      <w:bookmarkStart w:id="114" w:name="_Toc26423"/>
      <w:r>
        <w:rPr>
          <w:rStyle w:val="21"/>
          <w:rFonts w:hint="eastAsia" w:ascii="仿宋" w:hAnsi="仿宋" w:eastAsia="仿宋"/>
          <w:b w:val="0"/>
          <w:bCs w:val="0"/>
        </w:rPr>
        <w:t>十四、国有资本经营预算财政拨款支出决算表（此表无数据）</w:t>
      </w:r>
      <w:bookmarkEnd w:id="114"/>
    </w:p>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37" o:spid="_x0000_s103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7" o:spid="_x0000_s103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4V1+oBAAC2AwAADgAAAGRycy9lMm9Eb2MueG1srVPNjtMwEL4j8Q6W&#10;7zRpkaCKmq6WXRUhLT/SwgO4jpNYxB5r7DYpDwBvwIkL932uPgdjp+kuuzfExRrb42+++ebz6mIw&#10;Hdsr9BpsyeeznDNlJVTaNiX/8nnzYsmZD8JWogOrSn5Qnl+snz9b9a5QC2ihqxQyArG+6F3J2xBc&#10;kWVetsoIPwOnLF3WgEYE2mKTVSh6QjddtsjzV1kPWDkEqbyn0+vxkq8Tfl0rGT7WtVeBdSUnbiGt&#10;mNZtXLP1ShQNCtdqeaIh/oGFEdpS0TPUtQiC7VA/gTJaIniow0yCyaCutVSpB+pmnj/q5rYVTqVe&#10;SBzvzjL5/wcrP+w/IdNVyV9yZoWhER1//jj+ujv+/s5eR3l65wvKunWUF4Y3MNCYU6ve3YD86pmF&#10;q1bYRl0iQt8qURG9eXyZPXg64vgIsu3fQ0V1xC5AAhpqNFE7UoMROo3pcB6NGgKTseRysVzmdCXp&#10;btrEGqKYnjv04a0Cw2JQcqTZJ3ixv/FhTJ1SYjULG911dC6Kzv51QJjxJNGPjEfuYdgOlB172kJ1&#10;oEYQRjuR/SloAb9x1pOVSm7J65x17yxJEV03BTgF2ykQVtLDkgfOxvAqjO7cOdRNS7iT2Jck10an&#10;Ru45nFiSOZIUJyNH9z3cp6z777b+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Bl3hXX6gEA&#10;ALYDAAAOAAAAAAAAAAEAIAAAAB4BAABkcnMvZTJvRG9jLnhtbFBLBQYAAAAABgAGAFkBAAB6BQAA&#10;AAA=&#10;">
          <v:path/>
          <v:fill on="f" focussize="0,0"/>
          <v:stroke on="f" joinstyle="miter"/>
          <v:imagedata o:title=""/>
          <o:lock v:ext="edit"/>
          <v:textbox inset="0mm,0mm,0mm,0mm" style="mso-fit-shape-to-text:t;">
            <w:txbxContent>
              <w:p>
                <w:pPr>
                  <w:pStyle w:val="10"/>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7" o:spid="_x0000_s1027"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path/>
          <v:fill on="f" focussize="0,0"/>
          <v:stroke on="f" weight="0.5pt" joinstyle="miter"/>
          <v:imagedata o:title=""/>
          <o:lock v:ext="edit"/>
          <v:textbox inset="0mm,0mm,0mm,0mm" style="mso-fit-shape-to-text:t;">
            <w:txbxContent>
              <w:p>
                <w:pPr>
                  <w:pStyle w:val="10"/>
                  <w:jc w:val="center"/>
                </w:pPr>
                <w:r>
                  <w:fldChar w:fldCharType="begin"/>
                </w:r>
                <w:r>
                  <w:instrText xml:space="preserve"> PAGE  \* MERGEFORMAT </w:instrText>
                </w:r>
                <w:r>
                  <w:fldChar w:fldCharType="separate"/>
                </w:r>
                <w:r>
                  <w:t>43</w:t>
                </w:r>
                <w:r>
                  <w:fldChar w:fldCharType="end"/>
                </w:r>
              </w:p>
            </w:txbxContent>
          </v:textbox>
        </v:shape>
      </w:pict>
    </w:r>
  </w:p>
  <w:p>
    <w:pPr>
      <w:pStyle w:val="1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9" o:spid="_x0000_s1029" o:spt="202" type="#_x0000_t202" style="position:absolute;left:0pt;margin-left:175.4pt;margin-top:0.75pt;height:13.25pt;width:36.75pt;mso-position-horizontal-relative:margin;z-index:251669504;mso-width-relative:page;mso-height-relative:page;" filled="f" stroked="f" coordsize="21600,21600" o:gfxdata="UEsDBAoAAAAAAIdO4kAAAAAAAAAAAAAAAAAEAAAAZHJzL1BLAwQUAAAACACHTuJAH9l5EdcAAAAI&#10;AQAADwAAAGRycy9kb3ducmV2LnhtbE2Py07DMBBF90j8gzVI7Kjd9KES4lQIwQoJkYYFSyeeJlbj&#10;cYjdB3/PsILl6Fzde6bYXvwgTjhFF0jDfKZAILXBOuo0fNQvdxsQMRmyZgiEGr4xwra8vipMbsOZ&#10;KjztUie4hGJuNPQpjbmUse3RmzgLIxKzfZi8SXxOnbSTOXO5H2Sm1Fp644gXejPiU4/tYXf0Gh4/&#10;qXp2X2/Ne7WvXF3fK3pdH7S+vZmrBxAJL+kvDL/6rA4lOzXhSDaKQcNipVg9MViBYL7MlgsQjYZs&#10;o0CWhfz/QPkDUEsDBBQAAAAIAIdO4kDcNQE98wEAALcDAAAOAAAAZHJzL2Uyb0RvYy54bWytU82O&#10;0zAQviPxDpbvNG3Edpeo6WrZ1SKk5UdaeICp4zQWiceM3SblAeANOHHhznP1ORg7bVnghrhYk/H4&#10;m2+++bK4HLpWbDV5g7aUs8lUCm0VVsauS/n+3e2TCyl8AFtBi1aXcqe9vFw+frToXaFzbLCtNAkG&#10;sb7oXSmbEFyRZV41ugM/QactX9ZIHQT+pHVWEfSM3rVZPp3Osx6pcoRKe8/Zm/FSLhN+XWsV3tS1&#10;10G0pWRuIZ2UzlU8s+UCijWBa4w60IB/YNGBsdz0BHUDAcSGzF9QnVGEHuswUdhlWNdG6TQDTzOb&#10;/jHNfQNOp1lYHO9OMvn/B6teb9+SMFUp81wKCx3vaP/1y/7bj/33z+JZ1Kd3vuCye8eFYXiOA+85&#10;zerdHaoPXli8bsCu9RUR9o2GivnN4svswdMRx0eQVf8KK+4Dm4AJaKipi+KxHILReU+70270EITi&#10;5NP5/Dw/k0Lx1Wx+kZ+fpQ5QHB878uGFxk7EoJTEq0/gsL3zIZKB4lgSe1m8NW2b1t/a3xJcGDOJ&#10;fOQ7Mg/DajiIscJqx2MQjm5i93PQIH2SomcnldJ/3ABpKdqXlqWItjsGdAxWxwCs4qelDFKM4XUY&#10;7blxZNYNI49iW7xiuWqTRom6jiwOPNkdacKDk6P9Hn6nql//2/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9l5EdcAAAAIAQAADwAAAAAAAAABACAAAAAiAAAAZHJzL2Rvd25yZXYueG1sUEsBAhQA&#10;FAAAAAgAh07iQNw1AT3zAQAAtwMAAA4AAAAAAAAAAQAgAAAAJgEAAGRycy9lMm9Eb2MueG1sUEsF&#10;BgAAAAAGAAYAWQEAAIsFAAAAAA==&#10;">
          <v:path/>
          <v:fill on="f" focussize="0,0"/>
          <v:stroke on="f" joinstyle="miter"/>
          <v:imagedata o:title=""/>
          <o:lock v:ext="edit"/>
          <v:textbox inset="0mm,0mm,0mm,0mm">
            <w:txbxContent>
              <w:p/>
            </w:txbxContent>
          </v:textbox>
        </v:shape>
      </w:pict>
    </w:r>
    <w:r>
      <w:pict>
        <v:shape id="_x0000_s1028" o:spid="_x0000_s1028"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vxaTBAgAA1g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nGEkSActuv/y+f7r9/tvn1Dm4NkoMwGrWwV2dnsht9Dm&#10;4dzAoat6W+vO/aEeBHoA+m4PLttaRN2ldJSmEago6IYN+A8P15U29gWTHXJCjjV0z4NK1lfG9qaD&#10;iYsmZNly7jvIBdrkeHx8EvkLew0458LZQhbgYyf1nfmQRdllepkmQTIaXwZJVBTBrJwnwbiMT0+K&#10;42I+L+KPzl+cTJq2qphw8YYpiZM/68JuXvv+7ufESN5Wzp1LyejlYs41WhOY0tJ/DmFI/oFZ+DgN&#10;r4aqnpQUj5LoYpQF5Tg9DZIyOQmy0ygNoji7yMZRkiV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O78WkwQIAANYFAAAOAAAAAAAA&#10;AAEAIAAAAB8BAABkcnMvZTJvRG9jLnhtbFBLBQYAAAAABgAGAFkBAABSBg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34" o:spid="_x0000_s1034"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ENbXC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mhdkCPIC3U6P7L5/uv3++/fUJwBgRtlRmD3UKBpd1dyR0Y&#10;9+cGDl3eu0q37g8ZIdAD1t2BXraziLpL6SBNI1BR0PUbwA+P15U29gWTLXJChjXUz9NKNnNjO9Pe&#10;xHkTsmg49zXkAm0zPDw9i/yFgwbAuXC2EAVg7KWuNh9G0eg6vU6TIBkMr4MkyvNgWsySYFjE52f5&#10;aT6b5fFHhxcn47opSyacv75P4uTP6rDv2K7Ch04xkjelg3MhGb1azrhGGwJ9WvjPMQzBPzALH4fh&#10;1ZDVk5TiQRJdDUZBMUzPg6RIzoLReZQGUTy6Gg2jZJTkxeOU5o1g/57SI/YfBE3GrmCH3Jac0He/&#10;Tc2Fc0wNGOgLF7o+7PrNSXa33AFFTlzK8g56U8vueRtFiwaczomxt0TDe4aegxllb2CpuIQ+kXsJ&#10;o1rq9786d/ZQXtBitIX5kGEBAwwj/lLA8wNA2wu6F5a9INbtTEIhY5h9inoRLmjLe7HSsn0Lg2vq&#10;fICKCAqeMmx7cWa7GQWDj7Lp1ButlW5WdXcBhocidi4Wijo3voXUdG3hPfhncmQFqHQbGB+e1P2o&#10;c/Pp4d5bHQfy5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QQ1tcICAADYBQAADgAAAAAA&#10;AAABACAAAAAfAQAAZHJzL2Uyb0RvYy54bWxQSwUGAAAAAAYABgBZAQAAUwY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r>
      <w:pict>
        <v:shape id="文本框 8" o:spid="_x0000_s1033"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5gbs3vAQAAtAMAAA4AAABkcnMvZTJvRG9jLnhtbK1TS27bMBDdF+gd&#10;CO5rWY5TJILlIE3gokD6AdIegKIoiajEIYa0JfcA7Q26yqb7nsvnyJCy3LTdFd0QI3LmzZs3T6ur&#10;oWvZTqHTYHKezuacKSOh1KbO+aePmxcXnDkvTClaMCrne+X41fr5s1VvM7WABtpSISMQ47Le5rzx&#10;3mZJ4mSjOuFmYJWhxwqwE54+sU5KFD2hd22ymM9fJj1gaRGkco5ub8dHvo74VaWkf19VTnnW5py4&#10;+XhiPItwJuuVyGoUttHySEP8A4tOaENNT1C3wgu2Rf0XVKclgoPKzyR0CVSVlirOQNOk8z+muW+E&#10;VXEWEsfZk0zu/8HKd7sPyHSZ8wVnRnS0osP3b4eHn4cfX9lFkKe3LqOse0t5fngFA605jursHcjP&#10;jhm4aYSp1TUi9I0SJdFLQ2XypHTEcQGk6N9CSX3E1kMEGirsgnakBiN0WtP+tBo1eCZDy3R5eXbO&#10;maSn9CxdLs9jB5FNxRadf62gYyHIOdLmI7jY3TkfyIhsSgm9DGx028btt+a3C0oMN5F84Dsy90Mx&#10;HMUooNzTGAijmcj8FDSAXzjryUg5N+R0zto3hoQInpsCnIJiCoSRVJhzz9kY3vjRm1uLum4Id5L6&#10;msTa6DhIUHXkcGRJ1ojzHW0cvPf0O2b9+tnW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Cu&#10;YG7N7wEAALQDAAAOAAAAAAAAAAEAIAAAAB8BAABkcnMvZTJvRG9jLnhtbFBLBQYAAAAABgAGAFkB&#10;AACABQAAAAA=&#10;">
          <v:path/>
          <v:fill on="f" focussize="0,0"/>
          <v:stroke on="f" joinstyle="miter"/>
          <v:imagedata o:title=""/>
          <o:lock v:ext="edit"/>
          <v:textbox inset="0mm,0mm,0mm,0mm" style="mso-fit-shape-to-text:t;">
            <w:txbxContent>
              <w:p>
                <w:pPr>
                  <w:pStyle w:val="10"/>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9" o:spid="_x0000_s1035" o:spt="202" type="#_x0000_t202" style="position:absolute;left:0pt;margin-left:185.1pt;margin-top:0.75pt;height:13.25pt;width:27.05pt;mso-position-horizontal-relative:margin;z-index:251660288;mso-width-relative:page;mso-height-relative:page;" filled="f" stroked="f" coordsize="21600,21600" o:gfxdata="UEsDBAoAAAAAAIdO4kAAAAAAAAAAAAAAAAAEAAAAZHJzL1BLAwQUAAAACACHTuJAlBvPLdIAAAAD&#10;AQAADwAAAGRycy9kb3ducmV2LnhtbE2PzU7DMBCE70i8g7VI3KgdDlEJcaqqghMSIk0PHJ14m1iN&#10;1yF2f3h7tlzgsqPVrGa+LVcXP4oTztEF0pAtFAikLlhHvYZd8/qwBBGTIWvGQKjhGyOsqtub0hQ2&#10;nKnG0zb1gkMoFkbDkNJUSBm7Ab2JizAhsbcPszeJ17mXdjZnDvejfFQql9444obBTLgZsDtsj17D&#10;+pPqF/f13n7U+9o1zZOit/yg9f1dpp5BJLykv2O44jM6VMzUhiPZKEYN/Ej6nVdvmYFoWXMFsirl&#10;f/bqB1BLAwQUAAAACACHTuJAYNKw8PEBAAC2AwAADgAAAGRycy9lMm9Eb2MueG1srVPNbtQwEL4j&#10;8Q6W72ySAhWNNluVVkVI5UdqeYBZx9lYJB4z9m6yPAC8AScu3HmufY6Ond2lwA1xsSb2zDfffPNl&#10;fj72ndho8gZtJYtZLoW2CmtjV5X8cHf95IUUPoCtoUOrK7nVXp4vHj+aD67UJ9hiV2sSDGJ9ObhK&#10;tiG4Msu8anUPfoZOW35skHoI/EmrrCYYGL3vspM8P80GpNoRKu09315Nj3KR8JtGq/CuabwOoqsk&#10;cwvppHQu45kt5lCuCFxr1J4G/AOLHozlpkeoKwgg1mT+guqNIvTYhJnCPsOmMUqnGXiaIv9jmtsW&#10;nE6zsDjeHWXy/w9Wvd28J2Fq3p0UFnpe0e7b1933n7sfX8RZlGdwvuSsW8d5YXyJY0yNo3p3g+qj&#10;FxYvW7ArfUGEQ6uhZnpFrMwelE44PoIshzdYcx9YB0xAY0N9BGQ1BKPzmrbH1egxCBVbFs/Onj6X&#10;QvFTkReneVpdBuWh2JEPrzT2IgaVJN58AofNjQ+RDJSHlNjL4rXpurT9zv52wYnxJpGPfCfmYVyO&#10;ezGWWG95DMLJTGx+Dlqkz1IMbKRK+k9rIC1F99qyFNF1h4AOwfIQgFVcWskgxRRehsmda0dm1TLy&#10;JLbFC5arMWmUqOvEYs+TzZEm3Bs5uu/hd8r69bst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U&#10;G88t0gAAAAMBAAAPAAAAAAAAAAEAIAAAACIAAABkcnMvZG93bnJldi54bWxQSwECFAAUAAAACACH&#10;TuJAYNKw8PEBAAC2AwAADgAAAAAAAAABACAAAAAhAQAAZHJzL2Uyb0RvYy54bWxQSwUGAAAAAAYA&#10;BgBZAQAAhAUAAAAA&#10;">
          <v:path/>
          <v:fill on="f" focussize="0,0"/>
          <v:stroke on="f" joinstyle="miter"/>
          <v:imagedata o:title=""/>
          <o:lock v:ext="edit"/>
          <v:textbox inset="0mm,0mm,0mm,0mm">
            <w:txbxContent>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31" o:spid="_x0000_s1031"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8OD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w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R8ODrDAgAA2AUAAA4AAAAA&#10;AAAAAQAgAAAAHwEAAGRycy9lMm9Eb2MueG1sUEsFBgAAAAAGAAYAWQEAAFQGAAAAAA==&#10;">
          <v:path/>
          <v:fill on="f" focussize="0,0"/>
          <v:stroke on="f" weight="0.5pt" joinstyle="miter"/>
          <v:imagedata o:title=""/>
          <o:lock v:ext="edit"/>
          <v:textbox inset="0mm,0mm,0mm,0mm" style="mso-fit-shape-to-text:t;">
            <w:txbxContent>
              <w:p>
                <w:pPr>
                  <w:pStyle w:val="10"/>
                  <w:jc w:val="center"/>
                </w:pPr>
                <w:r>
                  <w:fldChar w:fldCharType="begin"/>
                </w:r>
                <w:r>
                  <w:instrText xml:space="preserve"> PAGE  \* MERGEFORMAT </w:instrText>
                </w:r>
                <w:r>
                  <w:fldChar w:fldCharType="separate"/>
                </w:r>
                <w:r>
                  <w:t>14</w:t>
                </w:r>
                <w:r>
                  <w:fldChar w:fldCharType="end"/>
                </w:r>
              </w:p>
            </w:txbxContent>
          </v:textbox>
        </v:shape>
      </w:pic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32" o:spid="_x0000_s1032"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0bVXDAgAA2AUAAA4AAABkcnMvZTJvRG9jLnhtbK1UzY7TMBC+I/EO&#10;lu/ZJN1sm1abrrrNBiFV7EoL4uw6ThPh2Jbt/iyIK7wBJy7cea59DsZO0+4uCCEgB2fsGc/M9814&#10;zi92LUcbpk0jRYbjkwgjJqgsG7HK8JvXRZBiZCwRJeFSsAzfMYMvps+fnW/VhA1kLXnJNAInwky2&#10;KsO1tWoShobWrCXmRComQFlJ3RILW70KS0224L3l4SCKhuFW6lJpSZkxcJp3Sjz1/quKUXtdVYZZ&#10;xDMMuVm/ar8u3RpOz8lkpYmqG7pPg/xFFi1pBAQ9uMqJJWitm59ctQ3V0sjKnlDZhrKqGso8BkAT&#10;R0/Q3NZEMY8FyDHqQJP5f27pq82NRk0JtRthJEgLNbr/8vn+6/f7b58QnAFBW2UmYHerwNLuLuUO&#10;jPtzA4cO967SrfsDIgR6oPruQC/bWUTdpXSQphGoKOj6DfgPj9eVNvYFky1yQoY11M/TSjYLYzvT&#10;3sRFE7JoOPc15AJtMzw8PYv8hYMGnHPhbCEL8LGXutp8GEfjq/QqTYJkMLwKkijPg1kxT4JhEY/O&#10;8tN8Ps/jj85fnEzqpiyZcPH6PomTP6vDvmO7Ch86xUjelM6dS8no1XLONdoQ6NPCf45hSP6BWfg4&#10;Da8GVE8gxYMkuhyMg2KYjoKkSM6C8ShKgygeX46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Am0bVXDAgAA2AUAAA4AAAAA&#10;AAAAAQAgAAAAHwEAAGRycy9lMm9Eb2MueG1sUEsFBgAAAAAGAAYAWQEAAFQG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30" o:spid="_x0000_s1030" o:spt="202" type="#_x0000_t202" style="position:absolute;left:0pt;margin-left:176.15pt;margin-top:20545.95pt;height:13.25pt;width:36.75pt;mso-position-horizontal-relative:margin;z-index:251666432;mso-width-relative:page;mso-height-relative:page;" filled="f" stroked="f" coordsize="21600,21600" o:gfxdata="UEsDBAoAAAAAAIdO4kAAAAAAAAAAAAAAAAAEAAAAZHJzL1BLAwQUAAAACACHTuJAJMxYN90AAAAP&#10;AQAADwAAAGRycy9kb3ducmV2LnhtbE2Py07DMBBF90j8gzVI7KjtNK2aEKdCCFZIiDQsWDrJNLEa&#10;j0PsPvh73BUsZ+bozrnF9mJHdsLZG0cK5EIAQ2pdZ6hX8Fm/PmyA+aCp06MjVPCDHrbl7U2h886d&#10;qcLTLvQshpDPtYIhhCnn3LcDWu0XbkKKt72brQ5xnHvezfocw+3IEyHW3GpD8cOgJ3wesD3sjlbB&#10;0xdVL+b7vfmo9pWp60zQ2/qg1P2dFI/AAl7CHwxX/agOZXRq3JE6z0YFy1WyjKiCVIpMZsAikyar&#10;WKe57qTcpMDLgv/vUf4CUEsDBBQAAAAIAIdO4kDIWTCk8wEAALcDAAAOAAAAZHJzL2Uyb0RvYy54&#10;bWytU8FuEzEQvSPxD5bvZJOoTdtVNlVpVYRUoFLhAyZeb9Zi12PGTnbDB8Af9MSFO9+V72DsTUKB&#10;G+JizY7Hb968eTu/7NtGbDR5g7aQk9FYCm0VlsauCvnh/e2Lcyl8AFtCg1YXcqu9vFw8fzbvXK6n&#10;WGNTahIMYn3euULWIbg8y7yqdQt+hE5bvqyQWgj8SausJOgYvW2y6Xg8yzqk0hEq7T1nb4ZLuUj4&#10;VaVVeFdVXgfRFJK5hXRSOpfxzBZzyFcErjZqTwP+gUULxnLTI9QNBBBrMn9BtUYReqzCSGGbYVUZ&#10;pdMMPM1k/Mc0DzU4nWZhcbw7yuT/H6x6u7knYUre3YkUFlre0e7x6+7bj933L+Ii6tM5n3PZg+PC&#10;0L/EnmvTrN7dofrohcXrGuxKXxFhV2somd8kvsyePB1wfARZdm+w5D6wDpiA+oraKB7LIRid97Q9&#10;7kb3QShOnsxmZ9NTKRRfTWbn07PT1AHyw2NHPrzS2IoYFJJ49QkcNnc+RDKQH0piL4u3pmnS+hv7&#10;W4ILYyaRj3wH5qFf9nsxllhueQzCwU3sfg5qpM9SdOykQvpPayAtRfPashTRdoeADsHyEIBV/LSQ&#10;QYohvA6DPdeOzKpm5EFsi1csV2XSKFHXgcWeJ7sjTbh3crTf0+9U9et/W/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MxYN90AAAAPAQAADwAAAAAAAAABACAAAAAiAAAAZHJzL2Rvd25yZXYueG1s&#10;UEsBAhQAFAAAAAgAh07iQMhZMKTzAQAAtwMAAA4AAAAAAAAAAQAgAAAALAEAAGRycy9lMm9Eb2Mu&#10;eG1sUEsFBgAAAAAGAAYAWQEAAJEFAAAAAA==&#10;">
          <v:path/>
          <v:fill on="f" focussize="0,0"/>
          <v:stroke on="f" joinstyle="miter"/>
          <v:imagedata o:title=""/>
          <o:lock v:ext="edit"/>
          <v:textbox inset="0mm,0mm,0mm,0mm">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101C0"/>
    <w:multiLevelType w:val="singleLevel"/>
    <w:tmpl w:val="7D8101C0"/>
    <w:lvl w:ilvl="0" w:tentative="0">
      <w:start w:val="3"/>
      <w:numFmt w:val="decimal"/>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67F4"/>
    <w:rsid w:val="000222C6"/>
    <w:rsid w:val="0002549F"/>
    <w:rsid w:val="000468DB"/>
    <w:rsid w:val="00061601"/>
    <w:rsid w:val="0006487A"/>
    <w:rsid w:val="00065F8F"/>
    <w:rsid w:val="00070A43"/>
    <w:rsid w:val="000768F2"/>
    <w:rsid w:val="00085199"/>
    <w:rsid w:val="0009184B"/>
    <w:rsid w:val="00094236"/>
    <w:rsid w:val="0009593C"/>
    <w:rsid w:val="00097322"/>
    <w:rsid w:val="00097600"/>
    <w:rsid w:val="000A6A92"/>
    <w:rsid w:val="000B047F"/>
    <w:rsid w:val="000B1E5B"/>
    <w:rsid w:val="000B428F"/>
    <w:rsid w:val="000B5923"/>
    <w:rsid w:val="000B5A48"/>
    <w:rsid w:val="000B6FF3"/>
    <w:rsid w:val="000C3467"/>
    <w:rsid w:val="000C3CA6"/>
    <w:rsid w:val="000D1267"/>
    <w:rsid w:val="000D1D50"/>
    <w:rsid w:val="000D213E"/>
    <w:rsid w:val="000D5782"/>
    <w:rsid w:val="000E6613"/>
    <w:rsid w:val="000E7119"/>
    <w:rsid w:val="00114E9B"/>
    <w:rsid w:val="00115301"/>
    <w:rsid w:val="001319E1"/>
    <w:rsid w:val="00142216"/>
    <w:rsid w:val="00144D6A"/>
    <w:rsid w:val="0014729F"/>
    <w:rsid w:val="00157BAB"/>
    <w:rsid w:val="0016166A"/>
    <w:rsid w:val="001654D1"/>
    <w:rsid w:val="00174518"/>
    <w:rsid w:val="00180D5E"/>
    <w:rsid w:val="0018106D"/>
    <w:rsid w:val="001877A7"/>
    <w:rsid w:val="00191536"/>
    <w:rsid w:val="00196687"/>
    <w:rsid w:val="001C0962"/>
    <w:rsid w:val="001D7531"/>
    <w:rsid w:val="001E737D"/>
    <w:rsid w:val="001F0592"/>
    <w:rsid w:val="001F082B"/>
    <w:rsid w:val="001F7506"/>
    <w:rsid w:val="002006CD"/>
    <w:rsid w:val="00202B36"/>
    <w:rsid w:val="00204B7A"/>
    <w:rsid w:val="00204CDE"/>
    <w:rsid w:val="0021101A"/>
    <w:rsid w:val="00220536"/>
    <w:rsid w:val="002247ED"/>
    <w:rsid w:val="00235629"/>
    <w:rsid w:val="00256262"/>
    <w:rsid w:val="00260C38"/>
    <w:rsid w:val="002616C0"/>
    <w:rsid w:val="00265372"/>
    <w:rsid w:val="002662AA"/>
    <w:rsid w:val="00280496"/>
    <w:rsid w:val="0029061A"/>
    <w:rsid w:val="00294DC9"/>
    <w:rsid w:val="00295495"/>
    <w:rsid w:val="002A31DE"/>
    <w:rsid w:val="002A42C3"/>
    <w:rsid w:val="002B2613"/>
    <w:rsid w:val="002D6D05"/>
    <w:rsid w:val="002F1818"/>
    <w:rsid w:val="002F567B"/>
    <w:rsid w:val="0031754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2EA9"/>
    <w:rsid w:val="00406254"/>
    <w:rsid w:val="00413DF4"/>
    <w:rsid w:val="004223DE"/>
    <w:rsid w:val="00434489"/>
    <w:rsid w:val="00437085"/>
    <w:rsid w:val="00443880"/>
    <w:rsid w:val="004464F4"/>
    <w:rsid w:val="0045501A"/>
    <w:rsid w:val="00471401"/>
    <w:rsid w:val="00473F31"/>
    <w:rsid w:val="0048263A"/>
    <w:rsid w:val="004848E3"/>
    <w:rsid w:val="00487E5D"/>
    <w:rsid w:val="004A711F"/>
    <w:rsid w:val="004B199D"/>
    <w:rsid w:val="004B4690"/>
    <w:rsid w:val="004E0A2D"/>
    <w:rsid w:val="004E206B"/>
    <w:rsid w:val="004E6DF7"/>
    <w:rsid w:val="004F0FBD"/>
    <w:rsid w:val="00500AF3"/>
    <w:rsid w:val="00505A47"/>
    <w:rsid w:val="00512FDA"/>
    <w:rsid w:val="00520DA0"/>
    <w:rsid w:val="005269D7"/>
    <w:rsid w:val="00530690"/>
    <w:rsid w:val="00546874"/>
    <w:rsid w:val="005664BB"/>
    <w:rsid w:val="00566FFA"/>
    <w:rsid w:val="0057481D"/>
    <w:rsid w:val="00583B1F"/>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DCC"/>
    <w:rsid w:val="0066343B"/>
    <w:rsid w:val="00664777"/>
    <w:rsid w:val="006748A4"/>
    <w:rsid w:val="00681A31"/>
    <w:rsid w:val="00683E73"/>
    <w:rsid w:val="00687EE8"/>
    <w:rsid w:val="006A3141"/>
    <w:rsid w:val="006A5E34"/>
    <w:rsid w:val="006B2422"/>
    <w:rsid w:val="006B2B9A"/>
    <w:rsid w:val="006B4908"/>
    <w:rsid w:val="006C1937"/>
    <w:rsid w:val="006F020C"/>
    <w:rsid w:val="007127B7"/>
    <w:rsid w:val="0071798E"/>
    <w:rsid w:val="007414E9"/>
    <w:rsid w:val="007416B6"/>
    <w:rsid w:val="00746F48"/>
    <w:rsid w:val="007501BB"/>
    <w:rsid w:val="0075404D"/>
    <w:rsid w:val="0076182A"/>
    <w:rsid w:val="00767B7E"/>
    <w:rsid w:val="007770C3"/>
    <w:rsid w:val="007845CB"/>
    <w:rsid w:val="00784D24"/>
    <w:rsid w:val="00785FBA"/>
    <w:rsid w:val="00786E4A"/>
    <w:rsid w:val="007875EB"/>
    <w:rsid w:val="0079426B"/>
    <w:rsid w:val="007D1682"/>
    <w:rsid w:val="007D312A"/>
    <w:rsid w:val="007D3F19"/>
    <w:rsid w:val="007E23B0"/>
    <w:rsid w:val="007E23E5"/>
    <w:rsid w:val="007E327F"/>
    <w:rsid w:val="007E734F"/>
    <w:rsid w:val="007F1991"/>
    <w:rsid w:val="007F2C2F"/>
    <w:rsid w:val="007F3A1B"/>
    <w:rsid w:val="007F55FC"/>
    <w:rsid w:val="007F5665"/>
    <w:rsid w:val="007F6183"/>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3417"/>
    <w:rsid w:val="008C4DB1"/>
    <w:rsid w:val="008C4EAF"/>
    <w:rsid w:val="008C5176"/>
    <w:rsid w:val="008C7FD0"/>
    <w:rsid w:val="008E1DE7"/>
    <w:rsid w:val="008E707C"/>
    <w:rsid w:val="009004A8"/>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73770"/>
    <w:rsid w:val="0098660A"/>
    <w:rsid w:val="009879A9"/>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740"/>
    <w:rsid w:val="00A67AB5"/>
    <w:rsid w:val="00A733B2"/>
    <w:rsid w:val="00A741C2"/>
    <w:rsid w:val="00A91760"/>
    <w:rsid w:val="00A93B00"/>
    <w:rsid w:val="00A93C21"/>
    <w:rsid w:val="00AA4A4C"/>
    <w:rsid w:val="00AB64C9"/>
    <w:rsid w:val="00AC3C6A"/>
    <w:rsid w:val="00AD5620"/>
    <w:rsid w:val="00AD656B"/>
    <w:rsid w:val="00AD7C1B"/>
    <w:rsid w:val="00AE16BA"/>
    <w:rsid w:val="00AE1EBE"/>
    <w:rsid w:val="00AF71DC"/>
    <w:rsid w:val="00B03C9D"/>
    <w:rsid w:val="00B060AE"/>
    <w:rsid w:val="00B10517"/>
    <w:rsid w:val="00B14E76"/>
    <w:rsid w:val="00B150BC"/>
    <w:rsid w:val="00B161B8"/>
    <w:rsid w:val="00B2048C"/>
    <w:rsid w:val="00B310B9"/>
    <w:rsid w:val="00B35280"/>
    <w:rsid w:val="00B35F3F"/>
    <w:rsid w:val="00B36CBB"/>
    <w:rsid w:val="00B425E0"/>
    <w:rsid w:val="00B440AA"/>
    <w:rsid w:val="00B44B70"/>
    <w:rsid w:val="00B53C56"/>
    <w:rsid w:val="00B57DAF"/>
    <w:rsid w:val="00B77EA6"/>
    <w:rsid w:val="00B81598"/>
    <w:rsid w:val="00B841F1"/>
    <w:rsid w:val="00B90E4E"/>
    <w:rsid w:val="00B944D6"/>
    <w:rsid w:val="00B965DC"/>
    <w:rsid w:val="00BB4DF0"/>
    <w:rsid w:val="00BC289F"/>
    <w:rsid w:val="00BC2A32"/>
    <w:rsid w:val="00BC2D50"/>
    <w:rsid w:val="00BC5361"/>
    <w:rsid w:val="00BC5460"/>
    <w:rsid w:val="00BC6B50"/>
    <w:rsid w:val="00BD0E25"/>
    <w:rsid w:val="00BF5BD6"/>
    <w:rsid w:val="00C03E31"/>
    <w:rsid w:val="00C11C3C"/>
    <w:rsid w:val="00C15303"/>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7525"/>
    <w:rsid w:val="00D00095"/>
    <w:rsid w:val="00D1006A"/>
    <w:rsid w:val="00D114F0"/>
    <w:rsid w:val="00D20620"/>
    <w:rsid w:val="00D254F7"/>
    <w:rsid w:val="00D26091"/>
    <w:rsid w:val="00D2685C"/>
    <w:rsid w:val="00D34E7C"/>
    <w:rsid w:val="00D35489"/>
    <w:rsid w:val="00D36AFE"/>
    <w:rsid w:val="00D51276"/>
    <w:rsid w:val="00D56F7C"/>
    <w:rsid w:val="00D60146"/>
    <w:rsid w:val="00D7035F"/>
    <w:rsid w:val="00DA096A"/>
    <w:rsid w:val="00DA634F"/>
    <w:rsid w:val="00DA65AC"/>
    <w:rsid w:val="00DB1913"/>
    <w:rsid w:val="00DB3BAD"/>
    <w:rsid w:val="00DC410D"/>
    <w:rsid w:val="00DC5A81"/>
    <w:rsid w:val="00DC68CA"/>
    <w:rsid w:val="00DC7CBA"/>
    <w:rsid w:val="00DD73B7"/>
    <w:rsid w:val="00DF28BC"/>
    <w:rsid w:val="00DF34B9"/>
    <w:rsid w:val="00E01053"/>
    <w:rsid w:val="00E07ACF"/>
    <w:rsid w:val="00E221C6"/>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60EF"/>
    <w:rsid w:val="00EF77C6"/>
    <w:rsid w:val="00F017B3"/>
    <w:rsid w:val="00F05438"/>
    <w:rsid w:val="00F12452"/>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243B"/>
    <w:rsid w:val="00FD3CC1"/>
    <w:rsid w:val="00FF1E02"/>
    <w:rsid w:val="00FF30B4"/>
    <w:rsid w:val="01FB43B0"/>
    <w:rsid w:val="04330630"/>
    <w:rsid w:val="073D5938"/>
    <w:rsid w:val="07BD19CD"/>
    <w:rsid w:val="080720B6"/>
    <w:rsid w:val="080B0EB0"/>
    <w:rsid w:val="08793EF8"/>
    <w:rsid w:val="0A2032A3"/>
    <w:rsid w:val="0B4C47DD"/>
    <w:rsid w:val="0CBA523E"/>
    <w:rsid w:val="0CC774D2"/>
    <w:rsid w:val="0CE06E64"/>
    <w:rsid w:val="104C6EC2"/>
    <w:rsid w:val="108033A9"/>
    <w:rsid w:val="10C055FF"/>
    <w:rsid w:val="118107EC"/>
    <w:rsid w:val="14083176"/>
    <w:rsid w:val="16BB723D"/>
    <w:rsid w:val="17623A39"/>
    <w:rsid w:val="17E22F27"/>
    <w:rsid w:val="18DA15D9"/>
    <w:rsid w:val="1AA9659B"/>
    <w:rsid w:val="1B2E4E64"/>
    <w:rsid w:val="1BEC2BB7"/>
    <w:rsid w:val="1C0D0456"/>
    <w:rsid w:val="1C5C5720"/>
    <w:rsid w:val="1C7E31C3"/>
    <w:rsid w:val="1CC84208"/>
    <w:rsid w:val="1D155CEE"/>
    <w:rsid w:val="1D4A1B27"/>
    <w:rsid w:val="204665E6"/>
    <w:rsid w:val="206B243E"/>
    <w:rsid w:val="20EF7DD1"/>
    <w:rsid w:val="24022558"/>
    <w:rsid w:val="240371BF"/>
    <w:rsid w:val="244149FE"/>
    <w:rsid w:val="244309D7"/>
    <w:rsid w:val="24815B52"/>
    <w:rsid w:val="2608726C"/>
    <w:rsid w:val="26D106E1"/>
    <w:rsid w:val="27F879BA"/>
    <w:rsid w:val="28EB38EA"/>
    <w:rsid w:val="29FD04D3"/>
    <w:rsid w:val="2AB13917"/>
    <w:rsid w:val="2AFB2646"/>
    <w:rsid w:val="2BC96930"/>
    <w:rsid w:val="2BEE2115"/>
    <w:rsid w:val="2C4675F6"/>
    <w:rsid w:val="2CA04EDD"/>
    <w:rsid w:val="2DE42F13"/>
    <w:rsid w:val="30A23D2A"/>
    <w:rsid w:val="319F7F4E"/>
    <w:rsid w:val="31BC6FA2"/>
    <w:rsid w:val="320C1E8A"/>
    <w:rsid w:val="33BC5B28"/>
    <w:rsid w:val="34D211B7"/>
    <w:rsid w:val="383B7B16"/>
    <w:rsid w:val="39166477"/>
    <w:rsid w:val="3B993566"/>
    <w:rsid w:val="3C205AEC"/>
    <w:rsid w:val="3C7C3F22"/>
    <w:rsid w:val="3D23119D"/>
    <w:rsid w:val="412D3891"/>
    <w:rsid w:val="42185403"/>
    <w:rsid w:val="42EF0BD6"/>
    <w:rsid w:val="44BF0774"/>
    <w:rsid w:val="47B2450F"/>
    <w:rsid w:val="4A90695B"/>
    <w:rsid w:val="4AA95D7B"/>
    <w:rsid w:val="4B1228B0"/>
    <w:rsid w:val="4B177B39"/>
    <w:rsid w:val="4B84469B"/>
    <w:rsid w:val="4C6A72AB"/>
    <w:rsid w:val="4C7022D5"/>
    <w:rsid w:val="4D612FCD"/>
    <w:rsid w:val="4EA14A3A"/>
    <w:rsid w:val="4EC105EA"/>
    <w:rsid w:val="4ECE2238"/>
    <w:rsid w:val="5150201B"/>
    <w:rsid w:val="51FB58EC"/>
    <w:rsid w:val="56A97C93"/>
    <w:rsid w:val="57DE22E6"/>
    <w:rsid w:val="5847226B"/>
    <w:rsid w:val="5D097FF4"/>
    <w:rsid w:val="5D826212"/>
    <w:rsid w:val="5F5A4290"/>
    <w:rsid w:val="61C35FAD"/>
    <w:rsid w:val="636061F9"/>
    <w:rsid w:val="666960FB"/>
    <w:rsid w:val="66810B54"/>
    <w:rsid w:val="677B0451"/>
    <w:rsid w:val="68584C0D"/>
    <w:rsid w:val="68F54396"/>
    <w:rsid w:val="69537D75"/>
    <w:rsid w:val="6C4A05C8"/>
    <w:rsid w:val="6D4543E4"/>
    <w:rsid w:val="6F1031C9"/>
    <w:rsid w:val="72734D90"/>
    <w:rsid w:val="76AF349A"/>
    <w:rsid w:val="7820633E"/>
    <w:rsid w:val="78A103A0"/>
    <w:rsid w:val="7A441FD5"/>
    <w:rsid w:val="7C5908B2"/>
    <w:rsid w:val="7D4C4090"/>
    <w:rsid w:val="7FD90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21"/>
    <w:qFormat/>
    <w:uiPriority w:val="9"/>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link w:val="22"/>
    <w:qFormat/>
    <w:uiPriority w:val="9"/>
    <w:pPr>
      <w:keepNext/>
      <w:keepLines/>
      <w:spacing w:before="260" w:after="260" w:line="416" w:lineRule="auto"/>
      <w:outlineLvl w:val="2"/>
    </w:pPr>
    <w:rPr>
      <w:rFonts w:eastAsia="宋体"/>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eastAsia="宋体"/>
      <w:kern w:val="0"/>
      <w:sz w:val="24"/>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24"/>
    <w:qFormat/>
    <w:uiPriority w:val="0"/>
    <w:rPr>
      <w:rFonts w:ascii="宋体" w:hAnsi="Courier New" w:eastAsia="宋体"/>
    </w:rPr>
  </w:style>
  <w:style w:type="paragraph" w:styleId="8">
    <w:name w:val="Date"/>
    <w:basedOn w:val="1"/>
    <w:next w:val="1"/>
    <w:link w:val="25"/>
    <w:unhideWhenUsed/>
    <w:qFormat/>
    <w:uiPriority w:val="99"/>
    <w:pPr>
      <w:ind w:left="100" w:leftChars="2500"/>
    </w:pPr>
    <w:rPr>
      <w:sz w:val="32"/>
    </w:rPr>
  </w:style>
  <w:style w:type="paragraph" w:styleId="9">
    <w:name w:val="Balloon Text"/>
    <w:basedOn w:val="1"/>
    <w:link w:val="26"/>
    <w:unhideWhenUsed/>
    <w:qFormat/>
    <w:uiPriority w:val="99"/>
    <w:rPr>
      <w:rFonts w:eastAsia="宋体"/>
      <w:sz w:val="18"/>
      <w:szCs w:val="18"/>
    </w:rPr>
  </w:style>
  <w:style w:type="paragraph" w:styleId="10">
    <w:name w:val="footer"/>
    <w:basedOn w:val="1"/>
    <w:link w:val="27"/>
    <w:qFormat/>
    <w:uiPriority w:val="99"/>
    <w:pPr>
      <w:tabs>
        <w:tab w:val="center" w:pos="4153"/>
        <w:tab w:val="right" w:pos="8306"/>
      </w:tabs>
      <w:snapToGrid w:val="0"/>
      <w:jc w:val="left"/>
    </w:pPr>
    <w:rPr>
      <w:rFonts w:eastAsia="宋体"/>
      <w:kern w:val="0"/>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rPr>
      <w:sz w:val="24"/>
    </w:rPr>
  </w:style>
  <w:style w:type="table" w:styleId="16">
    <w:name w:val="Table Grid"/>
    <w:basedOn w:val="1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99"/>
    <w:rPr>
      <w:rFonts w:cs="Times New Roman"/>
      <w:b/>
    </w:rPr>
  </w:style>
  <w:style w:type="character" w:styleId="19">
    <w:name w:val="Hyperlink"/>
    <w:unhideWhenUsed/>
    <w:qFormat/>
    <w:uiPriority w:val="99"/>
    <w:rPr>
      <w:rFonts w:cs="Times New Roman"/>
      <w:color w:val="0000FF"/>
      <w:u w:val="single"/>
    </w:rPr>
  </w:style>
  <w:style w:type="character" w:customStyle="1" w:styleId="20">
    <w:name w:val="标题 1 Char1"/>
    <w:link w:val="2"/>
    <w:qFormat/>
    <w:locked/>
    <w:uiPriority w:val="9"/>
    <w:rPr>
      <w:rFonts w:ascii="Times New Roman" w:hAnsi="Times New Roman" w:cs="Times New Roman"/>
      <w:b/>
      <w:bCs/>
      <w:kern w:val="44"/>
      <w:sz w:val="44"/>
      <w:szCs w:val="44"/>
    </w:rPr>
  </w:style>
  <w:style w:type="character" w:customStyle="1" w:styleId="21">
    <w:name w:val="标题 2 Char1"/>
    <w:link w:val="3"/>
    <w:qFormat/>
    <w:locked/>
    <w:uiPriority w:val="9"/>
    <w:rPr>
      <w:rFonts w:ascii="Cambria" w:hAnsi="Cambria" w:eastAsia="宋体" w:cs="Times New Roman"/>
      <w:b/>
      <w:bCs/>
      <w:kern w:val="2"/>
      <w:sz w:val="32"/>
      <w:szCs w:val="32"/>
    </w:rPr>
  </w:style>
  <w:style w:type="character" w:customStyle="1" w:styleId="22">
    <w:name w:val="标题 3 Char"/>
    <w:link w:val="4"/>
    <w:qFormat/>
    <w:locked/>
    <w:uiPriority w:val="9"/>
    <w:rPr>
      <w:rFonts w:ascii="Times New Roman" w:hAnsi="Times New Roman" w:cs="Times New Roman"/>
      <w:b/>
      <w:bCs/>
      <w:kern w:val="2"/>
      <w:sz w:val="32"/>
      <w:szCs w:val="32"/>
    </w:rPr>
  </w:style>
  <w:style w:type="character" w:customStyle="1" w:styleId="23">
    <w:name w:val="正文文本 Char"/>
    <w:link w:val="5"/>
    <w:semiHidden/>
    <w:qFormat/>
    <w:uiPriority w:val="99"/>
    <w:rPr>
      <w:rFonts w:ascii="Times New Roman" w:hAnsi="Times New Roman" w:cs="Times New Roman"/>
      <w:sz w:val="24"/>
      <w:szCs w:val="24"/>
    </w:rPr>
  </w:style>
  <w:style w:type="character" w:customStyle="1" w:styleId="24">
    <w:name w:val="纯文本 Char"/>
    <w:basedOn w:val="17"/>
    <w:link w:val="7"/>
    <w:qFormat/>
    <w:uiPriority w:val="0"/>
    <w:rPr>
      <w:rFonts w:ascii="宋体" w:hAnsi="Courier New"/>
      <w:kern w:val="2"/>
      <w:sz w:val="21"/>
      <w:szCs w:val="24"/>
    </w:rPr>
  </w:style>
  <w:style w:type="character" w:customStyle="1" w:styleId="25">
    <w:name w:val="日期 Char"/>
    <w:basedOn w:val="17"/>
    <w:link w:val="8"/>
    <w:semiHidden/>
    <w:qFormat/>
    <w:uiPriority w:val="99"/>
    <w:rPr>
      <w:rFonts w:eastAsia="仿宋_GB2312"/>
      <w:kern w:val="2"/>
      <w:sz w:val="32"/>
      <w:szCs w:val="24"/>
    </w:rPr>
  </w:style>
  <w:style w:type="character" w:customStyle="1" w:styleId="26">
    <w:name w:val="批注框文本 Char"/>
    <w:link w:val="9"/>
    <w:semiHidden/>
    <w:qFormat/>
    <w:locked/>
    <w:uiPriority w:val="99"/>
    <w:rPr>
      <w:rFonts w:ascii="Times New Roman" w:hAnsi="Times New Roman" w:cs="Times New Roman"/>
      <w:kern w:val="2"/>
      <w:sz w:val="18"/>
      <w:szCs w:val="18"/>
    </w:rPr>
  </w:style>
  <w:style w:type="character" w:customStyle="1" w:styleId="27">
    <w:name w:val="页脚 Char"/>
    <w:link w:val="10"/>
    <w:qFormat/>
    <w:uiPriority w:val="99"/>
    <w:rPr>
      <w:rFonts w:ascii="Times New Roman" w:hAnsi="Times New Roman" w:cs="Times New Roman"/>
      <w:sz w:val="18"/>
      <w:szCs w:val="18"/>
    </w:rPr>
  </w:style>
  <w:style w:type="character" w:customStyle="1" w:styleId="28">
    <w:name w:val="页眉 Char"/>
    <w:link w:val="11"/>
    <w:qFormat/>
    <w:uiPriority w:val="99"/>
    <w:rPr>
      <w:rFonts w:ascii="Times New Roman" w:hAnsi="Times New Roman" w:cs="Times New Roman"/>
      <w:sz w:val="18"/>
      <w:szCs w:val="18"/>
    </w:rPr>
  </w:style>
  <w:style w:type="character" w:customStyle="1" w:styleId="29">
    <w:name w:val="标题 1 Char"/>
    <w:qFormat/>
    <w:locked/>
    <w:uiPriority w:val="9"/>
    <w:rPr>
      <w:rFonts w:ascii="Times New Roman" w:hAnsi="Times New Roman" w:cs="Times New Roman"/>
      <w:b/>
      <w:bCs/>
      <w:kern w:val="44"/>
      <w:sz w:val="44"/>
      <w:szCs w:val="44"/>
    </w:rPr>
  </w:style>
  <w:style w:type="character" w:customStyle="1" w:styleId="30">
    <w:name w:val="标题 2 Char"/>
    <w:qFormat/>
    <w:locked/>
    <w:uiPriority w:val="9"/>
    <w:rPr>
      <w:rFonts w:ascii="Cambria" w:hAnsi="Cambria" w:eastAsia="宋体" w:cs="Times New Roman"/>
      <w:b/>
      <w:bCs/>
      <w:kern w:val="2"/>
      <w:sz w:val="32"/>
      <w:szCs w:val="32"/>
    </w:rPr>
  </w:style>
  <w:style w:type="character" w:customStyle="1" w:styleId="31">
    <w:name w:val="正文文本 字符"/>
    <w:qFormat/>
    <w:locked/>
    <w:uiPriority w:val="99"/>
    <w:rPr>
      <w:rFonts w:ascii="仿宋_GB2312" w:hAnsi="Times New Roman" w:eastAsia="仿宋_GB2312"/>
      <w:sz w:val="24"/>
    </w:rPr>
  </w:style>
  <w:style w:type="character" w:customStyle="1" w:styleId="32">
    <w:name w:val="页脚 字符"/>
    <w:qFormat/>
    <w:locked/>
    <w:uiPriority w:val="99"/>
    <w:rPr>
      <w:sz w:val="18"/>
    </w:rPr>
  </w:style>
  <w:style w:type="character" w:customStyle="1" w:styleId="33">
    <w:name w:val="页眉 字符"/>
    <w:semiHidden/>
    <w:qFormat/>
    <w:locked/>
    <w:uiPriority w:val="99"/>
    <w:rPr>
      <w:sz w:val="18"/>
    </w:rPr>
  </w:style>
  <w:style w:type="paragraph" w:customStyle="1" w:styleId="34">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customStyle="1" w:styleId="36">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7">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0">
    <w:name w:val="四号正文 Char Char"/>
    <w:link w:val="41"/>
    <w:qFormat/>
    <w:uiPriority w:val="0"/>
    <w:rPr>
      <w:rFonts w:ascii="??" w:hAnsi="??" w:cs="宋体"/>
      <w:color w:val="000000"/>
      <w:sz w:val="28"/>
      <w:szCs w:val="21"/>
    </w:rPr>
  </w:style>
  <w:style w:type="paragraph" w:customStyle="1" w:styleId="41">
    <w:name w:val="四号正文"/>
    <w:basedOn w:val="1"/>
    <w:link w:val="40"/>
    <w:qFormat/>
    <w:uiPriority w:val="0"/>
    <w:pPr>
      <w:spacing w:line="360" w:lineRule="auto"/>
    </w:pPr>
    <w:rPr>
      <w:rFonts w:ascii="??" w:hAnsi="??" w:eastAsia="宋体"/>
      <w:color w:val="000000"/>
      <w:kern w:val="0"/>
      <w:sz w:val="28"/>
      <w:szCs w:val="21"/>
    </w:rPr>
  </w:style>
  <w:style w:type="paragraph" w:customStyle="1" w:styleId="42">
    <w:name w:val="Char1"/>
    <w:basedOn w:val="1"/>
    <w:qFormat/>
    <w:uiPriority w:val="0"/>
    <w:rPr>
      <w:b/>
      <w:sz w:val="28"/>
      <w:szCs w:val="28"/>
    </w:rPr>
  </w:style>
  <w:style w:type="paragraph" w:customStyle="1" w:styleId="43">
    <w:name w:val="List Paragraph1"/>
    <w:basedOn w:val="1"/>
    <w:qFormat/>
    <w:uiPriority w:val="34"/>
    <w:pPr>
      <w:ind w:firstLine="420" w:firstLineChars="200"/>
    </w:pPr>
    <w:rPr>
      <w:sz w:val="32"/>
    </w:rPr>
  </w:style>
  <w:style w:type="paragraph" w:customStyle="1" w:styleId="44">
    <w:name w:val="p0"/>
    <w:basedOn w:val="1"/>
    <w:qFormat/>
    <w:uiPriority w:val="0"/>
    <w:pPr>
      <w:widowControl/>
    </w:pPr>
    <w:rPr>
      <w:rFonts w:eastAsia="宋体"/>
      <w:kern w:val="0"/>
      <w:szCs w:val="21"/>
    </w:rPr>
  </w:style>
  <w:style w:type="paragraph" w:customStyle="1" w:styleId="45">
    <w:name w:val="Char"/>
    <w:basedOn w:val="1"/>
    <w:qFormat/>
    <w:uiPriority w:val="0"/>
    <w:rPr>
      <w:rFonts w:ascii="Calibri" w:hAnsi="Calibri" w:eastAsia="宋体"/>
    </w:rPr>
  </w:style>
  <w:style w:type="character" w:customStyle="1" w:styleId="46">
    <w:name w:val="font5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5.jpeg"/><Relationship Id="rId24" Type="http://schemas.openxmlformats.org/officeDocument/2006/relationships/image" Target="media/image4.jpeg"/><Relationship Id="rId23" Type="http://schemas.openxmlformats.org/officeDocument/2006/relationships/image" Target="media/image3.jpeg"/><Relationship Id="rId22" Type="http://schemas.openxmlformats.org/officeDocument/2006/relationships/chart" Target="charts/chart2.xml"/><Relationship Id="rId21" Type="http://schemas.openxmlformats.org/officeDocument/2006/relationships/image" Target="media/image2.pn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I:\&#26032;&#24314;&#25991;&#20214;&#22841;\&#25910;&#25903;&#24635;&#34920;&#27169;&#2649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26032;&#24314;&#25991;&#20214;&#22841;\&#25910;&#25903;&#24635;&#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收、支决算总计变动情况图</a:t>
            </a:r>
            <a:endParaRPr lang="zh-CN" altLang="en-US" sz="1800"/>
          </a:p>
        </c:rich>
      </c:tx>
      <c:layout/>
      <c:overlay val="0"/>
    </c:title>
    <c:autoTitleDeleted val="0"/>
    <c:plotArea>
      <c:layout/>
      <c:barChart>
        <c:barDir val="col"/>
        <c:grouping val="clustered"/>
        <c:varyColors val="0"/>
        <c:ser>
          <c:idx val="0"/>
          <c:order val="0"/>
          <c:tx>
            <c:strRef>
              <c:f>收支决算总计!$A$2</c:f>
              <c:strCache>
                <c:ptCount val="1"/>
                <c:pt idx="0">
                  <c:v>全年收入总计</c:v>
                </c:pt>
              </c:strCache>
            </c:strRef>
          </c:tx>
          <c:invertIfNegative val="0"/>
          <c:dLbls>
            <c:delete val="1"/>
          </c:dLbls>
          <c:cat>
            <c:strRef>
              <c:f>收支决算总计!$B$1:$E$1</c:f>
              <c:strCache>
                <c:ptCount val="4"/>
                <c:pt idx="0">
                  <c:v>2019年</c:v>
                </c:pt>
                <c:pt idx="1">
                  <c:v>2020年</c:v>
                </c:pt>
                <c:pt idx="2">
                  <c:v>同比增减额</c:v>
                </c:pt>
                <c:pt idx="3">
                  <c:v>同比增减率</c:v>
                </c:pt>
              </c:strCache>
            </c:strRef>
          </c:cat>
          <c:val>
            <c:numRef>
              <c:f>收支决算总计!$B$2:$E$2</c:f>
              <c:numCache>
                <c:formatCode>#,##0.00</c:formatCode>
                <c:ptCount val="4"/>
                <c:pt idx="0">
                  <c:v>177.35</c:v>
                </c:pt>
                <c:pt idx="1">
                  <c:v>166.77</c:v>
                </c:pt>
                <c:pt idx="2" c:formatCode="General">
                  <c:v>-10.58</c:v>
                </c:pt>
                <c:pt idx="3" c:formatCode="0.00%">
                  <c:v>-0.0596560473639695</c:v>
                </c:pt>
              </c:numCache>
            </c:numRef>
          </c:val>
        </c:ser>
        <c:ser>
          <c:idx val="1"/>
          <c:order val="1"/>
          <c:tx>
            <c:strRef>
              <c:f>收支决算总计!$A$3</c:f>
              <c:strCache>
                <c:ptCount val="1"/>
                <c:pt idx="0">
                  <c:v>全年支出总计</c:v>
                </c:pt>
              </c:strCache>
            </c:strRef>
          </c:tx>
          <c:invertIfNegative val="0"/>
          <c:dLbls>
            <c:delete val="1"/>
          </c:dLbls>
          <c:cat>
            <c:strRef>
              <c:f>收支决算总计!$B$1:$E$1</c:f>
              <c:strCache>
                <c:ptCount val="4"/>
                <c:pt idx="0">
                  <c:v>2019年</c:v>
                </c:pt>
                <c:pt idx="1">
                  <c:v>2020年</c:v>
                </c:pt>
                <c:pt idx="2">
                  <c:v>同比增减额</c:v>
                </c:pt>
                <c:pt idx="3">
                  <c:v>同比增减率</c:v>
                </c:pt>
              </c:strCache>
            </c:strRef>
          </c:cat>
          <c:val>
            <c:numRef>
              <c:f>收支决算总计!$B$3:$E$3</c:f>
              <c:numCache>
                <c:formatCode>#,##0.00</c:formatCode>
                <c:ptCount val="4"/>
                <c:pt idx="0">
                  <c:v>177.35</c:v>
                </c:pt>
                <c:pt idx="1">
                  <c:v>166.77</c:v>
                </c:pt>
                <c:pt idx="2" c:formatCode="0.00_ ">
                  <c:v>-10.58</c:v>
                </c:pt>
                <c:pt idx="3" c:formatCode="0.00%">
                  <c:v>-0.0596560473639695</c:v>
                </c:pt>
              </c:numCache>
            </c:numRef>
          </c:val>
        </c:ser>
        <c:dLbls>
          <c:showLegendKey val="0"/>
          <c:showVal val="0"/>
          <c:showCatName val="0"/>
          <c:showSerName val="0"/>
          <c:showPercent val="0"/>
          <c:showBubbleSize val="0"/>
        </c:dLbls>
        <c:gapWidth val="150"/>
        <c:axId val="143328384"/>
        <c:axId val="143329920"/>
      </c:barChart>
      <c:catAx>
        <c:axId val="143328384"/>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3329920"/>
        <c:crosses val="autoZero"/>
        <c:auto val="1"/>
        <c:lblAlgn val="ctr"/>
        <c:lblOffset val="100"/>
        <c:noMultiLvlLbl val="0"/>
      </c:catAx>
      <c:valAx>
        <c:axId val="143329920"/>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332838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财政拨款收、支决算总计变动情况</a:t>
            </a:r>
            <a:endParaRPr lang="zh-CN" altLang="en-US" sz="1800"/>
          </a:p>
        </c:rich>
      </c:tx>
      <c:layout/>
      <c:overlay val="0"/>
    </c:title>
    <c:autoTitleDeleted val="0"/>
    <c:plotArea>
      <c:layout/>
      <c:barChart>
        <c:barDir val="col"/>
        <c:grouping val="clustered"/>
        <c:varyColors val="0"/>
        <c:ser>
          <c:idx val="0"/>
          <c:order val="0"/>
          <c:tx>
            <c:strRef>
              <c:f>财政拨款收、支决算总计变动!$A$2</c:f>
              <c:strCache>
                <c:ptCount val="1"/>
                <c:pt idx="0">
                  <c:v>财政拨款收入</c:v>
                </c:pt>
              </c:strCache>
            </c:strRef>
          </c:tx>
          <c:invertIfNegative val="0"/>
          <c:dLbls>
            <c:delete val="1"/>
          </c:dLbls>
          <c:cat>
            <c:strRef>
              <c:f>财政拨款收、支决算总计变动!$B$1:$E$1</c:f>
              <c:strCache>
                <c:ptCount val="4"/>
                <c:pt idx="0">
                  <c:v>2019年</c:v>
                </c:pt>
                <c:pt idx="1">
                  <c:v>2020年</c:v>
                </c:pt>
                <c:pt idx="2">
                  <c:v>同比增减额</c:v>
                </c:pt>
                <c:pt idx="3">
                  <c:v>同比增减率</c:v>
                </c:pt>
              </c:strCache>
            </c:strRef>
          </c:cat>
          <c:val>
            <c:numRef>
              <c:f>财政拨款收、支决算总计变动!$B$2:$E$2</c:f>
              <c:numCache>
                <c:formatCode>_ * #,##0.00_ ;_ * \-#,##0.00_ ;_ * "-"??_ ;_ @_ </c:formatCode>
                <c:ptCount val="4"/>
                <c:pt idx="0">
                  <c:v>112.35</c:v>
                </c:pt>
                <c:pt idx="1">
                  <c:v>108.73</c:v>
                </c:pt>
                <c:pt idx="2" c:formatCode="General">
                  <c:v>-3.61999999999999</c:v>
                </c:pt>
                <c:pt idx="3" c:formatCode="0.00%">
                  <c:v>-0.0322207387627947</c:v>
                </c:pt>
              </c:numCache>
            </c:numRef>
          </c:val>
        </c:ser>
        <c:ser>
          <c:idx val="1"/>
          <c:order val="1"/>
          <c:tx>
            <c:strRef>
              <c:f>财政拨款收、支决算总计变动!$A$3</c:f>
              <c:strCache>
                <c:ptCount val="1"/>
                <c:pt idx="0">
                  <c:v>财政拨款支出</c:v>
                </c:pt>
              </c:strCache>
            </c:strRef>
          </c:tx>
          <c:invertIfNegative val="0"/>
          <c:dLbls>
            <c:delete val="1"/>
          </c:dLbls>
          <c:cat>
            <c:strRef>
              <c:f>财政拨款收、支决算总计变动!$B$1:$E$1</c:f>
              <c:strCache>
                <c:ptCount val="4"/>
                <c:pt idx="0">
                  <c:v>2019年</c:v>
                </c:pt>
                <c:pt idx="1">
                  <c:v>2020年</c:v>
                </c:pt>
                <c:pt idx="2">
                  <c:v>同比增减额</c:v>
                </c:pt>
                <c:pt idx="3">
                  <c:v>同比增减率</c:v>
                </c:pt>
              </c:strCache>
            </c:strRef>
          </c:cat>
          <c:val>
            <c:numRef>
              <c:f>财政拨款收、支决算总计变动!$B$3:$E$3</c:f>
              <c:numCache>
                <c:formatCode>_ * #,##0.00_ ;_ * \-#,##0.00_ ;_ * "-"??_ ;_ @_ </c:formatCode>
                <c:ptCount val="4"/>
                <c:pt idx="0">
                  <c:v>112.35</c:v>
                </c:pt>
                <c:pt idx="1">
                  <c:v>108.73</c:v>
                </c:pt>
                <c:pt idx="2" c:formatCode="0.00_ ">
                  <c:v>-3.61999999999999</c:v>
                </c:pt>
                <c:pt idx="3" c:formatCode="0.00%">
                  <c:v>-0.0322207387627947</c:v>
                </c:pt>
              </c:numCache>
            </c:numRef>
          </c:val>
        </c:ser>
        <c:dLbls>
          <c:showLegendKey val="0"/>
          <c:showVal val="0"/>
          <c:showCatName val="0"/>
          <c:showSerName val="0"/>
          <c:showPercent val="0"/>
          <c:showBubbleSize val="0"/>
        </c:dLbls>
        <c:gapWidth val="150"/>
        <c:axId val="142698368"/>
        <c:axId val="142709120"/>
      </c:barChart>
      <c:catAx>
        <c:axId val="14269836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2709120"/>
        <c:crosses val="autoZero"/>
        <c:auto val="1"/>
        <c:lblAlgn val="ctr"/>
        <c:lblOffset val="100"/>
        <c:noMultiLvlLbl val="0"/>
      </c:catAx>
      <c:valAx>
        <c:axId val="142709120"/>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_ * #,##0.00_ ;_ * \-#,##0.00_ ;_ * &quot;-&quot;??_ ;_ @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269836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7"/>
    <customShpInfo spid="_x0000_s1036"/>
    <customShpInfo spid="_x0000_s1026"/>
    <customShpInfo spid="_x0000_s1034"/>
    <customShpInfo spid="_x0000_s1033"/>
    <customShpInfo spid="_x0000_s1035"/>
    <customShpInfo spid="_x0000_s1031"/>
    <customShpInfo spid="_x0000_s1032"/>
    <customShpInfo spid="_x0000_s1030"/>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46</Pages>
  <Words>17013</Words>
  <Characters>3611</Characters>
  <Lines>30</Lines>
  <Paragraphs>41</Paragraphs>
  <TotalTime>24</TotalTime>
  <ScaleCrop>false</ScaleCrop>
  <LinksUpToDate>false</LinksUpToDate>
  <CharactersWithSpaces>20583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2021-10-15T09:00:00Z</dcterms:created>
  <dc:creator>曹颖</dc:creator>
  <cp:lastModifiedBy>赵杨</cp:lastModifiedBy>
  <cp:lastPrinted>2021-10-12T04:00:00Z</cp:lastPrinted>
  <dcterms:modified xsi:type="dcterms:W3CDTF">2021-10-18T08:52:38Z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1400A743BE5646A6B435E6F55BDDB2DE</vt:lpwstr>
  </property>
</Properties>
</file>