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rPr>
          <w:rFonts w:ascii="方正小标宋简体" w:hAnsi="方正小标宋简体" w:eastAsia="方正小标宋简体" w:cs="方正小标宋简体"/>
          <w:sz w:val="72"/>
          <w:szCs w:val="72"/>
        </w:rPr>
      </w:pPr>
      <w:bookmarkStart w:id="1" w:name="_Toc15378441"/>
      <w:bookmarkStart w:id="2" w:name="_Toc15377425"/>
      <w:bookmarkStart w:id="3" w:name="_Toc15396597"/>
      <w:bookmarkStart w:id="4" w:name="_Toc15396475"/>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rPr>
          <w:rFonts w:ascii="方正小标宋简体" w:hAnsi="方正小标宋简体" w:eastAsia="方正小标宋简体" w:cs="方正小标宋简体"/>
          <w:sz w:val="72"/>
          <w:szCs w:val="72"/>
        </w:rPr>
      </w:pPr>
      <w:bookmarkStart w:id="6" w:name="_Toc15396598"/>
      <w:bookmarkStart w:id="7" w:name="_Toc15377194"/>
      <w:bookmarkStart w:id="8" w:name="_Toc15377426"/>
      <w:bookmarkStart w:id="9" w:name="_Toc15396476"/>
      <w:bookmarkStart w:id="10" w:name="_Toc15378442"/>
      <w:r>
        <w:rPr>
          <w:rFonts w:hint="eastAsia" w:ascii="方正小标宋简体" w:hAnsi="方正小标宋简体" w:eastAsia="方正小标宋简体" w:cs="方正小标宋简体"/>
          <w:sz w:val="72"/>
          <w:szCs w:val="72"/>
        </w:rPr>
        <w:t>四川省攀枝花市文化</w:t>
      </w:r>
      <w:bookmarkEnd w:id="0"/>
      <w:bookmarkStart w:id="11" w:name="_Toc15306268"/>
      <w:r>
        <w:rPr>
          <w:rFonts w:hint="eastAsia" w:ascii="方正小标宋简体" w:hAnsi="方正小标宋简体" w:eastAsia="方正小标宋简体" w:cs="方正小标宋简体"/>
          <w:sz w:val="72"/>
          <w:szCs w:val="72"/>
        </w:rPr>
        <w:t>旅游公共服务中心</w:t>
      </w:r>
    </w:p>
    <w:p>
      <w:pPr>
        <w:adjustRightInd w:val="0"/>
        <w:snapToGrid w:val="0"/>
        <w:spacing w:line="36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rFonts w:hint="eastAsia"/>
          <w:lang w:val="en-US" w:eastAsia="zh-CN"/>
        </w:rPr>
        <w:t>14</w:t>
      </w:r>
      <w:r>
        <w:rPr>
          <w:rFonts w:hint="eastAsia"/>
        </w:rPr>
        <w:t>日</w:t>
      </w:r>
    </w:p>
    <w:sdt>
      <w:sdtPr>
        <w:rPr>
          <w:rFonts w:ascii="宋体" w:hAnsi="宋体"/>
        </w:rPr>
        <w:id w:val="147466010"/>
        <w:docPartObj>
          <w:docPartGallery w:val="Table of Contents"/>
          <w:docPartUnique/>
        </w:docPartObj>
      </w:sdtPr>
      <w:sdtEndPr>
        <w:rPr>
          <w:rFonts w:ascii="宋体" w:hAnsi="宋体"/>
          <w:b/>
        </w:rPr>
      </w:sdtEndPr>
      <w:sdtContent>
        <w:p>
          <w:pPr>
            <w:jc w:val="center"/>
          </w:pPr>
        </w:p>
        <w:p>
          <w:pPr>
            <w:pStyle w:val="31"/>
            <w:tabs>
              <w:tab w:val="right" w:leader="dot" w:pos="8306"/>
            </w:tabs>
            <w:rPr>
              <w:b/>
            </w:rPr>
          </w:pPr>
          <w:r>
            <w:fldChar w:fldCharType="begin"/>
          </w:r>
          <w:r>
            <w:instrText xml:space="preserve">TOC \o "1-2" \h \u </w:instrText>
          </w:r>
          <w:r>
            <w:fldChar w:fldCharType="separate"/>
          </w:r>
          <w:r>
            <w:fldChar w:fldCharType="begin"/>
          </w:r>
          <w:r>
            <w:instrText xml:space="preserve"> HYPERLINK \l "_Toc31671" </w:instrText>
          </w:r>
          <w:r>
            <w:fldChar w:fldCharType="separate"/>
          </w:r>
          <w:r>
            <w:rPr>
              <w:rFonts w:hint="eastAsia" w:ascii="黑体" w:hAnsi="黑体" w:eastAsia="黑体"/>
              <w:b/>
            </w:rPr>
            <w:t>第一部分 单位概况</w:t>
          </w:r>
          <w:r>
            <w:rPr>
              <w:b/>
            </w:rPr>
            <w:tab/>
          </w:r>
          <w:r>
            <w:rPr>
              <w:b/>
            </w:rPr>
            <w:fldChar w:fldCharType="begin"/>
          </w:r>
          <w:r>
            <w:rPr>
              <w:b/>
            </w:rPr>
            <w:instrText xml:space="preserve"> PAGEREF _Toc31671 \h </w:instrText>
          </w:r>
          <w:r>
            <w:rPr>
              <w:b/>
            </w:rPr>
            <w:fldChar w:fldCharType="separate"/>
          </w:r>
          <w:r>
            <w:rPr>
              <w:b/>
            </w:rPr>
            <w:t>1</w:t>
          </w:r>
          <w:r>
            <w:rPr>
              <w:b/>
            </w:rPr>
            <w:fldChar w:fldCharType="end"/>
          </w:r>
          <w:r>
            <w:rPr>
              <w:b/>
            </w:rPr>
            <w:fldChar w:fldCharType="end"/>
          </w:r>
        </w:p>
        <w:p>
          <w:pPr>
            <w:pStyle w:val="32"/>
            <w:tabs>
              <w:tab w:val="right" w:leader="dot" w:pos="8306"/>
            </w:tabs>
            <w:ind w:left="420"/>
          </w:pPr>
          <w:r>
            <w:fldChar w:fldCharType="begin"/>
          </w:r>
          <w:r>
            <w:instrText xml:space="preserve"> HYPERLINK \l "_Toc2856" </w:instrText>
          </w:r>
          <w:r>
            <w:fldChar w:fldCharType="separate"/>
          </w:r>
          <w:r>
            <w:rPr>
              <w:rFonts w:ascii="黑体" w:hAnsi="黑体" w:eastAsia="黑体"/>
            </w:rPr>
            <w:t xml:space="preserve">一、 </w:t>
          </w:r>
          <w:r>
            <w:rPr>
              <w:rFonts w:hint="eastAsia" w:ascii="黑体" w:hAnsi="黑体" w:eastAsia="黑体"/>
            </w:rPr>
            <w:t>职能简介</w:t>
          </w:r>
          <w:r>
            <w:tab/>
          </w:r>
          <w:r>
            <w:fldChar w:fldCharType="begin"/>
          </w:r>
          <w:r>
            <w:instrText xml:space="preserve"> PAGEREF _Toc2856 \h </w:instrText>
          </w:r>
          <w:r>
            <w:fldChar w:fldCharType="separate"/>
          </w:r>
          <w:r>
            <w:t>1</w:t>
          </w:r>
          <w:r>
            <w:fldChar w:fldCharType="end"/>
          </w:r>
          <w:r>
            <w:fldChar w:fldCharType="end"/>
          </w:r>
        </w:p>
        <w:p>
          <w:pPr>
            <w:pStyle w:val="32"/>
            <w:tabs>
              <w:tab w:val="right" w:leader="dot" w:pos="8306"/>
            </w:tabs>
            <w:ind w:left="420"/>
          </w:pPr>
          <w:r>
            <w:fldChar w:fldCharType="begin"/>
          </w:r>
          <w:r>
            <w:instrText xml:space="preserve"> HYPERLINK \l "_Toc8228" </w:instrText>
          </w:r>
          <w:r>
            <w:fldChar w:fldCharType="separate"/>
          </w:r>
          <w:r>
            <w:rPr>
              <w:rFonts w:hint="eastAsia" w:ascii="黑体" w:hAnsi="黑体" w:eastAsia="黑体"/>
            </w:rPr>
            <w:t>二、2021年重点工作完成情况</w:t>
          </w:r>
          <w:r>
            <w:tab/>
          </w:r>
          <w:r>
            <w:fldChar w:fldCharType="begin"/>
          </w:r>
          <w:r>
            <w:instrText xml:space="preserve"> PAGEREF _Toc8228 \h </w:instrText>
          </w:r>
          <w:r>
            <w:fldChar w:fldCharType="separate"/>
          </w:r>
          <w:r>
            <w:t>1</w:t>
          </w:r>
          <w:r>
            <w:fldChar w:fldCharType="end"/>
          </w:r>
          <w:r>
            <w:fldChar w:fldCharType="end"/>
          </w:r>
        </w:p>
        <w:p>
          <w:pPr>
            <w:pStyle w:val="32"/>
            <w:tabs>
              <w:tab w:val="right" w:leader="dot" w:pos="8306"/>
            </w:tabs>
            <w:ind w:left="420"/>
            <w:rPr>
              <w:rFonts w:hint="eastAsia" w:eastAsiaTheme="minorEastAsia"/>
              <w:lang w:val="en-US" w:eastAsia="zh-CN"/>
            </w:rPr>
          </w:pPr>
          <w:r>
            <w:rPr>
              <w:rFonts w:hint="eastAsia"/>
              <w:lang w:eastAsia="zh-CN"/>
            </w:rPr>
            <w:t>三、机构设置情况</w:t>
          </w:r>
          <w:r>
            <w:tab/>
          </w:r>
          <w:r>
            <w:rPr>
              <w:rFonts w:hint="eastAsia"/>
              <w:lang w:val="en-US" w:eastAsia="zh-CN"/>
            </w:rPr>
            <w:t>6</w:t>
          </w:r>
        </w:p>
        <w:p>
          <w:pPr>
            <w:pStyle w:val="31"/>
            <w:tabs>
              <w:tab w:val="right" w:leader="dot" w:pos="8306"/>
            </w:tabs>
            <w:rPr>
              <w:b/>
            </w:rPr>
          </w:pPr>
          <w:r>
            <w:fldChar w:fldCharType="begin"/>
          </w:r>
          <w:r>
            <w:instrText xml:space="preserve"> HYPERLINK \l "_Toc2930" </w:instrText>
          </w:r>
          <w:r>
            <w:fldChar w:fldCharType="separate"/>
          </w:r>
          <w:r>
            <w:rPr>
              <w:rFonts w:hint="eastAsia" w:ascii="黑体" w:hAnsi="黑体" w:eastAsia="黑体"/>
              <w:b/>
            </w:rPr>
            <w:t>第二部分 2021年度</w:t>
          </w:r>
          <w:r>
            <w:rPr>
              <w:rFonts w:hint="eastAsia" w:ascii="黑体" w:hAnsi="黑体" w:eastAsia="黑体"/>
              <w:b/>
              <w:bCs/>
            </w:rPr>
            <w:t>单位决算情况说明</w:t>
          </w:r>
          <w:r>
            <w:rPr>
              <w:b/>
            </w:rPr>
            <w:tab/>
          </w:r>
          <w:r>
            <w:rPr>
              <w:b/>
            </w:rPr>
            <w:fldChar w:fldCharType="begin"/>
          </w:r>
          <w:r>
            <w:rPr>
              <w:b/>
            </w:rPr>
            <w:instrText xml:space="preserve"> PAGEREF _Toc2930 \h </w:instrText>
          </w:r>
          <w:r>
            <w:rPr>
              <w:b/>
            </w:rPr>
            <w:fldChar w:fldCharType="separate"/>
          </w:r>
          <w:r>
            <w:rPr>
              <w:b/>
            </w:rPr>
            <w:t>7</w:t>
          </w:r>
          <w:r>
            <w:rPr>
              <w:b/>
            </w:rPr>
            <w:fldChar w:fldCharType="end"/>
          </w:r>
          <w:r>
            <w:rPr>
              <w:b/>
            </w:rPr>
            <w:fldChar w:fldCharType="end"/>
          </w:r>
        </w:p>
        <w:p>
          <w:pPr>
            <w:pStyle w:val="32"/>
            <w:tabs>
              <w:tab w:val="right" w:leader="dot" w:pos="8306"/>
            </w:tabs>
            <w:ind w:left="420"/>
          </w:pPr>
          <w:r>
            <w:fldChar w:fldCharType="begin"/>
          </w:r>
          <w:r>
            <w:instrText xml:space="preserve"> HYPERLINK \l "_Toc11826" </w:instrText>
          </w:r>
          <w:r>
            <w:fldChar w:fldCharType="separate"/>
          </w:r>
          <w:r>
            <w:rPr>
              <w:rFonts w:hint="eastAsia" w:ascii="黑体" w:hAnsi="黑体" w:eastAsia="黑体"/>
              <w:szCs w:val="32"/>
            </w:rPr>
            <w:t>一、收</w:t>
          </w:r>
          <w:r>
            <w:rPr>
              <w:rFonts w:hint="eastAsia" w:ascii="黑体" w:hAnsi="黑体" w:eastAsia="黑体"/>
            </w:rPr>
            <w:t>入支出决算总体情况说明</w:t>
          </w:r>
          <w:r>
            <w:tab/>
          </w:r>
          <w:r>
            <w:fldChar w:fldCharType="begin"/>
          </w:r>
          <w:r>
            <w:instrText xml:space="preserve"> PAGEREF _Toc11826 \h </w:instrText>
          </w:r>
          <w:r>
            <w:fldChar w:fldCharType="separate"/>
          </w:r>
          <w:r>
            <w:t>7</w:t>
          </w:r>
          <w:r>
            <w:fldChar w:fldCharType="end"/>
          </w:r>
          <w:r>
            <w:fldChar w:fldCharType="end"/>
          </w:r>
        </w:p>
        <w:p>
          <w:pPr>
            <w:pStyle w:val="32"/>
            <w:tabs>
              <w:tab w:val="right" w:leader="dot" w:pos="8306"/>
            </w:tabs>
            <w:ind w:left="420"/>
          </w:pPr>
          <w:r>
            <w:fldChar w:fldCharType="begin"/>
          </w:r>
          <w:r>
            <w:instrText xml:space="preserve"> HYPERLINK \l "_Toc11685" </w:instrText>
          </w:r>
          <w:r>
            <w:fldChar w:fldCharType="separate"/>
          </w:r>
          <w:r>
            <w:rPr>
              <w:rFonts w:hint="eastAsia" w:ascii="黑体" w:hAnsi="黑体" w:eastAsia="黑体"/>
              <w:szCs w:val="32"/>
            </w:rPr>
            <w:t>二、收</w:t>
          </w:r>
          <w:r>
            <w:rPr>
              <w:rFonts w:hint="eastAsia" w:ascii="黑体" w:hAnsi="黑体" w:eastAsia="黑体"/>
            </w:rPr>
            <w:t>入决算情况说明</w:t>
          </w:r>
          <w:r>
            <w:tab/>
          </w:r>
          <w:r>
            <w:fldChar w:fldCharType="begin"/>
          </w:r>
          <w:r>
            <w:instrText xml:space="preserve"> PAGEREF _Toc11685 \h </w:instrText>
          </w:r>
          <w:r>
            <w:fldChar w:fldCharType="separate"/>
          </w:r>
          <w:r>
            <w:t>7</w:t>
          </w:r>
          <w:r>
            <w:fldChar w:fldCharType="end"/>
          </w:r>
          <w:r>
            <w:fldChar w:fldCharType="end"/>
          </w:r>
        </w:p>
        <w:p>
          <w:pPr>
            <w:pStyle w:val="32"/>
            <w:tabs>
              <w:tab w:val="right" w:leader="dot" w:pos="8306"/>
            </w:tabs>
            <w:ind w:left="420"/>
          </w:pPr>
          <w:r>
            <w:fldChar w:fldCharType="begin"/>
          </w:r>
          <w:r>
            <w:instrText xml:space="preserve"> HYPERLINK \l "_Toc30499" </w:instrText>
          </w:r>
          <w:r>
            <w:fldChar w:fldCharType="separate"/>
          </w:r>
          <w:r>
            <w:rPr>
              <w:rFonts w:hint="eastAsia" w:ascii="黑体" w:hAnsi="黑体" w:eastAsia="黑体"/>
              <w:szCs w:val="32"/>
            </w:rPr>
            <w:t>三、支</w:t>
          </w:r>
          <w:r>
            <w:rPr>
              <w:rFonts w:hint="eastAsia" w:ascii="黑体" w:hAnsi="黑体" w:eastAsia="黑体"/>
            </w:rPr>
            <w:t>出决算情况说明</w:t>
          </w:r>
          <w:r>
            <w:tab/>
          </w:r>
          <w:r>
            <w:fldChar w:fldCharType="begin"/>
          </w:r>
          <w:r>
            <w:instrText xml:space="preserve"> PAGEREF _Toc30499 \h </w:instrText>
          </w:r>
          <w:r>
            <w:fldChar w:fldCharType="separate"/>
          </w:r>
          <w:r>
            <w:t>8</w:t>
          </w:r>
          <w:r>
            <w:fldChar w:fldCharType="end"/>
          </w:r>
          <w:r>
            <w:fldChar w:fldCharType="end"/>
          </w:r>
        </w:p>
        <w:p>
          <w:pPr>
            <w:pStyle w:val="32"/>
            <w:tabs>
              <w:tab w:val="right" w:leader="dot" w:pos="8306"/>
            </w:tabs>
            <w:ind w:left="420"/>
          </w:pPr>
          <w:r>
            <w:fldChar w:fldCharType="begin"/>
          </w:r>
          <w:r>
            <w:instrText xml:space="preserve"> HYPERLINK \l "_Toc1621"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_Toc1621 \h </w:instrText>
          </w:r>
          <w:r>
            <w:fldChar w:fldCharType="separate"/>
          </w:r>
          <w:r>
            <w:t>8</w:t>
          </w:r>
          <w:r>
            <w:fldChar w:fldCharType="end"/>
          </w:r>
          <w:r>
            <w:fldChar w:fldCharType="end"/>
          </w:r>
        </w:p>
        <w:p>
          <w:pPr>
            <w:pStyle w:val="32"/>
            <w:tabs>
              <w:tab w:val="right" w:leader="dot" w:pos="8306"/>
            </w:tabs>
            <w:ind w:left="420"/>
          </w:pPr>
          <w:r>
            <w:fldChar w:fldCharType="begin"/>
          </w:r>
          <w:r>
            <w:instrText xml:space="preserve"> HYPERLINK \l "_Toc3120"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_Toc3120 \h </w:instrText>
          </w:r>
          <w:r>
            <w:fldChar w:fldCharType="separate"/>
          </w:r>
          <w:r>
            <w:t>9</w:t>
          </w:r>
          <w:r>
            <w:fldChar w:fldCharType="end"/>
          </w:r>
          <w:r>
            <w:fldChar w:fldCharType="end"/>
          </w:r>
        </w:p>
        <w:p>
          <w:pPr>
            <w:pStyle w:val="32"/>
            <w:tabs>
              <w:tab w:val="right" w:leader="dot" w:pos="8306"/>
            </w:tabs>
            <w:ind w:left="420"/>
          </w:pPr>
          <w:r>
            <w:fldChar w:fldCharType="begin"/>
          </w:r>
          <w:r>
            <w:instrText xml:space="preserve"> HYPERLINK \l "_Toc15616"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_Toc15616 \h </w:instrText>
          </w:r>
          <w:r>
            <w:fldChar w:fldCharType="separate"/>
          </w:r>
          <w:r>
            <w:t>12</w:t>
          </w:r>
          <w:r>
            <w:fldChar w:fldCharType="end"/>
          </w:r>
          <w:r>
            <w:fldChar w:fldCharType="end"/>
          </w:r>
        </w:p>
        <w:p>
          <w:pPr>
            <w:pStyle w:val="32"/>
            <w:tabs>
              <w:tab w:val="right" w:leader="dot" w:pos="8306"/>
            </w:tabs>
            <w:ind w:left="420"/>
          </w:pPr>
          <w:r>
            <w:fldChar w:fldCharType="begin"/>
          </w:r>
          <w:r>
            <w:instrText xml:space="preserve"> HYPERLINK \l "_Toc3419"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_Toc3419 \h </w:instrText>
          </w:r>
          <w:r>
            <w:fldChar w:fldCharType="separate"/>
          </w:r>
          <w:r>
            <w:t>13</w:t>
          </w:r>
          <w:r>
            <w:fldChar w:fldCharType="end"/>
          </w:r>
          <w:r>
            <w:fldChar w:fldCharType="end"/>
          </w:r>
        </w:p>
        <w:p>
          <w:pPr>
            <w:pStyle w:val="32"/>
            <w:tabs>
              <w:tab w:val="right" w:leader="dot" w:pos="8306"/>
            </w:tabs>
            <w:ind w:left="420"/>
          </w:pPr>
          <w:r>
            <w:fldChar w:fldCharType="begin"/>
          </w:r>
          <w:r>
            <w:instrText xml:space="preserve"> HYPERLINK \l "_Toc13848"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_Toc13848 \h </w:instrText>
          </w:r>
          <w:r>
            <w:fldChar w:fldCharType="separate"/>
          </w:r>
          <w:r>
            <w:t>13</w:t>
          </w:r>
          <w:r>
            <w:fldChar w:fldCharType="end"/>
          </w:r>
          <w:r>
            <w:fldChar w:fldCharType="end"/>
          </w:r>
        </w:p>
        <w:p>
          <w:pPr>
            <w:pStyle w:val="32"/>
            <w:tabs>
              <w:tab w:val="right" w:leader="dot" w:pos="8306"/>
            </w:tabs>
            <w:ind w:left="420"/>
          </w:pPr>
          <w:r>
            <w:fldChar w:fldCharType="begin"/>
          </w:r>
          <w:r>
            <w:instrText xml:space="preserve"> HYPERLINK \l "_Toc26595" </w:instrText>
          </w:r>
          <w:r>
            <w:fldChar w:fldCharType="separate"/>
          </w:r>
          <w:r>
            <w:rPr>
              <w:rFonts w:hint="eastAsia" w:ascii="黑体" w:hAnsi="黑体" w:eastAsia="黑体"/>
            </w:rPr>
            <w:t>九、国有资本经营预算支出决算情况说明</w:t>
          </w:r>
          <w:r>
            <w:tab/>
          </w:r>
          <w:r>
            <w:fldChar w:fldCharType="begin"/>
          </w:r>
          <w:r>
            <w:instrText xml:space="preserve"> PAGEREF _Toc26595 \h </w:instrText>
          </w:r>
          <w:r>
            <w:fldChar w:fldCharType="separate"/>
          </w:r>
          <w:r>
            <w:t>14</w:t>
          </w:r>
          <w:r>
            <w:fldChar w:fldCharType="end"/>
          </w:r>
          <w:r>
            <w:fldChar w:fldCharType="end"/>
          </w:r>
        </w:p>
        <w:p>
          <w:pPr>
            <w:pStyle w:val="32"/>
            <w:tabs>
              <w:tab w:val="right" w:leader="dot" w:pos="8306"/>
            </w:tabs>
            <w:ind w:left="420"/>
          </w:pPr>
          <w:r>
            <w:fldChar w:fldCharType="begin"/>
          </w:r>
          <w:r>
            <w:instrText xml:space="preserve"> HYPERLINK \l "_Toc8751" </w:instrText>
          </w:r>
          <w:r>
            <w:fldChar w:fldCharType="separate"/>
          </w:r>
          <w:r>
            <w:rPr>
              <w:rFonts w:hint="eastAsia" w:ascii="黑体" w:hAnsi="黑体" w:eastAsia="黑体"/>
            </w:rPr>
            <w:t>十、其他重要事项的情况说明</w:t>
          </w:r>
          <w:r>
            <w:tab/>
          </w:r>
          <w:r>
            <w:fldChar w:fldCharType="begin"/>
          </w:r>
          <w:r>
            <w:instrText xml:space="preserve"> PAGEREF _Toc8751 \h </w:instrText>
          </w:r>
          <w:r>
            <w:fldChar w:fldCharType="separate"/>
          </w:r>
          <w:r>
            <w:t>14</w:t>
          </w:r>
          <w:r>
            <w:fldChar w:fldCharType="end"/>
          </w:r>
          <w:r>
            <w:fldChar w:fldCharType="end"/>
          </w:r>
        </w:p>
        <w:p>
          <w:pPr>
            <w:pStyle w:val="31"/>
            <w:tabs>
              <w:tab w:val="right" w:leader="dot" w:pos="8306"/>
            </w:tabs>
            <w:rPr>
              <w:b/>
            </w:rPr>
          </w:pPr>
          <w:r>
            <w:fldChar w:fldCharType="begin"/>
          </w:r>
          <w:r>
            <w:instrText xml:space="preserve"> HYPERLINK \l "_Toc18740"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_Toc18740 \h </w:instrText>
          </w:r>
          <w:r>
            <w:rPr>
              <w:b/>
            </w:rPr>
            <w:fldChar w:fldCharType="separate"/>
          </w:r>
          <w:r>
            <w:rPr>
              <w:b/>
            </w:rPr>
            <w:t>16</w:t>
          </w:r>
          <w:r>
            <w:rPr>
              <w:b/>
            </w:rPr>
            <w:fldChar w:fldCharType="end"/>
          </w:r>
          <w:r>
            <w:rPr>
              <w:b/>
            </w:rPr>
            <w:fldChar w:fldCharType="end"/>
          </w:r>
        </w:p>
        <w:p>
          <w:pPr>
            <w:pStyle w:val="31"/>
            <w:tabs>
              <w:tab w:val="right" w:leader="dot" w:pos="8306"/>
            </w:tabs>
            <w:rPr>
              <w:b/>
            </w:rPr>
          </w:pPr>
          <w:r>
            <w:fldChar w:fldCharType="begin"/>
          </w:r>
          <w:r>
            <w:instrText xml:space="preserve"> HYPERLINK \l "_Toc17301" </w:instrText>
          </w:r>
          <w: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_Toc17301 \h </w:instrText>
          </w:r>
          <w:r>
            <w:rPr>
              <w:b/>
            </w:rPr>
            <w:fldChar w:fldCharType="separate"/>
          </w:r>
          <w:r>
            <w:rPr>
              <w:b/>
            </w:rPr>
            <w:t>18</w:t>
          </w:r>
          <w:r>
            <w:rPr>
              <w:b/>
            </w:rPr>
            <w:fldChar w:fldCharType="end"/>
          </w:r>
          <w:r>
            <w:rPr>
              <w:b/>
            </w:rPr>
            <w:fldChar w:fldCharType="end"/>
          </w:r>
        </w:p>
        <w:p>
          <w:pPr>
            <w:pStyle w:val="31"/>
            <w:tabs>
              <w:tab w:val="right" w:leader="dot" w:pos="8306"/>
            </w:tabs>
            <w:rPr>
              <w:b/>
            </w:rPr>
          </w:pPr>
          <w:r>
            <w:fldChar w:fldCharType="begin"/>
          </w:r>
          <w:r>
            <w:instrText xml:space="preserve"> HYPERLINK \l "_Toc29329" </w:instrText>
          </w:r>
          <w: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_Toc29329 \h </w:instrText>
          </w:r>
          <w:r>
            <w:rPr>
              <w:b/>
            </w:rPr>
            <w:fldChar w:fldCharType="separate"/>
          </w:r>
          <w:r>
            <w:rPr>
              <w:b/>
            </w:rPr>
            <w:t>20</w:t>
          </w:r>
          <w:r>
            <w:rPr>
              <w:b/>
            </w:rPr>
            <w:fldChar w:fldCharType="end"/>
          </w:r>
          <w:r>
            <w:rPr>
              <w:b/>
            </w:rPr>
            <w:fldChar w:fldCharType="end"/>
          </w:r>
        </w:p>
        <w:p>
          <w:pPr>
            <w:pStyle w:val="32"/>
            <w:tabs>
              <w:tab w:val="right" w:leader="dot" w:pos="8306"/>
            </w:tabs>
            <w:ind w:left="420"/>
          </w:pPr>
          <w:r>
            <w:fldChar w:fldCharType="begin"/>
          </w:r>
          <w:r>
            <w:instrText xml:space="preserve"> HYPERLINK \l "_Toc1522" </w:instrText>
          </w:r>
          <w:r>
            <w:fldChar w:fldCharType="separate"/>
          </w:r>
          <w:r>
            <w:rPr>
              <w:rFonts w:hint="eastAsia" w:ascii="仿宋" w:hAnsi="仿宋" w:eastAsia="仿宋"/>
            </w:rPr>
            <w:t>一、收入支出决算总表</w:t>
          </w:r>
          <w:r>
            <w:tab/>
          </w:r>
          <w:r>
            <w:fldChar w:fldCharType="begin"/>
          </w:r>
          <w:r>
            <w:instrText xml:space="preserve"> PAGEREF _Toc1522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"_Toc15043" </w:instrText>
          </w:r>
          <w:r>
            <w:fldChar w:fldCharType="separate"/>
          </w:r>
          <w:r>
            <w:rPr>
              <w:rFonts w:hint="eastAsia" w:ascii="仿宋" w:hAnsi="仿宋" w:eastAsia="仿宋"/>
            </w:rPr>
            <w:t>二、收入决算表</w:t>
          </w:r>
          <w:r>
            <w:tab/>
          </w:r>
          <w:r>
            <w:fldChar w:fldCharType="begin"/>
          </w:r>
          <w:r>
            <w:instrText xml:space="preserve"> PAGEREF _Toc15043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"_Toc8094" </w:instrText>
          </w:r>
          <w:r>
            <w:fldChar w:fldCharType="separate"/>
          </w:r>
          <w:r>
            <w:rPr>
              <w:rFonts w:hint="eastAsia" w:ascii="仿宋" w:hAnsi="仿宋" w:eastAsia="仿宋"/>
            </w:rPr>
            <w:t>三、支出决算表</w:t>
          </w:r>
          <w:r>
            <w:tab/>
          </w:r>
          <w:r>
            <w:fldChar w:fldCharType="begin"/>
          </w:r>
          <w:r>
            <w:instrText xml:space="preserve"> PAGEREF _Toc8094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"_Toc13975" </w:instrText>
          </w:r>
          <w:r>
            <w:fldChar w:fldCharType="separate"/>
          </w:r>
          <w:r>
            <w:rPr>
              <w:rFonts w:hint="eastAsia" w:ascii="仿宋" w:hAnsi="仿宋" w:eastAsia="仿宋"/>
            </w:rPr>
            <w:t>四、财政拨款收入支出决算总表</w:t>
          </w:r>
          <w:r>
            <w:tab/>
          </w:r>
          <w:r>
            <w:fldChar w:fldCharType="begin"/>
          </w:r>
          <w:r>
            <w:instrText xml:space="preserve"> PAGEREF _Toc13975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"_Toc29378" </w:instrText>
          </w:r>
          <w:r>
            <w:fldChar w:fldCharType="separate"/>
          </w:r>
          <w:r>
            <w:rPr>
              <w:rFonts w:hint="eastAsia" w:ascii="仿宋" w:hAnsi="仿宋" w:eastAsia="仿宋"/>
            </w:rPr>
            <w:t>五、财政拨款支出决算明细表</w:t>
          </w:r>
          <w:r>
            <w:tab/>
          </w:r>
          <w:r>
            <w:fldChar w:fldCharType="begin"/>
          </w:r>
          <w:r>
            <w:instrText xml:space="preserve"> PAGEREF _Toc29378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"_Toc1519" </w:instrText>
          </w:r>
          <w:r>
            <w:fldChar w:fldCharType="separate"/>
          </w:r>
          <w:r>
            <w:rPr>
              <w:rFonts w:hint="eastAsia" w:ascii="仿宋" w:hAnsi="仿宋" w:eastAsia="仿宋"/>
            </w:rPr>
            <w:t>六、一般公共预算财政拨款支出决算表</w:t>
          </w:r>
          <w:r>
            <w:tab/>
          </w:r>
          <w:r>
            <w:fldChar w:fldCharType="begin"/>
          </w:r>
          <w:r>
            <w:instrText xml:space="preserve"> PAGEREF _Toc1519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"_Toc21646" </w:instrText>
          </w:r>
          <w:r>
            <w:fldChar w:fldCharType="separate"/>
          </w:r>
          <w:r>
            <w:rPr>
              <w:rFonts w:hint="eastAsia" w:ascii="仿宋" w:hAnsi="仿宋" w:eastAsia="仿宋"/>
            </w:rPr>
            <w:t>七、一般公共预算财政拨款支出决算明细表</w:t>
          </w:r>
          <w:r>
            <w:tab/>
          </w:r>
          <w:r>
            <w:fldChar w:fldCharType="begin"/>
          </w:r>
          <w:r>
            <w:instrText xml:space="preserve"> PAGEREF _Toc21646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"_Toc29358" </w:instrText>
          </w:r>
          <w:r>
            <w:fldChar w:fldCharType="separate"/>
          </w:r>
          <w:r>
            <w:rPr>
              <w:rFonts w:hint="eastAsia" w:ascii="仿宋" w:hAnsi="仿宋" w:eastAsia="仿宋"/>
            </w:rPr>
            <w:t>八、一般公共预算财政拨款基本支出决算表</w:t>
          </w:r>
          <w:r>
            <w:tab/>
          </w:r>
          <w:r>
            <w:fldChar w:fldCharType="begin"/>
          </w:r>
          <w:r>
            <w:instrText xml:space="preserve"> PAGEREF _Toc29358 \h </w:instrText>
          </w:r>
          <w:r>
            <w:fldChar w:fldCharType="separate"/>
          </w:r>
          <w:r>
            <w:t>20</w:t>
          </w:r>
          <w:r>
            <w:fldChar w:fldCharType="end"/>
          </w:r>
          <w:r>
            <w:fldChar w:fldCharType="end"/>
          </w:r>
        </w:p>
        <w:p>
          <w:pPr>
            <w:pStyle w:val="32"/>
            <w:tabs>
              <w:tab w:val="right" w:leader="dot" w:pos="8306"/>
            </w:tabs>
            <w:ind w:left="420"/>
          </w:pPr>
          <w:r>
            <w:fldChar w:fldCharType="begin"/>
          </w:r>
          <w:r>
            <w:instrText xml:space="preserve"> HYPERLINK \l "_Toc21252" </w:instrText>
          </w:r>
          <w:r>
            <w:fldChar w:fldCharType="separate"/>
          </w:r>
          <w:r>
            <w:rPr>
              <w:rFonts w:hint="eastAsia" w:ascii="仿宋" w:hAnsi="仿宋" w:eastAsia="仿宋"/>
            </w:rPr>
            <w:t>九、一般公共预算财政拨款项目支出决算表</w:t>
          </w:r>
          <w:r>
            <w:tab/>
          </w:r>
          <w:r>
            <w:fldChar w:fldCharType="begin"/>
          </w:r>
          <w:r>
            <w:instrText xml:space="preserve"> PAGEREF _Toc21252 \h </w:instrText>
          </w:r>
          <w:r>
            <w:fldChar w:fldCharType="separate"/>
          </w:r>
          <w:r>
            <w:t>20</w:t>
          </w:r>
          <w:r>
            <w:fldChar w:fldCharType="end"/>
          </w:r>
          <w:r>
            <w:fldChar w:fldCharType="end"/>
          </w:r>
        </w:p>
        <w:p>
          <w:pPr>
            <w:pStyle w:val="32"/>
            <w:tabs>
              <w:tab w:val="right" w:leader="dot" w:pos="8306"/>
            </w:tabs>
            <w:ind w:left="420"/>
            <w:rPr>
              <w:rFonts w:ascii="仿宋" w:hAnsi="仿宋" w:eastAsia="仿宋"/>
            </w:rPr>
          </w:pPr>
          <w:r>
            <w:fldChar w:fldCharType="begin"/>
          </w:r>
          <w:r>
            <w:instrText xml:space="preserve"> HYPERLINK \l "_Toc14290" </w:instrText>
          </w:r>
          <w:r>
            <w:fldChar w:fldCharType="separate"/>
          </w:r>
          <w:r>
            <w:rPr>
              <w:rFonts w:hint="eastAsia" w:ascii="仿宋" w:hAnsi="仿宋" w:eastAsia="仿宋"/>
            </w:rPr>
            <w:t>十、一般公共预算财政拨款“三公”经费支出决算表（此表无数据）</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_Toc14290 \h </w:instrText>
          </w:r>
          <w:r>
            <w:rPr>
              <w:rFonts w:hint="eastAsia" w:ascii="仿宋" w:hAnsi="仿宋" w:eastAsia="仿宋"/>
            </w:rPr>
            <w:fldChar w:fldCharType="separate"/>
          </w:r>
          <w:r>
            <w:rPr>
              <w:rFonts w:ascii="仿宋" w:hAnsi="仿宋" w:eastAsia="仿宋"/>
            </w:rPr>
            <w:t>20</w:t>
          </w:r>
          <w:r>
            <w:rPr>
              <w:rFonts w:hint="eastAsia" w:ascii="仿宋" w:hAnsi="仿宋" w:eastAsia="仿宋"/>
            </w:rPr>
            <w:fldChar w:fldCharType="end"/>
          </w:r>
          <w:r>
            <w:rPr>
              <w:rFonts w:hint="eastAsia" w:ascii="仿宋" w:hAnsi="仿宋" w:eastAsia="仿宋"/>
            </w:rPr>
            <w:fldChar w:fldCharType="end"/>
          </w:r>
        </w:p>
        <w:p>
          <w:pPr>
            <w:pStyle w:val="32"/>
            <w:tabs>
              <w:tab w:val="right" w:leader="dot" w:pos="8306"/>
            </w:tabs>
            <w:ind w:left="420"/>
            <w:rPr>
              <w:rFonts w:ascii="仿宋" w:hAnsi="仿宋" w:eastAsia="仿宋"/>
            </w:rPr>
          </w:pPr>
          <w:r>
            <w:fldChar w:fldCharType="begin"/>
          </w:r>
          <w:r>
            <w:instrText xml:space="preserve"> HYPERLINK \l "_Toc5668" </w:instrText>
          </w:r>
          <w:r>
            <w:fldChar w:fldCharType="separate"/>
          </w:r>
          <w:r>
            <w:rPr>
              <w:rFonts w:hint="eastAsia" w:ascii="仿宋" w:hAnsi="仿宋" w:eastAsia="仿宋"/>
            </w:rPr>
            <w:t>十一、政府性基金预算财政拨款收入支出决算表（此表无数据）</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_Toc5668 \h </w:instrText>
          </w:r>
          <w:r>
            <w:rPr>
              <w:rFonts w:hint="eastAsia" w:ascii="仿宋" w:hAnsi="仿宋" w:eastAsia="仿宋"/>
            </w:rPr>
            <w:fldChar w:fldCharType="separate"/>
          </w:r>
          <w:r>
            <w:rPr>
              <w:rFonts w:ascii="仿宋" w:hAnsi="仿宋" w:eastAsia="仿宋"/>
            </w:rPr>
            <w:t>20</w:t>
          </w:r>
          <w:r>
            <w:rPr>
              <w:rFonts w:hint="eastAsia" w:ascii="仿宋" w:hAnsi="仿宋" w:eastAsia="仿宋"/>
            </w:rPr>
            <w:fldChar w:fldCharType="end"/>
          </w:r>
          <w:r>
            <w:rPr>
              <w:rFonts w:hint="eastAsia" w:ascii="仿宋" w:hAnsi="仿宋" w:eastAsia="仿宋"/>
            </w:rPr>
            <w:fldChar w:fldCharType="end"/>
          </w:r>
        </w:p>
        <w:p>
          <w:pPr>
            <w:pStyle w:val="32"/>
            <w:tabs>
              <w:tab w:val="right" w:leader="dot" w:pos="8306"/>
            </w:tabs>
            <w:ind w:left="420"/>
            <w:rPr>
              <w:rFonts w:ascii="仿宋" w:hAnsi="仿宋" w:eastAsia="仿宋"/>
            </w:rPr>
          </w:pPr>
          <w:r>
            <w:fldChar w:fldCharType="begin"/>
          </w:r>
          <w:r>
            <w:instrText xml:space="preserve"> HYPERLINK \l "_Toc14957" </w:instrText>
          </w:r>
          <w:r>
            <w:fldChar w:fldCharType="separate"/>
          </w:r>
          <w:r>
            <w:rPr>
              <w:rFonts w:hint="eastAsia" w:ascii="仿宋" w:hAnsi="仿宋" w:eastAsia="仿宋"/>
            </w:rPr>
            <w:t>十二、政府性基金预算财政拨款“三公”经费支出决算表（此表无数据）</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_Toc14957 \h </w:instrText>
          </w:r>
          <w:r>
            <w:rPr>
              <w:rFonts w:hint="eastAsia" w:ascii="仿宋" w:hAnsi="仿宋" w:eastAsia="仿宋"/>
            </w:rPr>
            <w:fldChar w:fldCharType="separate"/>
          </w:r>
          <w:r>
            <w:rPr>
              <w:rFonts w:ascii="仿宋" w:hAnsi="仿宋" w:eastAsia="仿宋"/>
            </w:rPr>
            <w:t>20</w:t>
          </w:r>
          <w:r>
            <w:rPr>
              <w:rFonts w:hint="eastAsia" w:ascii="仿宋" w:hAnsi="仿宋" w:eastAsia="仿宋"/>
            </w:rPr>
            <w:fldChar w:fldCharType="end"/>
          </w:r>
          <w:r>
            <w:rPr>
              <w:rFonts w:hint="eastAsia" w:ascii="仿宋" w:hAnsi="仿宋" w:eastAsia="仿宋"/>
            </w:rPr>
            <w:fldChar w:fldCharType="end"/>
          </w:r>
        </w:p>
        <w:p>
          <w:pPr>
            <w:pStyle w:val="32"/>
            <w:tabs>
              <w:tab w:val="right" w:leader="dot" w:pos="8306"/>
            </w:tabs>
            <w:ind w:left="420"/>
            <w:rPr>
              <w:rFonts w:ascii="仿宋" w:hAnsi="仿宋" w:eastAsia="仿宋"/>
            </w:rPr>
          </w:pPr>
          <w:r>
            <w:fldChar w:fldCharType="begin"/>
          </w:r>
          <w:r>
            <w:instrText xml:space="preserve"> HYPERLINK \l "_Toc8067" </w:instrText>
          </w:r>
          <w:r>
            <w:fldChar w:fldCharType="separate"/>
          </w:r>
          <w:r>
            <w:rPr>
              <w:rFonts w:hint="eastAsia" w:ascii="仿宋" w:hAnsi="仿宋" w:eastAsia="仿宋"/>
            </w:rPr>
            <w:t>十三、国有资本经营预算财政拨款收入支出决算表（此表无数据）</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_Toc8067 \h </w:instrText>
          </w:r>
          <w:r>
            <w:rPr>
              <w:rFonts w:hint="eastAsia" w:ascii="仿宋" w:hAnsi="仿宋" w:eastAsia="仿宋"/>
            </w:rPr>
            <w:fldChar w:fldCharType="separate"/>
          </w:r>
          <w:r>
            <w:rPr>
              <w:rFonts w:ascii="仿宋" w:hAnsi="仿宋" w:eastAsia="仿宋"/>
            </w:rPr>
            <w:t>20</w:t>
          </w:r>
          <w:r>
            <w:rPr>
              <w:rFonts w:hint="eastAsia" w:ascii="仿宋" w:hAnsi="仿宋" w:eastAsia="仿宋"/>
            </w:rPr>
            <w:fldChar w:fldCharType="end"/>
          </w:r>
          <w:r>
            <w:rPr>
              <w:rFonts w:hint="eastAsia" w:ascii="仿宋" w:hAnsi="仿宋" w:eastAsia="仿宋"/>
            </w:rPr>
            <w:fldChar w:fldCharType="end"/>
          </w:r>
        </w:p>
        <w:p>
          <w:pPr>
            <w:pStyle w:val="32"/>
            <w:tabs>
              <w:tab w:val="right" w:leader="dot" w:pos="8306"/>
            </w:tabs>
            <w:ind w:left="420"/>
          </w:pPr>
          <w:r>
            <w:fldChar w:fldCharType="begin"/>
          </w:r>
          <w:r>
            <w:instrText xml:space="preserve"> HYPERLINK \l "_Toc2914" </w:instrText>
          </w:r>
          <w:r>
            <w:fldChar w:fldCharType="separate"/>
          </w:r>
          <w:r>
            <w:rPr>
              <w:rFonts w:hint="eastAsia" w:ascii="仿宋" w:hAnsi="仿宋" w:eastAsia="仿宋"/>
            </w:rPr>
            <w:t>十四、国有资本经营预算财政拨款支出决算表（此表无数据）</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_Toc2914 \h </w:instrText>
          </w:r>
          <w:r>
            <w:rPr>
              <w:rFonts w:hint="eastAsia" w:ascii="仿宋" w:hAnsi="仿宋" w:eastAsia="仿宋"/>
            </w:rPr>
            <w:fldChar w:fldCharType="separate"/>
          </w:r>
          <w:r>
            <w:rPr>
              <w:rFonts w:ascii="仿宋" w:hAnsi="仿宋" w:eastAsia="仿宋"/>
            </w:rPr>
            <w:t>20</w:t>
          </w:r>
          <w:r>
            <w:rPr>
              <w:rFonts w:hint="eastAsia" w:ascii="仿宋" w:hAnsi="仿宋" w:eastAsia="仿宋"/>
            </w:rPr>
            <w:fldChar w:fldCharType="end"/>
          </w:r>
          <w:r>
            <w:rPr>
              <w:rFonts w:hint="eastAsia" w:ascii="仿宋" w:hAnsi="仿宋" w:eastAsia="仿宋"/>
            </w:rPr>
            <w:fldChar w:fldCharType="end"/>
          </w:r>
        </w:p>
        <w:p>
          <w:r>
            <w:rPr>
              <w:b/>
            </w:rPr>
            <w:fldChar w:fldCharType="end"/>
          </w:r>
        </w:p>
      </w:sdtContent>
    </w:sdt>
    <w:p>
      <w:pPr>
        <w:pStyle w:val="3"/>
        <w:jc w:val="center"/>
        <w:rPr>
          <w:rFonts w:ascii="黑体" w:hAnsi="黑体" w:eastAsia="黑体"/>
          <w:b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31671"/>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p>
    <w:p>
      <w:pPr>
        <w:pStyle w:val="4"/>
        <w:numPr>
          <w:ilvl w:val="0"/>
          <w:numId w:val="1"/>
        </w:numPr>
        <w:rPr>
          <w:rStyle w:val="26"/>
          <w:rFonts w:ascii="黑体" w:hAnsi="黑体" w:eastAsia="黑体"/>
          <w:b w:val="0"/>
          <w:bCs w:val="0"/>
        </w:rPr>
      </w:pPr>
      <w:bookmarkStart w:id="13" w:name="_Toc2856"/>
      <w:bookmarkStart w:id="14" w:name="_Toc15377197"/>
      <w:bookmarkStart w:id="15" w:name="_Toc15396600"/>
      <w:r>
        <w:rPr>
          <w:rStyle w:val="26"/>
          <w:rFonts w:hint="eastAsia" w:ascii="黑体" w:hAnsi="黑体" w:eastAsia="黑体"/>
          <w:b w:val="0"/>
          <w:bCs w:val="0"/>
        </w:rPr>
        <w:t>职能简介</w:t>
      </w:r>
      <w:bookmarkEnd w:id="13"/>
    </w:p>
    <w:p>
      <w:pPr>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落实旅游业公共服务发展政策、法规、规划、标准，开展本市旅游公共服务工作，协助推进区域旅游公共服务一体化工作</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实施旅游公共信息服务体系建设，负责旅游公共服务信息平台运营、维护和管理</w:t>
      </w:r>
      <w:r>
        <w:rPr>
          <w:rFonts w:hint="eastAsia" w:ascii="仿宋_GB2312" w:hAnsi="仿宋" w:eastAsia="仿宋_GB2312"/>
          <w:sz w:val="32"/>
          <w:szCs w:val="32"/>
        </w:rPr>
        <w:t>，</w:t>
      </w:r>
      <w:r>
        <w:rPr>
          <w:rFonts w:ascii="仿宋_GB2312" w:hAnsi="仿宋" w:eastAsia="仿宋_GB2312"/>
          <w:sz w:val="32"/>
          <w:szCs w:val="32"/>
        </w:rPr>
        <w:t>发布相关旅游公共服务信息</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负责旅游公共服务设施管理</w:t>
      </w:r>
      <w:r>
        <w:rPr>
          <w:rFonts w:hint="eastAsia" w:ascii="仿宋_GB2312" w:hAnsi="仿宋" w:eastAsia="仿宋_GB2312"/>
          <w:sz w:val="32"/>
          <w:szCs w:val="32"/>
        </w:rPr>
        <w:t>，</w:t>
      </w:r>
      <w:r>
        <w:rPr>
          <w:rFonts w:ascii="仿宋_GB2312" w:hAnsi="仿宋" w:eastAsia="仿宋_GB2312"/>
          <w:sz w:val="32"/>
          <w:szCs w:val="32"/>
        </w:rPr>
        <w:t>引导旅游咨询站（点）的布局</w:t>
      </w:r>
      <w:r>
        <w:rPr>
          <w:rFonts w:hint="eastAsia" w:ascii="仿宋_GB2312" w:hAnsi="仿宋" w:eastAsia="仿宋_GB2312"/>
          <w:sz w:val="32"/>
          <w:szCs w:val="32"/>
        </w:rPr>
        <w:t>、</w:t>
      </w:r>
      <w:r>
        <w:rPr>
          <w:rFonts w:ascii="仿宋_GB2312" w:hAnsi="仿宋" w:eastAsia="仿宋_GB2312"/>
          <w:sz w:val="32"/>
          <w:szCs w:val="32"/>
        </w:rPr>
        <w:t>设置</w:t>
      </w:r>
      <w:r>
        <w:rPr>
          <w:rFonts w:hint="eastAsia" w:ascii="仿宋_GB2312" w:hAnsi="仿宋" w:eastAsia="仿宋_GB2312"/>
          <w:sz w:val="32"/>
          <w:szCs w:val="32"/>
        </w:rPr>
        <w:t>和管理</w:t>
      </w:r>
      <w:r>
        <w:rPr>
          <w:rFonts w:ascii="仿宋_GB2312" w:hAnsi="仿宋" w:eastAsia="仿宋_GB2312"/>
          <w:sz w:val="32"/>
          <w:szCs w:val="32"/>
        </w:rPr>
        <w:t>，开展旅游</w:t>
      </w:r>
      <w:r>
        <w:rPr>
          <w:rFonts w:hint="eastAsia" w:ascii="仿宋_GB2312" w:hAnsi="仿宋" w:eastAsia="仿宋_GB2312"/>
          <w:sz w:val="32"/>
          <w:szCs w:val="32"/>
        </w:rPr>
        <w:t>咨询服务。</w:t>
      </w:r>
    </w:p>
    <w:p>
      <w:pPr>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实施旅游便民服务体系建设，建立与市场对接的服务平台与信息机制，加强旅游公益性服务</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负责旅游从业者教育培训服务</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负责文旅产业投资促进服务、项目推进服务及统计工作。</w:t>
      </w:r>
    </w:p>
    <w:p>
      <w:pPr>
        <w:ind w:firstLine="640" w:firstLineChars="200"/>
      </w:pPr>
      <w:r>
        <w:rPr>
          <w:rFonts w:hint="eastAsia" w:ascii="仿宋_GB2312" w:hAnsi="仿宋" w:eastAsia="仿宋_GB2312"/>
          <w:sz w:val="32"/>
          <w:szCs w:val="32"/>
        </w:rPr>
        <w:t>7.</w:t>
      </w:r>
      <w:r>
        <w:rPr>
          <w:rFonts w:ascii="仿宋_GB2312" w:hAnsi="仿宋" w:eastAsia="仿宋_GB2312"/>
          <w:sz w:val="32"/>
          <w:szCs w:val="32"/>
        </w:rPr>
        <w:t>负责攀枝花宾馆45名离退休人员管理工作。</w:t>
      </w:r>
    </w:p>
    <w:p>
      <w:pPr>
        <w:pStyle w:val="4"/>
        <w:rPr>
          <w:rFonts w:ascii="黑体" w:hAnsi="黑体" w:eastAsia="黑体"/>
          <w:b w:val="0"/>
        </w:rPr>
      </w:pPr>
      <w:bookmarkStart w:id="16" w:name="_Toc8228"/>
      <w:r>
        <w:rPr>
          <w:rFonts w:hint="eastAsia" w:ascii="黑体" w:hAnsi="黑体" w:eastAsia="黑体"/>
          <w:b w:val="0"/>
        </w:rPr>
        <w:t>二、2021年重点工作</w:t>
      </w:r>
      <w:bookmarkEnd w:id="14"/>
      <w:bookmarkEnd w:id="15"/>
      <w:r>
        <w:rPr>
          <w:rFonts w:hint="eastAsia" w:ascii="黑体" w:hAnsi="黑体" w:eastAsia="黑体"/>
          <w:b w:val="0"/>
        </w:rPr>
        <w:t>完成情况</w:t>
      </w:r>
      <w:bookmarkEnd w:id="16"/>
    </w:p>
    <w:p>
      <w:pPr>
        <w:spacing w:line="570" w:lineRule="exact"/>
        <w:ind w:firstLine="640" w:firstLineChars="200"/>
        <w:rPr>
          <w:rFonts w:ascii="楷体" w:hAnsi="楷体" w:eastAsia="楷体"/>
          <w:sz w:val="32"/>
          <w:szCs w:val="32"/>
        </w:rPr>
      </w:pPr>
      <w:r>
        <w:rPr>
          <w:rFonts w:hint="eastAsia" w:ascii="楷体" w:hAnsi="楷体" w:eastAsia="楷体"/>
          <w:sz w:val="32"/>
          <w:szCs w:val="32"/>
        </w:rPr>
        <w:t>（一）项目促进。</w:t>
      </w:r>
    </w:p>
    <w:p>
      <w:pPr>
        <w:spacing w:line="570" w:lineRule="exact"/>
        <w:ind w:firstLine="640" w:firstLineChars="200"/>
        <w:rPr>
          <w:rFonts w:eastAsia="仿宋_GB2312"/>
          <w:sz w:val="32"/>
          <w:szCs w:val="32"/>
        </w:rPr>
      </w:pPr>
      <w:r>
        <w:rPr>
          <w:rFonts w:hint="eastAsia" w:eastAsia="仿宋_GB2312"/>
          <w:sz w:val="32"/>
          <w:szCs w:val="32"/>
        </w:rPr>
        <w:t>1．省级重点文旅项目。</w:t>
      </w:r>
    </w:p>
    <w:p>
      <w:pPr>
        <w:spacing w:line="570" w:lineRule="exact"/>
        <w:ind w:firstLine="640" w:firstLineChars="200"/>
        <w:rPr>
          <w:rFonts w:eastAsia="仿宋_GB2312"/>
          <w:sz w:val="32"/>
          <w:szCs w:val="32"/>
        </w:rPr>
      </w:pPr>
      <w:r>
        <w:rPr>
          <w:rFonts w:hint="eastAsia" w:eastAsia="仿宋_GB2312"/>
          <w:sz w:val="32"/>
          <w:szCs w:val="32"/>
        </w:rPr>
        <w:t>一是严格按照项目总体建设目标和年度投资计划，有序推进项目建设。落实专人负责项目促进工作，完善项目管理台账，强化日常督促检查，及时掌握项目建设进度。二是协调解决项目推进过程中的困难和问题，对于推进滞后的项目，及时梳理和分析，查找原因，细化举措，及时对因国家宏观调控、产业政策调整、市场发生变化、不可抗力或其他因素影响而不能正常实施的项目进行调出，组织示范、引领、带动作用突出的项目申报新增入库。三是积极向上争取政策，苴却砚文化保护传承利用与旅游融合发展项目、三线建设文化旅游融合发展示范项目分别获得省级资金</w:t>
      </w:r>
      <w:r>
        <w:rPr>
          <w:rFonts w:eastAsia="仿宋_GB2312"/>
          <w:sz w:val="32"/>
          <w:szCs w:val="32"/>
        </w:rPr>
        <w:t>800</w:t>
      </w:r>
      <w:r>
        <w:rPr>
          <w:rFonts w:hint="eastAsia" w:eastAsia="仿宋_GB2312"/>
          <w:sz w:val="32"/>
          <w:szCs w:val="32"/>
        </w:rPr>
        <w:t>万元。</w:t>
      </w:r>
      <w:r>
        <w:rPr>
          <w:rFonts w:eastAsia="仿宋_GB2312"/>
          <w:sz w:val="32"/>
          <w:szCs w:val="32"/>
        </w:rPr>
        <w:t>2021</w:t>
      </w:r>
      <w:r>
        <w:rPr>
          <w:rFonts w:hint="eastAsia" w:eastAsia="仿宋_GB2312"/>
          <w:sz w:val="32"/>
          <w:szCs w:val="32"/>
        </w:rPr>
        <w:t>年，我市共</w:t>
      </w:r>
      <w:r>
        <w:rPr>
          <w:rFonts w:eastAsia="仿宋_GB2312"/>
          <w:sz w:val="32"/>
          <w:szCs w:val="32"/>
        </w:rPr>
        <w:t>21</w:t>
      </w:r>
      <w:r>
        <w:rPr>
          <w:rFonts w:hint="eastAsia" w:eastAsia="仿宋_GB2312"/>
          <w:sz w:val="32"/>
          <w:szCs w:val="32"/>
        </w:rPr>
        <w:t>个项目纳入省级重点文旅项目清单，其中新增加项目</w:t>
      </w:r>
      <w:r>
        <w:rPr>
          <w:rFonts w:eastAsia="仿宋_GB2312"/>
          <w:sz w:val="32"/>
          <w:szCs w:val="32"/>
        </w:rPr>
        <w:t>5</w:t>
      </w:r>
      <w:r>
        <w:rPr>
          <w:rFonts w:hint="eastAsia" w:eastAsia="仿宋_GB2312"/>
          <w:sz w:val="32"/>
          <w:szCs w:val="32"/>
        </w:rPr>
        <w:t>个，竣工项目</w:t>
      </w:r>
      <w:r>
        <w:rPr>
          <w:rFonts w:eastAsia="仿宋_GB2312"/>
          <w:sz w:val="32"/>
          <w:szCs w:val="32"/>
        </w:rPr>
        <w:t>4</w:t>
      </w:r>
      <w:r>
        <w:rPr>
          <w:rFonts w:hint="eastAsia" w:eastAsia="仿宋_GB2312"/>
          <w:sz w:val="32"/>
          <w:szCs w:val="32"/>
        </w:rPr>
        <w:t>个。截至2021年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日，在建项目</w:t>
      </w:r>
      <w:r>
        <w:rPr>
          <w:rFonts w:eastAsia="仿宋_GB2312"/>
          <w:sz w:val="32"/>
          <w:szCs w:val="32"/>
        </w:rPr>
        <w:t>17</w:t>
      </w:r>
      <w:r>
        <w:rPr>
          <w:rFonts w:hint="eastAsia" w:eastAsia="仿宋_GB2312"/>
          <w:sz w:val="32"/>
          <w:szCs w:val="32"/>
        </w:rPr>
        <w:t>个，年度计划投资共计</w:t>
      </w:r>
      <w:r>
        <w:rPr>
          <w:rFonts w:eastAsia="仿宋_GB2312"/>
          <w:sz w:val="32"/>
          <w:szCs w:val="32"/>
        </w:rPr>
        <w:t>41.79</w:t>
      </w:r>
      <w:r>
        <w:rPr>
          <w:rFonts w:hint="eastAsia" w:eastAsia="仿宋_GB2312"/>
          <w:sz w:val="32"/>
          <w:szCs w:val="32"/>
        </w:rPr>
        <w:t>亿元（含竣工项目），已完成投资</w:t>
      </w:r>
      <w:r>
        <w:rPr>
          <w:rFonts w:eastAsia="仿宋_GB2312"/>
          <w:sz w:val="32"/>
          <w:szCs w:val="32"/>
        </w:rPr>
        <w:t>47.17</w:t>
      </w:r>
      <w:r>
        <w:rPr>
          <w:rFonts w:hint="eastAsia" w:eastAsia="仿宋_GB2312"/>
          <w:sz w:val="32"/>
          <w:szCs w:val="32"/>
        </w:rPr>
        <w:t>亿元（含竣工项目），投资完成率</w:t>
      </w:r>
      <w:r>
        <w:rPr>
          <w:rFonts w:eastAsia="仿宋_GB2312"/>
          <w:sz w:val="32"/>
          <w:szCs w:val="32"/>
        </w:rPr>
        <w:t>112.89%</w:t>
      </w:r>
      <w:r>
        <w:rPr>
          <w:rFonts w:hint="eastAsia" w:eastAsia="仿宋_GB2312"/>
          <w:sz w:val="32"/>
          <w:szCs w:val="32"/>
        </w:rPr>
        <w:t>，总体超进度完成目标任务。</w:t>
      </w:r>
    </w:p>
    <w:p>
      <w:pPr>
        <w:spacing w:line="570" w:lineRule="exact"/>
        <w:ind w:firstLine="640" w:firstLineChars="200"/>
        <w:rPr>
          <w:rFonts w:eastAsia="仿宋_GB2312"/>
          <w:sz w:val="32"/>
          <w:szCs w:val="32"/>
        </w:rPr>
      </w:pPr>
      <w:r>
        <w:rPr>
          <w:rFonts w:hint="eastAsia" w:eastAsia="仿宋_GB2312"/>
          <w:sz w:val="32"/>
          <w:szCs w:val="32"/>
        </w:rPr>
        <w:t>2．市级重点文旅项目。</w:t>
      </w:r>
    </w:p>
    <w:p>
      <w:pPr>
        <w:spacing w:line="570" w:lineRule="exact"/>
        <w:ind w:firstLine="640" w:firstLineChars="200"/>
        <w:rPr>
          <w:rFonts w:eastAsia="仿宋_GB2312"/>
          <w:sz w:val="32"/>
          <w:szCs w:val="32"/>
        </w:rPr>
      </w:pPr>
      <w:r>
        <w:rPr>
          <w:rFonts w:hint="eastAsia" w:eastAsia="仿宋_GB2312"/>
          <w:sz w:val="32"/>
          <w:szCs w:val="32"/>
        </w:rPr>
        <w:t>一是按照《攀枝花市康养旅游产业“</w:t>
      </w:r>
      <w:r>
        <w:rPr>
          <w:rFonts w:eastAsia="仿宋_GB2312"/>
          <w:sz w:val="32"/>
          <w:szCs w:val="32"/>
        </w:rPr>
        <w:t>5115</w:t>
      </w:r>
      <w:r>
        <w:rPr>
          <w:rFonts w:hint="eastAsia" w:eastAsia="仿宋_GB2312"/>
          <w:sz w:val="32"/>
          <w:szCs w:val="32"/>
        </w:rPr>
        <w:t>”工程项目康养旅居地和医养结合点优化调整制度》要求，组织各县（区）、“两城”对辖区内的康养旅居地开展了优化调整梳理工作，收到拟调整替换的康养旅居地项目</w:t>
      </w:r>
      <w:r>
        <w:rPr>
          <w:rFonts w:eastAsia="仿宋_GB2312"/>
          <w:sz w:val="32"/>
          <w:szCs w:val="32"/>
        </w:rPr>
        <w:t>3</w:t>
      </w:r>
      <w:r>
        <w:rPr>
          <w:rFonts w:hint="eastAsia" w:eastAsia="仿宋_GB2312"/>
          <w:sz w:val="32"/>
          <w:szCs w:val="32"/>
        </w:rPr>
        <w:t>个，其中东区</w:t>
      </w:r>
      <w:r>
        <w:rPr>
          <w:rFonts w:eastAsia="仿宋_GB2312"/>
          <w:sz w:val="32"/>
          <w:szCs w:val="32"/>
        </w:rPr>
        <w:t>2</w:t>
      </w:r>
      <w:r>
        <w:rPr>
          <w:rFonts w:hint="eastAsia" w:eastAsia="仿宋_GB2312"/>
          <w:sz w:val="32"/>
          <w:szCs w:val="32"/>
        </w:rPr>
        <w:t>个、米易县</w:t>
      </w:r>
      <w:r>
        <w:rPr>
          <w:rFonts w:eastAsia="仿宋_GB2312"/>
          <w:sz w:val="32"/>
          <w:szCs w:val="32"/>
        </w:rPr>
        <w:t>1</w:t>
      </w:r>
      <w:r>
        <w:rPr>
          <w:rFonts w:hint="eastAsia" w:eastAsia="仿宋_GB2312"/>
          <w:sz w:val="32"/>
          <w:szCs w:val="32"/>
        </w:rPr>
        <w:t>个，并按程序将拟调整替换项目报市发展改革委，建议在重新印发“</w:t>
      </w:r>
      <w:r>
        <w:rPr>
          <w:rFonts w:eastAsia="仿宋_GB2312"/>
          <w:sz w:val="32"/>
          <w:szCs w:val="32"/>
        </w:rPr>
        <w:t>1+5</w:t>
      </w:r>
      <w:r>
        <w:rPr>
          <w:rFonts w:hint="eastAsia" w:eastAsia="仿宋_GB2312"/>
          <w:sz w:val="32"/>
          <w:szCs w:val="32"/>
        </w:rPr>
        <w:t>”项目时对拟变更项目名称和建设内容的项目进行更新。二是积极跟进全市重点建设核心文旅项目建设工作，督促项目牵头单位按照年度目标任务推进项目建设。定期收集汇总项目工作进展、存在的问题、下一步工作措施等情况，按要求及时上报。</w:t>
      </w:r>
    </w:p>
    <w:p>
      <w:pPr>
        <w:spacing w:line="570" w:lineRule="exact"/>
        <w:ind w:firstLine="640" w:firstLineChars="200"/>
        <w:rPr>
          <w:rFonts w:eastAsia="仿宋_GB2312"/>
          <w:sz w:val="32"/>
          <w:szCs w:val="32"/>
        </w:rPr>
      </w:pPr>
      <w:r>
        <w:rPr>
          <w:rFonts w:hint="eastAsia" w:eastAsia="仿宋_GB2312"/>
          <w:sz w:val="32"/>
          <w:szCs w:val="32"/>
        </w:rPr>
        <w:t>3．招商引资。</w:t>
      </w:r>
    </w:p>
    <w:p>
      <w:pPr>
        <w:spacing w:line="570" w:lineRule="exact"/>
        <w:ind w:firstLine="640"/>
        <w:rPr>
          <w:rFonts w:ascii="方正仿宋_GBK" w:eastAsia="方正仿宋_GBK"/>
          <w:sz w:val="33"/>
          <w:szCs w:val="33"/>
        </w:rPr>
      </w:pPr>
      <w:r>
        <w:rPr>
          <w:rFonts w:hint="eastAsia" w:eastAsia="仿宋_GB2312"/>
          <w:sz w:val="32"/>
          <w:szCs w:val="32"/>
        </w:rPr>
        <w:t>一是围绕文旅产业高质量发展，梳理文旅资源，加强项目包装宣传工作，编制了《攀枝花市文旅项目招商手册》，在西部博览会、四川旅投大会、乐山旅博会等活动现场进行投放。二是积极参加省内外招商引资平台活动，成功争取将金沙江大峡谷综合开发项目、山水二滩农文旅融合度假项目纳入“天府三九大</w:t>
      </w:r>
      <w:r>
        <w:rPr>
          <w:rFonts w:eastAsia="仿宋_GB2312"/>
          <w:sz w:val="32"/>
          <w:szCs w:val="32"/>
        </w:rPr>
        <w:t xml:space="preserve"> </w:t>
      </w:r>
      <w:r>
        <w:rPr>
          <w:rFonts w:hint="eastAsia" w:eastAsia="仿宋_GB2312"/>
          <w:sz w:val="32"/>
          <w:szCs w:val="32"/>
        </w:rPr>
        <w:t>安逸走四川”四川文化旅游推介会重点推介，包装了中国三线文化旅游项目、红格国际运动康养</w:t>
      </w:r>
      <w:r>
        <w:rPr>
          <w:rFonts w:hint="eastAsia" w:cs="宋体"/>
          <w:sz w:val="32"/>
          <w:szCs w:val="32"/>
        </w:rPr>
        <w:t>旅游</w:t>
      </w:r>
      <w:r>
        <w:rPr>
          <w:rFonts w:hint="eastAsia" w:eastAsia="仿宋_GB2312" w:cs="仿宋_GB2312"/>
          <w:sz w:val="32"/>
          <w:szCs w:val="32"/>
        </w:rPr>
        <w:t>度假区、金沙江大峡谷旅游度假区等</w:t>
      </w:r>
      <w:r>
        <w:rPr>
          <w:rFonts w:eastAsia="仿宋_GB2312"/>
          <w:sz w:val="32"/>
          <w:szCs w:val="32"/>
        </w:rPr>
        <w:t>6</w:t>
      </w:r>
      <w:r>
        <w:rPr>
          <w:rFonts w:hint="eastAsia" w:eastAsia="仿宋_GB2312"/>
          <w:sz w:val="32"/>
          <w:szCs w:val="32"/>
        </w:rPr>
        <w:t>个重点项目参加七届中国（四川）国际旅游投资大会集中发布，组织“栖迟旅游度假区项目”参加大会现场签约。三是积极开展“走出去，引进来”招商。上半年由局主要领导、分管领导带队开展小分队招商</w:t>
      </w:r>
      <w:r>
        <w:rPr>
          <w:rFonts w:eastAsia="仿宋_GB2312"/>
          <w:sz w:val="32"/>
          <w:szCs w:val="32"/>
        </w:rPr>
        <w:t>13</w:t>
      </w:r>
      <w:r>
        <w:rPr>
          <w:rFonts w:hint="eastAsia" w:eastAsia="仿宋_GB2312"/>
          <w:sz w:val="32"/>
          <w:szCs w:val="32"/>
        </w:rPr>
        <w:t>次，加强与目标企业开展对接，邀请到中国旅游集团、成都文旅集团、成都体投集团等企业赴攀考察投资；按照市领导指示，积极对接四川省天文科普学会，就川南天文台项目搬迁至攀枝花境内进行会商，为下一步合作打下基础。</w:t>
      </w:r>
    </w:p>
    <w:p>
      <w:pPr>
        <w:spacing w:line="570" w:lineRule="exact"/>
        <w:ind w:firstLine="640" w:firstLineChars="200"/>
        <w:rPr>
          <w:rFonts w:ascii="楷体" w:hAnsi="楷体" w:eastAsia="楷体"/>
          <w:sz w:val="32"/>
          <w:szCs w:val="32"/>
        </w:rPr>
      </w:pPr>
      <w:r>
        <w:rPr>
          <w:rFonts w:hint="eastAsia" w:ascii="楷体" w:hAnsi="楷体" w:eastAsia="楷体"/>
          <w:sz w:val="32"/>
          <w:szCs w:val="32"/>
        </w:rPr>
        <w:t>（二）文旅统计。</w:t>
      </w:r>
    </w:p>
    <w:p>
      <w:pPr>
        <w:spacing w:line="570" w:lineRule="exact"/>
        <w:ind w:firstLine="640" w:firstLineChars="200"/>
        <w:rPr>
          <w:rFonts w:ascii="仿宋_GB2312" w:hAnsi="黑体" w:eastAsia="仿宋_GB2312"/>
          <w:sz w:val="32"/>
          <w:szCs w:val="32"/>
        </w:rPr>
      </w:pPr>
      <w:r>
        <w:rPr>
          <w:rFonts w:hint="eastAsia" w:ascii="仿宋_GB2312" w:hAnsi="黑体" w:eastAsia="仿宋_GB2312"/>
          <w:sz w:val="32"/>
          <w:szCs w:val="32"/>
        </w:rPr>
        <w:t>一是按照省、市统计工作要求，每季度组织县区统计人员认真做好季报、年报统计工作，完善专业统计数据采集、整理，做好统计资料汇总、上报并建立统计台账。二是做好对县区旅游统计工作的指导工作。县区统计人员流动性较大，对每一位新上岗的统计人员进行一对一培训，确保统计工作的顺利开展。三是认真完成抽样问卷调查工作。做好每一年度国内旅游抽样调查工作，召开专门会议，配合省厅专业老师对县区统计人员和参与抽样调查的企业进行培训，完成并通过省上审核，圆满完成任务。四是及时完成临时统计工作。本着“及时、准确、实用”的原则，认真完成了省级、市级和领导需要的临时性统计报表上报工作，汇总、整理了相关统计数据，较好地发挥了统计岗位的职能和作用。</w:t>
      </w:r>
    </w:p>
    <w:p>
      <w:pPr>
        <w:spacing w:line="570" w:lineRule="exact"/>
        <w:ind w:firstLine="640" w:firstLineChars="200"/>
        <w:rPr>
          <w:rFonts w:ascii="楷体" w:hAnsi="楷体" w:eastAsia="楷体"/>
          <w:sz w:val="32"/>
          <w:szCs w:val="32"/>
        </w:rPr>
      </w:pPr>
      <w:r>
        <w:rPr>
          <w:rFonts w:hint="eastAsia" w:ascii="楷体" w:hAnsi="楷体" w:eastAsia="楷体"/>
          <w:sz w:val="32"/>
          <w:szCs w:val="32"/>
        </w:rPr>
        <w:t>（三）文旅从业人员培训。</w:t>
      </w:r>
    </w:p>
    <w:p>
      <w:pPr>
        <w:spacing w:line="570" w:lineRule="exact"/>
        <w:ind w:firstLine="640" w:firstLineChars="200"/>
        <w:rPr>
          <w:rFonts w:eastAsia="仿宋_GB2312"/>
          <w:sz w:val="32"/>
          <w:szCs w:val="32"/>
        </w:rPr>
      </w:pPr>
      <w:r>
        <w:rPr>
          <w:rFonts w:hint="eastAsia" w:eastAsia="仿宋_GB2312"/>
          <w:sz w:val="32"/>
          <w:szCs w:val="32"/>
        </w:rPr>
        <w:t>一是围绕创建“国际阳光康养旅游目的地”目标和乡村振兴工作要求，把乡村旅游人才培养作为重点工作来抓，将涉改镇村乡村旅游带头人培训工作纳入全市文旅人才培训统筹实施，并优先安排。积极组织包括阿署达村、金家村、迤沙拉村、新山村、昔格达村等涉改村在内的</w:t>
      </w:r>
      <w:r>
        <w:rPr>
          <w:rFonts w:eastAsia="仿宋_GB2312"/>
          <w:sz w:val="32"/>
          <w:szCs w:val="32"/>
        </w:rPr>
        <w:t>6</w:t>
      </w:r>
      <w:r>
        <w:rPr>
          <w:rFonts w:hint="eastAsia" w:eastAsia="仿宋_GB2312"/>
          <w:sz w:val="32"/>
          <w:szCs w:val="32"/>
        </w:rPr>
        <w:t>个村社党政负责人、产业带头人、返乡创业者参加</w:t>
      </w:r>
      <w:r>
        <w:rPr>
          <w:rFonts w:eastAsia="仿宋_GB2312"/>
          <w:sz w:val="32"/>
          <w:szCs w:val="32"/>
        </w:rPr>
        <w:t>2021</w:t>
      </w:r>
      <w:r>
        <w:rPr>
          <w:rFonts w:hint="eastAsia" w:eastAsia="仿宋_GB2312"/>
          <w:sz w:val="32"/>
          <w:szCs w:val="32"/>
        </w:rPr>
        <w:t>年乡村旅游带头人培训班。二是认真贯彻落实《全国文化文物和旅游统计调查制度》，规范全市旅游统计工作。组织召开</w:t>
      </w:r>
      <w:r>
        <w:rPr>
          <w:rFonts w:eastAsia="仿宋_GB2312"/>
          <w:sz w:val="32"/>
          <w:szCs w:val="32"/>
        </w:rPr>
        <w:t>2021</w:t>
      </w:r>
      <w:r>
        <w:rPr>
          <w:rFonts w:hint="eastAsia" w:eastAsia="仿宋_GB2312"/>
          <w:sz w:val="32"/>
          <w:szCs w:val="32"/>
        </w:rPr>
        <w:t>年全市旅游统计工作培训会。来自市文广旅局相关科室、局属单位、县（区）文广旅局及重点文旅企业的</w:t>
      </w:r>
      <w:r>
        <w:rPr>
          <w:rFonts w:eastAsia="仿宋_GB2312"/>
          <w:sz w:val="32"/>
          <w:szCs w:val="32"/>
        </w:rPr>
        <w:t>50</w:t>
      </w:r>
      <w:r>
        <w:rPr>
          <w:rFonts w:hint="eastAsia" w:eastAsia="仿宋_GB2312"/>
          <w:sz w:val="32"/>
          <w:szCs w:val="32"/>
        </w:rPr>
        <w:t>余名学员参加培训。推动</w:t>
      </w:r>
      <w:r>
        <w:rPr>
          <w:rFonts w:hint="eastAsia" w:eastAsia="仿宋_GB2312"/>
          <w:color w:val="000000"/>
          <w:sz w:val="32"/>
          <w:szCs w:val="32"/>
        </w:rPr>
        <w:t>提高旅游统计数据质量，提升全市旅游统计分析和研究工作水平。</w:t>
      </w:r>
    </w:p>
    <w:p>
      <w:pPr>
        <w:spacing w:line="570" w:lineRule="exact"/>
        <w:ind w:firstLine="640" w:firstLineChars="200"/>
        <w:rPr>
          <w:rFonts w:ascii="楷体" w:hAnsi="楷体" w:eastAsia="楷体"/>
          <w:sz w:val="32"/>
          <w:szCs w:val="32"/>
        </w:rPr>
      </w:pPr>
      <w:r>
        <w:rPr>
          <w:rFonts w:hint="eastAsia" w:ascii="楷体" w:hAnsi="楷体" w:eastAsia="楷体"/>
          <w:sz w:val="32"/>
          <w:szCs w:val="32"/>
        </w:rPr>
        <w:t>（四）公共服务。</w:t>
      </w:r>
    </w:p>
    <w:p>
      <w:pPr>
        <w:spacing w:line="570" w:lineRule="exact"/>
        <w:ind w:firstLine="640" w:firstLineChars="200"/>
        <w:rPr>
          <w:rFonts w:eastAsia="仿宋_GB2312"/>
          <w:b/>
          <w:sz w:val="32"/>
          <w:szCs w:val="32"/>
        </w:rPr>
      </w:pPr>
      <w:r>
        <w:rPr>
          <w:rFonts w:hint="eastAsia" w:eastAsia="仿宋_GB2312"/>
          <w:sz w:val="32"/>
          <w:szCs w:val="32"/>
        </w:rPr>
        <w:t>一是持续开展旅游“厕所革命”。推进厕所建设标准化，在旅游厕所选址、设计、建设等环节严格把关。全市新（改）建旅游厕所</w:t>
      </w:r>
      <w:r>
        <w:rPr>
          <w:rFonts w:eastAsia="仿宋_GB2312"/>
          <w:sz w:val="32"/>
          <w:szCs w:val="32"/>
        </w:rPr>
        <w:t>7</w:t>
      </w:r>
      <w:r>
        <w:rPr>
          <w:rFonts w:hint="eastAsia" w:eastAsia="仿宋_GB2312"/>
          <w:sz w:val="32"/>
          <w:szCs w:val="32"/>
        </w:rPr>
        <w:t>座（新建</w:t>
      </w:r>
      <w:r>
        <w:rPr>
          <w:rFonts w:eastAsia="仿宋_GB2312"/>
          <w:sz w:val="32"/>
          <w:szCs w:val="32"/>
        </w:rPr>
        <w:t>6</w:t>
      </w:r>
      <w:r>
        <w:rPr>
          <w:rFonts w:hint="eastAsia" w:eastAsia="仿宋_GB2312"/>
          <w:sz w:val="32"/>
          <w:szCs w:val="32"/>
        </w:rPr>
        <w:t>座，改建</w:t>
      </w:r>
      <w:r>
        <w:rPr>
          <w:rFonts w:eastAsia="仿宋_GB2312"/>
          <w:sz w:val="32"/>
          <w:szCs w:val="32"/>
        </w:rPr>
        <w:t>1</w:t>
      </w:r>
      <w:r>
        <w:rPr>
          <w:rFonts w:hint="eastAsia" w:eastAsia="仿宋_GB2312"/>
          <w:sz w:val="32"/>
          <w:szCs w:val="32"/>
        </w:rPr>
        <w:t>座），圆满完成了</w:t>
      </w:r>
      <w:r>
        <w:rPr>
          <w:rFonts w:eastAsia="仿宋_GB2312"/>
          <w:sz w:val="32"/>
          <w:szCs w:val="32"/>
        </w:rPr>
        <w:t>2021</w:t>
      </w:r>
      <w:r>
        <w:rPr>
          <w:rFonts w:hint="eastAsia" w:eastAsia="仿宋_GB2312"/>
          <w:sz w:val="32"/>
          <w:szCs w:val="32"/>
        </w:rPr>
        <w:t>年省级下达目标任务。二是</w:t>
      </w:r>
      <w:r>
        <w:rPr>
          <w:rFonts w:hint="eastAsia" w:eastAsia="仿宋_GB2312" w:cs="仿宋"/>
          <w:sz w:val="32"/>
          <w:szCs w:val="32"/>
        </w:rPr>
        <w:t>加强日常监督，</w:t>
      </w:r>
      <w:r>
        <w:rPr>
          <w:rFonts w:hint="eastAsia" w:eastAsia="方正仿宋_GBK"/>
          <w:color w:val="000000"/>
          <w:sz w:val="32"/>
          <w:szCs w:val="32"/>
        </w:rPr>
        <w:t>督导各县（区）、景区认真开展“拉网式”排查，建立问题台账，共排查出厕所问题</w:t>
      </w:r>
      <w:r>
        <w:rPr>
          <w:rFonts w:eastAsia="方正仿宋_GBK"/>
          <w:color w:val="000000"/>
          <w:sz w:val="32"/>
          <w:szCs w:val="32"/>
        </w:rPr>
        <w:t>12</w:t>
      </w:r>
      <w:r>
        <w:rPr>
          <w:rFonts w:hint="eastAsia" w:eastAsia="方正仿宋_GBK"/>
          <w:color w:val="000000"/>
          <w:sz w:val="32"/>
          <w:szCs w:val="32"/>
        </w:rPr>
        <w:t>个，制定整改计划，限时整改到位。深入重点景区（点）、游客集散地、星级酒店（农家乐）等场所，对专项整治落实情况进行督导，实地检查厕所点位</w:t>
      </w:r>
      <w:r>
        <w:rPr>
          <w:rFonts w:eastAsia="方正仿宋_GBK"/>
          <w:color w:val="000000"/>
          <w:sz w:val="32"/>
          <w:szCs w:val="32"/>
        </w:rPr>
        <w:t>8</w:t>
      </w:r>
      <w:r>
        <w:rPr>
          <w:rFonts w:hint="eastAsia" w:eastAsia="方正仿宋_GBK"/>
          <w:color w:val="000000"/>
          <w:sz w:val="32"/>
          <w:szCs w:val="32"/>
        </w:rPr>
        <w:t>个，对于整改不及时、不到位等问题立即反馈主管单位，限时完成整改。</w:t>
      </w:r>
      <w:r>
        <w:rPr>
          <w:rFonts w:hint="eastAsia" w:eastAsia="仿宋_GB2312"/>
          <w:sz w:val="32"/>
          <w:szCs w:val="32"/>
        </w:rPr>
        <w:t>三是加强城区旅游标识标牌管理维护。会同市住房城乡建设局和有关标牌施工单位对主城区</w:t>
      </w:r>
      <w:r>
        <w:rPr>
          <w:rFonts w:eastAsia="仿宋_GB2312"/>
          <w:sz w:val="32"/>
          <w:szCs w:val="32"/>
        </w:rPr>
        <w:t>34</w:t>
      </w:r>
      <w:r>
        <w:rPr>
          <w:rFonts w:hint="eastAsia" w:eastAsia="仿宋_GB2312"/>
          <w:sz w:val="32"/>
          <w:szCs w:val="32"/>
        </w:rPr>
        <w:t>块旅游标牌进行了摸底排查工作，排查破损、锈蚀情况，及时排除安全隐患，确保旅游标识标牌清晰、准确。</w:t>
      </w:r>
    </w:p>
    <w:p>
      <w:pPr>
        <w:spacing w:line="570" w:lineRule="exact"/>
        <w:ind w:firstLine="640" w:firstLineChars="200"/>
        <w:rPr>
          <w:rFonts w:ascii="楷体" w:hAnsi="楷体" w:eastAsia="楷体"/>
          <w:sz w:val="32"/>
          <w:szCs w:val="32"/>
        </w:rPr>
      </w:pPr>
      <w:r>
        <w:rPr>
          <w:rFonts w:hint="eastAsia" w:ascii="楷体" w:hAnsi="楷体" w:eastAsia="楷体"/>
          <w:sz w:val="32"/>
          <w:szCs w:val="32"/>
        </w:rPr>
        <w:t>（五）退休职工管理。</w:t>
      </w:r>
    </w:p>
    <w:p>
      <w:pPr>
        <w:spacing w:line="570" w:lineRule="exact"/>
        <w:ind w:firstLine="640" w:firstLineChars="200"/>
        <w:rPr>
          <w:rFonts w:eastAsia="仿宋_GB2312"/>
          <w:sz w:val="32"/>
          <w:szCs w:val="32"/>
        </w:rPr>
      </w:pPr>
      <w:r>
        <w:rPr>
          <w:rFonts w:hint="eastAsia" w:eastAsia="仿宋_GB2312"/>
          <w:sz w:val="32"/>
          <w:szCs w:val="32"/>
        </w:rPr>
        <w:t>公共服务中心负责攀枝花宾</w:t>
      </w:r>
      <w:r>
        <w:rPr>
          <w:rFonts w:hint="eastAsia" w:eastAsia="仿宋_GB2312"/>
          <w:color w:val="000000"/>
          <w:sz w:val="32"/>
          <w:szCs w:val="32"/>
        </w:rPr>
        <w:t>馆</w:t>
      </w:r>
      <w:r>
        <w:rPr>
          <w:rFonts w:eastAsia="仿宋_GB2312"/>
          <w:color w:val="000000"/>
          <w:sz w:val="32"/>
          <w:szCs w:val="32"/>
        </w:rPr>
        <w:t>45</w:t>
      </w:r>
      <w:r>
        <w:rPr>
          <w:rFonts w:hint="eastAsia" w:eastAsia="仿宋_GB2312"/>
          <w:sz w:val="32"/>
          <w:szCs w:val="32"/>
        </w:rPr>
        <w:t>名离退休人员管理工作，截至2021年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日，健在</w:t>
      </w:r>
      <w:r>
        <w:rPr>
          <w:rFonts w:eastAsia="仿宋_GB2312"/>
          <w:sz w:val="32"/>
          <w:szCs w:val="32"/>
        </w:rPr>
        <w:t>43</w:t>
      </w:r>
      <w:r>
        <w:rPr>
          <w:rFonts w:hint="eastAsia" w:eastAsia="仿宋_GB2312"/>
          <w:sz w:val="32"/>
          <w:szCs w:val="32"/>
        </w:rPr>
        <w:t>人，</w:t>
      </w:r>
      <w:r>
        <w:rPr>
          <w:rFonts w:eastAsia="仿宋_GB2312"/>
          <w:sz w:val="32"/>
          <w:szCs w:val="32"/>
        </w:rPr>
        <w:t>2</w:t>
      </w:r>
      <w:r>
        <w:rPr>
          <w:rFonts w:hint="eastAsia" w:eastAsia="仿宋_GB2312"/>
          <w:sz w:val="32"/>
          <w:szCs w:val="32"/>
        </w:rPr>
        <w:t>人去世。中心秉承“全心全意为老同志服务”的宗旨，不断强化服务理念，增强服务意识，严格落实离退休人员各项政策、待遇；积极开展退休职工思想教育工作，引导退休老同志拥护党的领导。一是春节、中秋等重要节假日期间，对在攀枝花、成都两地的离退休人员进行慰问，及时看望生病住院人员，让老同志感受到党和政府的关怀。二是深入开展党史学习教育，践行“我为群众办实事”活动，上门为退休老同志协调解决邻里矛盾，为老同志讲解智能手机使用方法，</w:t>
      </w:r>
      <w:r>
        <w:rPr>
          <w:rFonts w:hint="eastAsia" w:ascii="仿宋_GB2312" w:hAnsi="仿宋_GB2312" w:eastAsia="仿宋_GB2312" w:cs="仿宋_GB2312"/>
          <w:sz w:val="32"/>
          <w:szCs w:val="32"/>
        </w:rPr>
        <w:t>开展义务健康指导和康复理疗</w:t>
      </w:r>
      <w:r>
        <w:rPr>
          <w:rFonts w:hint="eastAsia" w:eastAsia="仿宋_GB2312"/>
          <w:sz w:val="32"/>
          <w:szCs w:val="32"/>
        </w:rPr>
        <w:t>，为老同志安度晚年提供帮助。三是加强与退休职工的交流和沟通，认真听取老同志对工作的意见和建议，找出工作中存在的不足，及时加以改进，认真倾听他们生活中的困难，为他们办实事、解决实际问题，解答老同志疑惑，拉近了与老同志的距离。四是协助做好离退休支部的党建工作，组织离退休支部党员过好组织生活，收缴党费，开展各项学习教育活动。</w:t>
      </w:r>
    </w:p>
    <w:p>
      <w:pPr>
        <w:pStyle w:val="4"/>
        <w:rPr>
          <w:rFonts w:hint="eastAsia" w:ascii="黑体" w:hAnsi="黑体" w:eastAsia="黑体"/>
          <w:b w:val="0"/>
          <w:lang w:eastAsia="zh-CN"/>
        </w:rPr>
      </w:pPr>
      <w:r>
        <w:rPr>
          <w:rFonts w:hint="eastAsia" w:ascii="黑体" w:hAnsi="黑体" w:eastAsia="黑体"/>
          <w:b w:val="0"/>
          <w:lang w:eastAsia="zh-CN"/>
        </w:rPr>
        <w:t>三、机构设置情况</w:t>
      </w:r>
    </w:p>
    <w:p>
      <w:pPr>
        <w:spacing w:line="57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攀枝花市文化</w:t>
      </w:r>
      <w:r>
        <w:rPr>
          <w:rFonts w:hint="eastAsia" w:ascii="Times New Roman" w:hAnsi="Times New Roman" w:eastAsia="仿宋_GB2312" w:cs="Times New Roman"/>
          <w:sz w:val="32"/>
          <w:szCs w:val="32"/>
          <w:lang w:eastAsia="zh-CN"/>
        </w:rPr>
        <w:t>旅游公共服务中心</w:t>
      </w:r>
      <w:r>
        <w:rPr>
          <w:rFonts w:hint="default" w:ascii="Times New Roman" w:hAnsi="Times New Roman" w:eastAsia="仿宋_GB2312" w:cs="Times New Roman"/>
          <w:sz w:val="32"/>
          <w:szCs w:val="32"/>
        </w:rPr>
        <w:t>属</w:t>
      </w:r>
      <w:r>
        <w:rPr>
          <w:rFonts w:hint="eastAsia"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攀枝花市文化广播电视和旅游局</w:t>
      </w:r>
      <w:r>
        <w:rPr>
          <w:rFonts w:hint="eastAsia" w:ascii="Times New Roman" w:hAnsi="Times New Roman" w:eastAsia="仿宋_GB2312" w:cs="Times New Roman"/>
          <w:sz w:val="32"/>
          <w:szCs w:val="32"/>
        </w:rPr>
        <w:t>部门下属的二级预算单位</w:t>
      </w:r>
      <w:r>
        <w:rPr>
          <w:rFonts w:hint="eastAsia" w:ascii="Times New Roman" w:hAnsi="Times New Roman" w:eastAsia="仿宋_GB2312" w:cs="Times New Roman"/>
          <w:sz w:val="32"/>
          <w:szCs w:val="32"/>
          <w:lang w:eastAsia="zh-CN"/>
        </w:rPr>
        <w:t>，下设</w:t>
      </w:r>
      <w:r>
        <w:rPr>
          <w:rFonts w:hint="eastAsia" w:ascii="Times New Roman" w:hAnsi="Times New Roman" w:eastAsia="仿宋_GB2312" w:cs="Times New Roman"/>
          <w:sz w:val="32"/>
          <w:szCs w:val="32"/>
        </w:rPr>
        <w:t>独立编制机构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个，其中行政机构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个，参照公务员法管理的事业机构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个，其他事业机构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w:t>
      </w:r>
    </w:p>
    <w:p>
      <w:pPr>
        <w:spacing w:line="57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纳入2021年度单位决算编制范围的独立编制机构包括</w:t>
      </w:r>
      <w:r>
        <w:rPr>
          <w:rFonts w:hint="eastAsia" w:ascii="Times New Roman" w:hAnsi="Times New Roman" w:eastAsia="仿宋_GB2312" w:cs="Times New Roman"/>
          <w:sz w:val="32"/>
          <w:szCs w:val="32"/>
          <w:lang w:eastAsia="zh-CN"/>
        </w:rPr>
        <w:t>：无。</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bookmarkStart w:id="96" w:name="_GoBack"/>
      <w:bookmarkEnd w:id="96"/>
    </w:p>
    <w:p>
      <w:pPr>
        <w:pStyle w:val="3"/>
        <w:ind w:right="440"/>
        <w:jc w:val="center"/>
        <w:rPr>
          <w:rStyle w:val="25"/>
          <w:rFonts w:ascii="黑体" w:hAnsi="黑体" w:eastAsia="黑体"/>
          <w:b w:val="0"/>
          <w:bCs/>
        </w:rPr>
      </w:pPr>
      <w:bookmarkStart w:id="17" w:name="_Toc15396602"/>
      <w:bookmarkStart w:id="18" w:name="_Toc15377204"/>
      <w:bookmarkStart w:id="19" w:name="_Toc2930"/>
      <w:r>
        <w:rPr>
          <w:rFonts w:hint="eastAsia" w:ascii="黑体" w:hAnsi="黑体" w:eastAsia="黑体"/>
          <w:b w:val="0"/>
        </w:rPr>
        <w:t>第二部分 2021年度</w:t>
      </w:r>
      <w:r>
        <w:rPr>
          <w:rStyle w:val="25"/>
          <w:rFonts w:hint="eastAsia" w:ascii="黑体" w:hAnsi="黑体" w:eastAsia="黑体"/>
          <w:b w:val="0"/>
          <w:bCs/>
        </w:rPr>
        <w:t>单位决算情况说明</w:t>
      </w:r>
      <w:bookmarkEnd w:id="17"/>
      <w:bookmarkEnd w:id="18"/>
      <w:bookmarkEnd w:id="19"/>
    </w:p>
    <w:p/>
    <w:p>
      <w:pPr>
        <w:pStyle w:val="24"/>
        <w:spacing w:line="600" w:lineRule="exact"/>
        <w:ind w:left="640" w:firstLine="0" w:firstLineChars="0"/>
        <w:outlineLvl w:val="1"/>
        <w:rPr>
          <w:rStyle w:val="26"/>
          <w:rFonts w:ascii="黑体" w:hAnsi="黑体" w:eastAsia="黑体"/>
          <w:b w:val="0"/>
        </w:rPr>
      </w:pPr>
      <w:bookmarkStart w:id="20" w:name="_Toc15377205"/>
      <w:bookmarkStart w:id="21" w:name="_Toc11826"/>
      <w:bookmarkStart w:id="22" w:name="_Toc15396603"/>
      <w:r>
        <w:rPr>
          <w:rFonts w:hint="eastAsia" w:ascii="黑体" w:hAnsi="黑体" w:eastAsia="黑体"/>
          <w:sz w:val="32"/>
          <w:szCs w:val="32"/>
        </w:rPr>
        <w:t>一、收</w:t>
      </w:r>
      <w:r>
        <w:rPr>
          <w:rStyle w:val="26"/>
          <w:rFonts w:hint="eastAsia" w:ascii="黑体" w:hAnsi="黑体" w:eastAsia="黑体"/>
          <w:b w:val="0"/>
        </w:rPr>
        <w:t>入支出决算总体情况说明</w:t>
      </w:r>
      <w:bookmarkEnd w:id="20"/>
      <w:bookmarkEnd w:id="21"/>
      <w:bookmarkEnd w:id="22"/>
    </w:p>
    <w:p>
      <w:pPr>
        <w:spacing w:line="600" w:lineRule="exact"/>
        <w:ind w:firstLine="640" w:firstLineChars="200"/>
        <w:rPr>
          <w:rFonts w:ascii="仿宋_GB2312" w:hAnsi="仿宋" w:eastAsia="仿宋_GB2312"/>
          <w:sz w:val="32"/>
          <w:szCs w:val="32"/>
        </w:rPr>
      </w:pPr>
      <w:r>
        <w:rPr>
          <w:rFonts w:hint="eastAsia" w:ascii="仿宋" w:hAnsi="仿宋" w:eastAsia="仿宋"/>
          <w:sz w:val="32"/>
          <w:szCs w:val="32"/>
        </w:rPr>
        <w:t>2021年度收、支总计273.56万元。与2020年相比，收、支总计各增加26.28万元，增长10.81</w:t>
      </w:r>
      <w:r>
        <w:rPr>
          <w:rFonts w:ascii="仿宋" w:hAnsi="仿宋" w:eastAsia="仿宋"/>
          <w:sz w:val="32"/>
          <w:szCs w:val="32"/>
        </w:rPr>
        <w:t>%</w:t>
      </w:r>
      <w:r>
        <w:rPr>
          <w:rFonts w:hint="eastAsia" w:ascii="仿宋" w:hAnsi="仿宋" w:eastAsia="仿宋"/>
          <w:sz w:val="32"/>
          <w:szCs w:val="32"/>
        </w:rPr>
        <w:t>。主要变动原因是人员工资的正常增长和项目经费的增加</w:t>
      </w:r>
      <w:r>
        <w:rPr>
          <w:rFonts w:hint="eastAsia" w:ascii="仿宋_GB2312" w:hAnsi="仿宋" w:eastAsia="仿宋_GB2312"/>
          <w:sz w:val="32"/>
          <w:szCs w:val="32"/>
        </w:rPr>
        <w:t>。</w:t>
      </w:r>
    </w:p>
    <w:p>
      <w:pPr>
        <w:spacing w:line="600" w:lineRule="exact"/>
        <w:ind w:firstLine="1280" w:firstLineChars="400"/>
        <w:rPr>
          <w:rFonts w:ascii="仿宋" w:hAnsi="仿宋" w:eastAsia="仿宋"/>
          <w:sz w:val="32"/>
          <w:szCs w:val="32"/>
        </w:rPr>
      </w:pPr>
      <w:r>
        <w:rPr>
          <w:rFonts w:ascii="仿宋" w:hAnsi="仿宋" w:eastAsia="仿宋"/>
          <w:sz w:val="32"/>
          <w:szCs w:val="32"/>
        </w:rPr>
        <w:drawing>
          <wp:anchor distT="0" distB="0" distL="114300" distR="114300" simplePos="0" relativeHeight="251661312" behindDoc="0" locked="0" layoutInCell="1" allowOverlap="1">
            <wp:simplePos x="0" y="0"/>
            <wp:positionH relativeFrom="column">
              <wp:posOffset>504825</wp:posOffset>
            </wp:positionH>
            <wp:positionV relativeFrom="paragraph">
              <wp:posOffset>219710</wp:posOffset>
            </wp:positionV>
            <wp:extent cx="4632960" cy="275018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32960" cy="2750185"/>
                    </a:xfrm>
                    <a:prstGeom prst="rect">
                      <a:avLst/>
                    </a:prstGeom>
                    <a:noFill/>
                  </pic:spPr>
                </pic:pic>
              </a:graphicData>
            </a:graphic>
          </wp:anchor>
        </w:drawing>
      </w:r>
    </w:p>
    <w:p>
      <w:pPr>
        <w:spacing w:line="600" w:lineRule="exact"/>
        <w:ind w:firstLine="1280" w:firstLineChars="400"/>
        <w:rPr>
          <w:rFonts w:ascii="仿宋" w:hAnsi="仿宋" w:eastAsia="仿宋"/>
          <w:sz w:val="32"/>
          <w:szCs w:val="32"/>
        </w:rPr>
      </w:pPr>
    </w:p>
    <w:p>
      <w:pPr>
        <w:spacing w:line="600" w:lineRule="exact"/>
        <w:ind w:firstLine="1280" w:firstLineChars="400"/>
        <w:rPr>
          <w:rFonts w:ascii="仿宋" w:hAnsi="仿宋" w:eastAsia="仿宋"/>
          <w:sz w:val="32"/>
          <w:szCs w:val="32"/>
        </w:rPr>
      </w:pPr>
    </w:p>
    <w:p>
      <w:pPr>
        <w:spacing w:line="600" w:lineRule="exact"/>
        <w:ind w:firstLine="1280" w:firstLineChars="400"/>
        <w:rPr>
          <w:rFonts w:ascii="仿宋" w:hAnsi="仿宋" w:eastAsia="仿宋"/>
          <w:sz w:val="32"/>
          <w:szCs w:val="32"/>
        </w:rPr>
      </w:pPr>
    </w:p>
    <w:p>
      <w:pPr>
        <w:spacing w:line="600" w:lineRule="exact"/>
        <w:ind w:firstLine="1280" w:firstLineChars="400"/>
        <w:rPr>
          <w:rFonts w:ascii="仿宋" w:hAnsi="仿宋" w:eastAsia="仿宋"/>
          <w:sz w:val="32"/>
          <w:szCs w:val="32"/>
        </w:rPr>
      </w:pPr>
    </w:p>
    <w:p>
      <w:pPr>
        <w:spacing w:line="600" w:lineRule="exact"/>
        <w:ind w:firstLine="1280" w:firstLineChars="400"/>
        <w:rPr>
          <w:rFonts w:ascii="仿宋" w:hAnsi="仿宋" w:eastAsia="仿宋"/>
          <w:sz w:val="32"/>
          <w:szCs w:val="32"/>
        </w:rPr>
      </w:pPr>
    </w:p>
    <w:p>
      <w:pPr>
        <w:spacing w:line="600" w:lineRule="exact"/>
        <w:ind w:firstLine="1280" w:firstLineChars="400"/>
        <w:rPr>
          <w:rFonts w:ascii="仿宋" w:hAnsi="仿宋" w:eastAsia="仿宋"/>
          <w:sz w:val="32"/>
          <w:szCs w:val="32"/>
        </w:rPr>
      </w:pPr>
    </w:p>
    <w:p>
      <w:pPr>
        <w:spacing w:line="600" w:lineRule="exact"/>
        <w:ind w:firstLine="1600" w:firstLineChars="5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4"/>
        <w:spacing w:line="600" w:lineRule="exact"/>
        <w:ind w:left="640" w:firstLine="0" w:firstLineChars="0"/>
        <w:outlineLvl w:val="1"/>
        <w:rPr>
          <w:rFonts w:ascii="黑体" w:hAnsi="黑体" w:eastAsia="黑体"/>
          <w:sz w:val="32"/>
          <w:szCs w:val="32"/>
        </w:rPr>
      </w:pPr>
      <w:bookmarkStart w:id="23" w:name="_Toc11685"/>
      <w:bookmarkStart w:id="24" w:name="_Toc15396604"/>
      <w:bookmarkStart w:id="25" w:name="_Toc15377206"/>
    </w:p>
    <w:p>
      <w:pPr>
        <w:pStyle w:val="24"/>
        <w:spacing w:line="600" w:lineRule="exact"/>
        <w:ind w:left="640" w:firstLine="0" w:firstLineChars="0"/>
        <w:outlineLvl w:val="1"/>
        <w:rPr>
          <w:rStyle w:val="26"/>
          <w:rFonts w:ascii="黑体" w:hAnsi="黑体" w:eastAsia="黑体"/>
          <w:b w:val="0"/>
        </w:rPr>
      </w:pPr>
      <w:r>
        <w:rPr>
          <w:rFonts w:hint="eastAsia" w:ascii="黑体" w:hAnsi="黑体" w:eastAsia="黑体"/>
          <w:sz w:val="32"/>
          <w:szCs w:val="32"/>
        </w:rPr>
        <w:t>二、收</w:t>
      </w:r>
      <w:r>
        <w:rPr>
          <w:rStyle w:val="26"/>
          <w:rFonts w:hint="eastAsia" w:ascii="黑体" w:hAnsi="黑体" w:eastAsia="黑体"/>
          <w:b w:val="0"/>
        </w:rPr>
        <w:t>入决算情况说明</w:t>
      </w:r>
      <w:bookmarkEnd w:id="23"/>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21年本年收入合计273.56万元，其中：一般公共预算财政拨款收入273.56万元，占100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r>
        <w:rPr>
          <w:rFonts w:ascii="仿宋" w:hAnsi="仿宋" w:eastAsia="仿宋"/>
          <w:b/>
          <w:sz w:val="32"/>
          <w:szCs w:val="32"/>
        </w:rPr>
        <w:drawing>
          <wp:anchor distT="0" distB="0" distL="114300" distR="114300" simplePos="0" relativeHeight="251665408" behindDoc="0" locked="0" layoutInCell="1" allowOverlap="1">
            <wp:simplePos x="0" y="0"/>
            <wp:positionH relativeFrom="column">
              <wp:posOffset>412115</wp:posOffset>
            </wp:positionH>
            <wp:positionV relativeFrom="paragraph">
              <wp:posOffset>100330</wp:posOffset>
            </wp:positionV>
            <wp:extent cx="4585970" cy="2757170"/>
            <wp:effectExtent l="0" t="0" r="508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85970" cy="2757170"/>
                    </a:xfrm>
                    <a:prstGeom prst="rect">
                      <a:avLst/>
                    </a:prstGeom>
                    <a:noFill/>
                  </pic:spPr>
                </pic:pic>
              </a:graphicData>
            </a:graphic>
          </wp:anchor>
        </w:drawing>
      </w:r>
    </w:p>
    <w:p>
      <w:pPr>
        <w:spacing w:line="600" w:lineRule="exact"/>
        <w:ind w:firstLine="643" w:firstLineChars="200"/>
        <w:rPr>
          <w:rFonts w:ascii="仿宋" w:hAnsi="仿宋" w:eastAsia="仿宋"/>
          <w:b/>
          <w:sz w:val="32"/>
          <w:szCs w:val="32"/>
        </w:rPr>
      </w:pPr>
    </w:p>
    <w:p>
      <w:pPr>
        <w:spacing w:line="600" w:lineRule="exact"/>
        <w:ind w:firstLine="640" w:firstLineChars="200"/>
        <w:rPr>
          <w:rFonts w:ascii="仿宋" w:hAnsi="仿宋" w:eastAsia="仿宋"/>
          <w:sz w:val="32"/>
          <w:szCs w:val="32"/>
        </w:rPr>
      </w:pPr>
    </w:p>
    <w:p>
      <w:pPr>
        <w:pStyle w:val="2"/>
        <w:spacing w:before="93"/>
      </w:pPr>
    </w:p>
    <w:p>
      <w:pPr>
        <w:pStyle w:val="2"/>
        <w:spacing w:before="93"/>
      </w:pPr>
    </w:p>
    <w:p>
      <w:pPr>
        <w:pStyle w:val="2"/>
        <w:spacing w:before="93"/>
      </w:pPr>
    </w:p>
    <w:p>
      <w:pPr>
        <w:pStyle w:val="2"/>
        <w:spacing w:before="93"/>
      </w:pPr>
    </w:p>
    <w:p>
      <w:pPr>
        <w:spacing w:line="600" w:lineRule="exact"/>
        <w:ind w:firstLine="1920" w:firstLineChars="600"/>
        <w:rPr>
          <w:rFonts w:ascii="仿宋" w:hAnsi="仿宋" w:eastAsia="仿宋"/>
          <w:sz w:val="32"/>
          <w:szCs w:val="32"/>
        </w:rPr>
      </w:pPr>
      <w:r>
        <w:rPr>
          <w:rFonts w:hint="eastAsia" w:ascii="仿宋" w:hAnsi="仿宋" w:eastAsia="仿宋"/>
          <w:sz w:val="32"/>
          <w:szCs w:val="32"/>
        </w:rPr>
        <w:t>（图2：收入决算结构图）</w:t>
      </w:r>
    </w:p>
    <w:p>
      <w:pPr>
        <w:pStyle w:val="24"/>
        <w:spacing w:line="600" w:lineRule="exact"/>
        <w:ind w:left="640" w:firstLine="0" w:firstLineChars="0"/>
        <w:outlineLvl w:val="1"/>
        <w:rPr>
          <w:rStyle w:val="26"/>
          <w:rFonts w:ascii="黑体" w:hAnsi="黑体" w:eastAsia="黑体"/>
          <w:b w:val="0"/>
        </w:rPr>
      </w:pPr>
      <w:bookmarkStart w:id="26" w:name="_Toc15396605"/>
      <w:bookmarkStart w:id="27" w:name="_Toc15377207"/>
      <w:bookmarkStart w:id="28" w:name="_Toc30499"/>
      <w:r>
        <w:rPr>
          <w:rFonts w:hint="eastAsia" w:ascii="黑体" w:hAnsi="黑体" w:eastAsia="黑体"/>
          <w:sz w:val="32"/>
          <w:szCs w:val="32"/>
        </w:rPr>
        <w:t>三、支</w:t>
      </w:r>
      <w:r>
        <w:rPr>
          <w:rStyle w:val="26"/>
          <w:rFonts w:hint="eastAsia" w:ascii="黑体" w:hAnsi="黑体" w:eastAsia="黑体"/>
          <w:b w:val="0"/>
        </w:rPr>
        <w:t>出决算情况说明</w:t>
      </w:r>
      <w:bookmarkEnd w:id="26"/>
      <w:bookmarkEnd w:id="27"/>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21年本年支出合计273.56万元，其中：基本支出245.59万元，占89.78</w:t>
      </w:r>
      <w:r>
        <w:rPr>
          <w:rFonts w:ascii="仿宋" w:hAnsi="仿宋" w:eastAsia="仿宋"/>
          <w:sz w:val="32"/>
          <w:szCs w:val="32"/>
        </w:rPr>
        <w:t>%</w:t>
      </w:r>
      <w:r>
        <w:rPr>
          <w:rFonts w:hint="eastAsia" w:ascii="仿宋" w:hAnsi="仿宋" w:eastAsia="仿宋"/>
          <w:sz w:val="32"/>
          <w:szCs w:val="32"/>
        </w:rPr>
        <w:t>；项目支出27.97万元，占10.22%。</w:t>
      </w:r>
    </w:p>
    <w:p>
      <w:pPr>
        <w:spacing w:line="600" w:lineRule="exact"/>
        <w:ind w:firstLine="640"/>
      </w:pPr>
      <w:r>
        <w:rPr>
          <w:rFonts w:ascii="仿宋" w:hAnsi="仿宋" w:eastAsia="仿宋"/>
          <w:sz w:val="32"/>
          <w:szCs w:val="32"/>
          <w:shd w:val="pct10" w:color="auto" w:fill="FFFFFF"/>
        </w:rPr>
        <w:drawing>
          <wp:anchor distT="0" distB="0" distL="114300" distR="114300" simplePos="0" relativeHeight="251666432" behindDoc="0" locked="0" layoutInCell="1" allowOverlap="1">
            <wp:simplePos x="0" y="0"/>
            <wp:positionH relativeFrom="column">
              <wp:posOffset>414655</wp:posOffset>
            </wp:positionH>
            <wp:positionV relativeFrom="paragraph">
              <wp:posOffset>102870</wp:posOffset>
            </wp:positionV>
            <wp:extent cx="4585970" cy="2757170"/>
            <wp:effectExtent l="0" t="0" r="5080" b="50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85970" cy="2757170"/>
                    </a:xfrm>
                    <a:prstGeom prst="rect">
                      <a:avLst/>
                    </a:prstGeom>
                    <a:noFill/>
                  </pic:spPr>
                </pic:pic>
              </a:graphicData>
            </a:graphic>
          </wp:anchor>
        </w:drawing>
      </w:r>
    </w:p>
    <w:p>
      <w:pPr>
        <w:pStyle w:val="2"/>
        <w:spacing w:before="93"/>
      </w:pPr>
    </w:p>
    <w:p>
      <w:pPr>
        <w:pStyle w:val="2"/>
        <w:spacing w:before="93"/>
      </w:pPr>
    </w:p>
    <w:p>
      <w:pPr>
        <w:pStyle w:val="2"/>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2080" w:firstLineChars="65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29" w:name="_Toc1621"/>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9"/>
      <w:bookmarkEnd w:id="30"/>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21年财政拨款收、支总计273.56万元。与</w:t>
      </w:r>
      <w:r>
        <w:rPr>
          <w:rFonts w:ascii="仿宋" w:hAnsi="仿宋" w:eastAsia="仿宋"/>
          <w:sz w:val="32"/>
          <w:szCs w:val="32"/>
        </w:rPr>
        <w:t>20</w:t>
      </w:r>
      <w:r>
        <w:rPr>
          <w:rFonts w:hint="eastAsia" w:ascii="仿宋" w:hAnsi="仿宋" w:eastAsia="仿宋"/>
          <w:sz w:val="32"/>
          <w:szCs w:val="32"/>
        </w:rPr>
        <w:t>20年相比，财政拨款收、支总计各增加26.68万元，增长10.81</w:t>
      </w:r>
      <w:r>
        <w:rPr>
          <w:rFonts w:ascii="仿宋" w:hAnsi="仿宋" w:eastAsia="仿宋"/>
          <w:sz w:val="32"/>
          <w:szCs w:val="32"/>
        </w:rPr>
        <w:t>%</w:t>
      </w:r>
      <w:r>
        <w:rPr>
          <w:rFonts w:hint="eastAsia" w:ascii="仿宋" w:hAnsi="仿宋" w:eastAsia="仿宋"/>
          <w:sz w:val="32"/>
          <w:szCs w:val="32"/>
        </w:rPr>
        <w:t>。主要变动原因是人员工资的正常增长和项目经费的增加</w:t>
      </w:r>
      <w:r>
        <w:rPr>
          <w:rFonts w:hint="eastAsia" w:ascii="仿宋_GB2312" w:hAnsi="仿宋" w:eastAsia="仿宋_GB2312"/>
          <w:sz w:val="32"/>
          <w:szCs w:val="32"/>
        </w:rPr>
        <w:t>。</w:t>
      </w:r>
    </w:p>
    <w:p>
      <w:pPr>
        <w:spacing w:line="600" w:lineRule="exact"/>
        <w:rPr>
          <w:rFonts w:ascii="仿宋" w:hAnsi="仿宋" w:eastAsia="仿宋"/>
          <w:sz w:val="32"/>
          <w:szCs w:val="32"/>
        </w:rPr>
      </w:pPr>
      <w:r>
        <w:rPr>
          <w:rFonts w:ascii="仿宋" w:hAnsi="仿宋" w:eastAsia="仿宋"/>
          <w:sz w:val="32"/>
          <w:szCs w:val="32"/>
        </w:rPr>
        <w:drawing>
          <wp:anchor distT="0" distB="0" distL="114300" distR="114300" simplePos="0" relativeHeight="251662336" behindDoc="0" locked="0" layoutInCell="1" allowOverlap="1">
            <wp:simplePos x="0" y="0"/>
            <wp:positionH relativeFrom="column">
              <wp:posOffset>412115</wp:posOffset>
            </wp:positionH>
            <wp:positionV relativeFrom="paragraph">
              <wp:posOffset>161925</wp:posOffset>
            </wp:positionV>
            <wp:extent cx="4585970" cy="2757170"/>
            <wp:effectExtent l="0" t="0" r="5080" b="508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85970" cy="2757170"/>
                    </a:xfrm>
                    <a:prstGeom prst="rect">
                      <a:avLst/>
                    </a:prstGeom>
                    <a:noFill/>
                  </pic:spPr>
                </pic:pic>
              </a:graphicData>
            </a:graphic>
          </wp:anchor>
        </w:drawing>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ind w:firstLine="960" w:firstLineChars="3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rPr>
          <w:rFonts w:ascii="黑体" w:hAnsi="黑体" w:eastAsia="黑体"/>
          <w:sz w:val="32"/>
          <w:szCs w:val="32"/>
        </w:rPr>
      </w:pPr>
      <w:bookmarkStart w:id="32" w:name="_Toc15396607"/>
      <w:bookmarkStart w:id="33" w:name="_Toc15377209"/>
    </w:p>
    <w:p>
      <w:pPr>
        <w:spacing w:line="600" w:lineRule="exact"/>
        <w:ind w:firstLine="640" w:firstLineChars="200"/>
        <w:outlineLvl w:val="1"/>
        <w:rPr>
          <w:rStyle w:val="26"/>
          <w:rFonts w:ascii="黑体" w:hAnsi="黑体" w:eastAsia="黑体"/>
          <w:b w:val="0"/>
        </w:rPr>
      </w:pPr>
      <w:bookmarkStart w:id="34" w:name="_Toc3120"/>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bookmarkEnd w:id="34"/>
    </w:p>
    <w:p>
      <w:pPr>
        <w:spacing w:line="600" w:lineRule="exact"/>
        <w:ind w:firstLine="643" w:firstLineChars="200"/>
        <w:rPr>
          <w:rFonts w:ascii="仿宋" w:hAnsi="仿宋" w:eastAsia="仿宋"/>
          <w:b/>
          <w:sz w:val="32"/>
          <w:szCs w:val="32"/>
        </w:rPr>
      </w:pPr>
      <w:bookmarkStart w:id="35" w:name="_Toc15377210"/>
      <w:r>
        <w:rPr>
          <w:rFonts w:hint="eastAsia" w:ascii="仿宋" w:hAnsi="仿宋" w:eastAsia="仿宋"/>
          <w:b/>
          <w:sz w:val="32"/>
          <w:szCs w:val="32"/>
        </w:rPr>
        <w:t>（一）一般公共预算财政拨款支出决算总体情况</w:t>
      </w:r>
      <w:bookmarkEnd w:id="3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21年一般公共预算财政拨款支出273.56万元，占本年支出合计的100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20年相比，一般公共预算财政拨款支出增加26.68万元，增长10.81</w:t>
      </w:r>
      <w:r>
        <w:rPr>
          <w:rFonts w:ascii="仿宋" w:hAnsi="仿宋" w:eastAsia="仿宋"/>
          <w:sz w:val="32"/>
          <w:szCs w:val="32"/>
        </w:rPr>
        <w:t>%</w:t>
      </w:r>
      <w:r>
        <w:rPr>
          <w:rFonts w:hint="eastAsia" w:ascii="仿宋" w:hAnsi="仿宋" w:eastAsia="仿宋"/>
          <w:sz w:val="32"/>
          <w:szCs w:val="32"/>
        </w:rPr>
        <w:t>。主要变动原因是人员工资的正常增长和项目经费的增加</w:t>
      </w:r>
      <w:r>
        <w:rPr>
          <w:rFonts w:hint="eastAsia" w:ascii="仿宋_GB2312" w:hAnsi="仿宋" w:eastAsia="仿宋_GB2312"/>
          <w:sz w:val="32"/>
          <w:szCs w:val="32"/>
        </w:rPr>
        <w:t>。</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3360" behindDoc="0" locked="0" layoutInCell="1" allowOverlap="1">
            <wp:simplePos x="0" y="0"/>
            <wp:positionH relativeFrom="column">
              <wp:posOffset>411480</wp:posOffset>
            </wp:positionH>
            <wp:positionV relativeFrom="paragraph">
              <wp:posOffset>304800</wp:posOffset>
            </wp:positionV>
            <wp:extent cx="4585970" cy="3023870"/>
            <wp:effectExtent l="0" t="0" r="5080" b="508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85970" cy="3023870"/>
                    </a:xfrm>
                    <a:prstGeom prst="rect">
                      <a:avLst/>
                    </a:prstGeom>
                    <a:noFill/>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rPr>
          <w:rFonts w:ascii="仿宋" w:hAnsi="仿宋" w:eastAsia="仿宋"/>
          <w:b/>
          <w:sz w:val="32"/>
          <w:szCs w:val="32"/>
        </w:rPr>
      </w:pPr>
      <w:bookmarkStart w:id="36" w:name="_Toc15377211"/>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（二）一般公共预算财政拨款支出决算结构情况</w:t>
      </w:r>
      <w:bookmarkEnd w:id="36"/>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21年一般公共预算财政拨款支出273.56万元，主要用于以下方面：</w:t>
      </w:r>
      <w:r>
        <w:rPr>
          <w:rFonts w:hint="eastAsia" w:ascii="仿宋" w:hAnsi="仿宋" w:eastAsia="仿宋"/>
          <w:b/>
          <w:sz w:val="32"/>
          <w:szCs w:val="32"/>
        </w:rPr>
        <w:t>一般公共服务（类）</w:t>
      </w:r>
      <w:r>
        <w:rPr>
          <w:rFonts w:hint="eastAsia" w:ascii="仿宋" w:hAnsi="仿宋" w:eastAsia="仿宋"/>
          <w:sz w:val="32"/>
          <w:szCs w:val="32"/>
        </w:rPr>
        <w:t>支出6.97万元，占2.55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文化旅游体育与传媒（类）支出157.51万元，占57.58</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支出96.47万元，占35.26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支出12.61万元，占4.61</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r>
        <w:rPr>
          <w:rFonts w:ascii="仿宋" w:hAnsi="仿宋" w:eastAsia="仿宋"/>
          <w:sz w:val="32"/>
          <w:szCs w:val="32"/>
        </w:rPr>
        <w:drawing>
          <wp:anchor distT="0" distB="0" distL="114300" distR="114300" simplePos="0" relativeHeight="251664384" behindDoc="0" locked="0" layoutInCell="1" allowOverlap="1">
            <wp:simplePos x="0" y="0"/>
            <wp:positionH relativeFrom="column">
              <wp:posOffset>476250</wp:posOffset>
            </wp:positionH>
            <wp:positionV relativeFrom="paragraph">
              <wp:posOffset>23495</wp:posOffset>
            </wp:positionV>
            <wp:extent cx="4210050" cy="262953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210050" cy="2629535"/>
                    </a:xfrm>
                    <a:prstGeom prst="rect">
                      <a:avLst/>
                    </a:prstGeom>
                    <a:noFill/>
                  </pic:spPr>
                </pic:pic>
              </a:graphicData>
            </a:graphic>
          </wp:anchor>
        </w:drawing>
      </w:r>
    </w:p>
    <w:p>
      <w:pPr>
        <w:pStyle w:val="2"/>
        <w:spacing w:before="93"/>
      </w:pPr>
    </w:p>
    <w:p>
      <w:pPr>
        <w:pStyle w:val="2"/>
        <w:spacing w:before="93"/>
      </w:pPr>
    </w:p>
    <w:p>
      <w:pPr>
        <w:pStyle w:val="2"/>
        <w:spacing w:before="93"/>
      </w:pPr>
    </w:p>
    <w:p>
      <w:pPr>
        <w:spacing w:line="600" w:lineRule="exact"/>
        <w:ind w:firstLine="707" w:firstLineChars="221"/>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rPr>
          <w:rFonts w:ascii="仿宋" w:hAnsi="仿宋" w:eastAsia="仿宋"/>
          <w:b/>
          <w:sz w:val="32"/>
          <w:szCs w:val="32"/>
        </w:rPr>
      </w:pPr>
      <w:bookmarkStart w:id="37" w:name="_Toc15377212"/>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（三）一般公共预算财政拨款支出决算具体情况</w:t>
      </w:r>
      <w:bookmarkEnd w:id="37"/>
    </w:p>
    <w:p>
      <w:pPr>
        <w:spacing w:line="600" w:lineRule="exact"/>
        <w:ind w:firstLine="643" w:firstLineChars="200"/>
        <w:rPr>
          <w:rFonts w:ascii="仿宋" w:hAnsi="仿宋" w:eastAsia="仿宋"/>
          <w:sz w:val="32"/>
          <w:szCs w:val="32"/>
        </w:rPr>
      </w:pPr>
      <w:bookmarkStart w:id="38" w:name="_Toc15377213"/>
      <w:bookmarkStart w:id="39" w:name="_Toc15377444"/>
      <w:bookmarkStart w:id="40" w:name="_Toc15378460"/>
      <w:r>
        <w:rPr>
          <w:rFonts w:hint="eastAsia" w:ascii="仿宋" w:hAnsi="仿宋" w:eastAsia="仿宋"/>
          <w:b/>
          <w:sz w:val="32"/>
          <w:szCs w:val="32"/>
        </w:rPr>
        <w:t>2021年一般公共预算支出决算数为273.56万元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8"/>
      <w:bookmarkEnd w:id="39"/>
      <w:bookmarkEnd w:id="40"/>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一般公共服务（类）商贸事务（款）招商引资（项）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支出决算为6.97万元，完成预算100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7"/>
          <w:rFonts w:eastAsia="仿宋"/>
          <w:bCs/>
          <w:color w:val="000000"/>
          <w:sz w:val="32"/>
          <w:szCs w:val="32"/>
        </w:rPr>
        <w:t xml:space="preserve"> </w:t>
      </w:r>
      <w:r>
        <w:rPr>
          <w:rStyle w:val="15"/>
          <w:rFonts w:eastAsia="仿宋"/>
          <w:bCs/>
          <w:color w:val="000000"/>
          <w:sz w:val="32"/>
          <w:szCs w:val="32"/>
        </w:rPr>
        <w:t>文化旅游体育与传媒（类）文化和旅游（款）其他文化和旅游支出（项）</w:t>
      </w:r>
      <w:r>
        <w:rPr>
          <w:rStyle w:val="15"/>
          <w:rFonts w:hint="eastAsia" w:eastAsia="仿宋"/>
          <w:bCs/>
          <w:color w:val="000000"/>
          <w:sz w:val="32"/>
          <w:szCs w:val="32"/>
          <w:lang w:eastAsia="zh-CN"/>
        </w:rPr>
        <w:t>：</w:t>
      </w:r>
      <w:r>
        <w:rPr>
          <w:rStyle w:val="15"/>
          <w:rFonts w:hint="eastAsia" w:ascii="仿宋" w:hAnsi="仿宋" w:eastAsia="仿宋"/>
          <w:b w:val="0"/>
          <w:bCs/>
          <w:sz w:val="32"/>
          <w:szCs w:val="32"/>
        </w:rPr>
        <w:t>支出决算为157.50万元，完成预算100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Style w:val="17"/>
          <w:rFonts w:eastAsia="仿宋"/>
          <w:bCs/>
          <w:color w:val="000000"/>
          <w:sz w:val="32"/>
          <w:szCs w:val="32"/>
        </w:rPr>
        <w:t xml:space="preserve"> </w:t>
      </w:r>
      <w:r>
        <w:rPr>
          <w:rStyle w:val="15"/>
          <w:rFonts w:eastAsia="仿宋"/>
          <w:bCs/>
          <w:color w:val="000000"/>
          <w:sz w:val="32"/>
          <w:szCs w:val="32"/>
        </w:rPr>
        <w:t>社会保障和就业（类）</w:t>
      </w:r>
      <w:r>
        <w:rPr>
          <w:rStyle w:val="15"/>
          <w:rFonts w:hint="eastAsia" w:eastAsia="仿宋"/>
          <w:bCs/>
          <w:color w:val="000000"/>
          <w:sz w:val="32"/>
          <w:szCs w:val="32"/>
        </w:rPr>
        <w:t>行政</w:t>
      </w:r>
      <w:r>
        <w:rPr>
          <w:rStyle w:val="15"/>
          <w:rFonts w:eastAsia="仿宋"/>
          <w:bCs/>
          <w:color w:val="000000"/>
          <w:sz w:val="32"/>
          <w:szCs w:val="32"/>
        </w:rPr>
        <w:t>事业单位养老支出（款）事业单位离退休（项）</w:t>
      </w:r>
      <w:r>
        <w:rPr>
          <w:rStyle w:val="15"/>
          <w:rFonts w:hint="eastAsia" w:eastAsia="仿宋"/>
          <w:bCs/>
          <w:color w:val="000000"/>
          <w:sz w:val="32"/>
          <w:szCs w:val="32"/>
        </w:rPr>
        <w:t>：</w:t>
      </w:r>
      <w:r>
        <w:rPr>
          <w:rStyle w:val="15"/>
          <w:rFonts w:hint="eastAsia" w:ascii="仿宋" w:hAnsi="仿宋" w:eastAsia="仿宋"/>
          <w:b w:val="0"/>
          <w:bCs/>
          <w:sz w:val="32"/>
          <w:szCs w:val="32"/>
        </w:rPr>
        <w:t>支出决算为76.84万元，完成预算100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ascii="仿宋" w:hAnsi="仿宋" w:eastAsia="仿宋"/>
          <w:bCs/>
          <w:sz w:val="32"/>
          <w:szCs w:val="32"/>
        </w:rPr>
        <w:t>4.</w:t>
      </w:r>
      <w:r>
        <w:rPr>
          <w:rStyle w:val="17"/>
          <w:rFonts w:eastAsia="仿宋"/>
          <w:bCs/>
          <w:color w:val="000000"/>
          <w:sz w:val="32"/>
          <w:szCs w:val="32"/>
        </w:rPr>
        <w:t xml:space="preserve"> </w:t>
      </w:r>
      <w:r>
        <w:rPr>
          <w:rStyle w:val="15"/>
          <w:rFonts w:eastAsia="仿宋"/>
          <w:bCs/>
          <w:color w:val="000000"/>
          <w:sz w:val="32"/>
          <w:szCs w:val="32"/>
        </w:rPr>
        <w:t>社会保障和就业（类）行政事业单位养老支出（款）机关事业单位基本养老保险缴费支出（项）</w:t>
      </w:r>
      <w:r>
        <w:rPr>
          <w:rStyle w:val="15"/>
          <w:rFonts w:hint="eastAsia" w:eastAsia="仿宋"/>
          <w:bCs/>
          <w:color w:val="000000"/>
          <w:sz w:val="32"/>
          <w:szCs w:val="32"/>
          <w:lang w:eastAsia="zh-CN"/>
        </w:rPr>
        <w:t>：</w:t>
      </w:r>
      <w:r>
        <w:rPr>
          <w:rStyle w:val="15"/>
          <w:rFonts w:hint="eastAsia" w:ascii="仿宋" w:hAnsi="仿宋" w:eastAsia="仿宋"/>
          <w:b w:val="0"/>
          <w:bCs/>
          <w:sz w:val="32"/>
          <w:szCs w:val="32"/>
        </w:rPr>
        <w:t>支出决算为12.33万元，完成预算100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5</w:t>
      </w:r>
      <w:r>
        <w:rPr>
          <w:rStyle w:val="15"/>
          <w:rFonts w:ascii="仿宋" w:hAnsi="仿宋" w:eastAsia="仿宋"/>
          <w:bCs/>
          <w:sz w:val="32"/>
          <w:szCs w:val="32"/>
        </w:rPr>
        <w:t>.</w:t>
      </w:r>
      <w:r>
        <w:rPr>
          <w:rStyle w:val="17"/>
          <w:rFonts w:eastAsia="仿宋"/>
          <w:bCs/>
          <w:color w:val="000000"/>
          <w:sz w:val="32"/>
          <w:szCs w:val="32"/>
        </w:rPr>
        <w:t xml:space="preserve"> </w:t>
      </w:r>
      <w:r>
        <w:rPr>
          <w:rStyle w:val="15"/>
          <w:rFonts w:eastAsia="仿宋"/>
          <w:bCs/>
          <w:color w:val="000000"/>
          <w:sz w:val="32"/>
          <w:szCs w:val="32"/>
        </w:rPr>
        <w:t>社会保障和就业（类）</w:t>
      </w:r>
      <w:r>
        <w:rPr>
          <w:rStyle w:val="15"/>
          <w:rFonts w:hint="eastAsia" w:eastAsia="仿宋"/>
          <w:bCs/>
          <w:color w:val="000000"/>
          <w:sz w:val="32"/>
          <w:szCs w:val="32"/>
        </w:rPr>
        <w:t>抚恤</w:t>
      </w:r>
      <w:r>
        <w:rPr>
          <w:rStyle w:val="15"/>
          <w:rFonts w:eastAsia="仿宋"/>
          <w:bCs/>
          <w:color w:val="000000"/>
          <w:sz w:val="32"/>
          <w:szCs w:val="32"/>
        </w:rPr>
        <w:t>（款）</w:t>
      </w:r>
      <w:r>
        <w:rPr>
          <w:rStyle w:val="15"/>
          <w:rFonts w:hint="eastAsia" w:eastAsia="仿宋"/>
          <w:bCs/>
          <w:color w:val="000000"/>
          <w:sz w:val="32"/>
          <w:szCs w:val="32"/>
        </w:rPr>
        <w:t>死亡抚恤</w:t>
      </w:r>
      <w:r>
        <w:rPr>
          <w:rStyle w:val="15"/>
          <w:rFonts w:eastAsia="仿宋"/>
          <w:bCs/>
          <w:color w:val="000000"/>
          <w:sz w:val="32"/>
          <w:szCs w:val="32"/>
        </w:rPr>
        <w:t>（项）</w:t>
      </w:r>
      <w:r>
        <w:rPr>
          <w:rStyle w:val="15"/>
          <w:rFonts w:hint="eastAsia" w:eastAsia="仿宋"/>
          <w:bCs/>
          <w:color w:val="000000"/>
          <w:sz w:val="32"/>
          <w:szCs w:val="32"/>
          <w:lang w:eastAsia="zh-CN"/>
        </w:rPr>
        <w:t>：</w:t>
      </w:r>
      <w:r>
        <w:rPr>
          <w:rStyle w:val="15"/>
          <w:rFonts w:hint="eastAsia" w:ascii="仿宋" w:hAnsi="仿宋" w:eastAsia="仿宋"/>
          <w:b w:val="0"/>
          <w:bCs/>
          <w:sz w:val="32"/>
          <w:szCs w:val="32"/>
        </w:rPr>
        <w:t>支出决算为4.91万元，完成预算100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6</w:t>
      </w:r>
      <w:r>
        <w:rPr>
          <w:rStyle w:val="15"/>
          <w:rFonts w:ascii="仿宋" w:hAnsi="仿宋" w:eastAsia="仿宋"/>
          <w:bCs/>
          <w:sz w:val="32"/>
          <w:szCs w:val="32"/>
        </w:rPr>
        <w:t>.</w:t>
      </w:r>
      <w:r>
        <w:rPr>
          <w:rStyle w:val="17"/>
          <w:rFonts w:eastAsia="仿宋"/>
          <w:bCs/>
          <w:color w:val="000000"/>
          <w:sz w:val="32"/>
          <w:szCs w:val="32"/>
        </w:rPr>
        <w:t xml:space="preserve"> </w:t>
      </w:r>
      <w:r>
        <w:rPr>
          <w:rStyle w:val="15"/>
          <w:rFonts w:eastAsia="仿宋"/>
          <w:bCs/>
          <w:color w:val="000000"/>
          <w:sz w:val="32"/>
          <w:szCs w:val="32"/>
        </w:rPr>
        <w:t>社会保障和就业（类）</w:t>
      </w:r>
      <w:r>
        <w:rPr>
          <w:rStyle w:val="15"/>
          <w:rFonts w:hint="eastAsia" w:eastAsia="仿宋"/>
          <w:bCs/>
          <w:color w:val="000000"/>
          <w:sz w:val="32"/>
          <w:szCs w:val="32"/>
        </w:rPr>
        <w:t>人力资源和社会保障管理事务</w:t>
      </w:r>
      <w:r>
        <w:rPr>
          <w:rStyle w:val="15"/>
          <w:rFonts w:eastAsia="仿宋"/>
          <w:bCs/>
          <w:color w:val="000000"/>
          <w:sz w:val="32"/>
          <w:szCs w:val="32"/>
        </w:rPr>
        <w:t>（款）</w:t>
      </w:r>
      <w:r>
        <w:rPr>
          <w:rStyle w:val="15"/>
          <w:rFonts w:hint="eastAsia" w:eastAsia="仿宋"/>
          <w:bCs/>
          <w:color w:val="000000"/>
          <w:sz w:val="32"/>
          <w:szCs w:val="32"/>
        </w:rPr>
        <w:t>其他人力资源和社会保障管理事务</w:t>
      </w:r>
      <w:r>
        <w:rPr>
          <w:rStyle w:val="15"/>
          <w:rFonts w:eastAsia="仿宋"/>
          <w:bCs/>
          <w:color w:val="000000"/>
          <w:sz w:val="32"/>
          <w:szCs w:val="32"/>
        </w:rPr>
        <w:t>（项）</w:t>
      </w:r>
      <w:r>
        <w:rPr>
          <w:rStyle w:val="15"/>
          <w:rFonts w:hint="eastAsia" w:eastAsia="仿宋"/>
          <w:bCs/>
          <w:color w:val="000000"/>
          <w:sz w:val="32"/>
          <w:szCs w:val="32"/>
          <w:lang w:eastAsia="zh-CN"/>
        </w:rPr>
        <w:t>：</w:t>
      </w:r>
      <w:r>
        <w:rPr>
          <w:rStyle w:val="15"/>
          <w:rFonts w:hint="eastAsia" w:ascii="仿宋" w:hAnsi="仿宋" w:eastAsia="仿宋"/>
          <w:b w:val="0"/>
          <w:bCs/>
          <w:sz w:val="32"/>
          <w:szCs w:val="32"/>
        </w:rPr>
        <w:t>支出决算为2.40万元，完成预算100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7</w:t>
      </w:r>
      <w:r>
        <w:rPr>
          <w:rStyle w:val="15"/>
          <w:rFonts w:ascii="仿宋" w:hAnsi="仿宋" w:eastAsia="仿宋"/>
          <w:bCs/>
          <w:sz w:val="32"/>
          <w:szCs w:val="32"/>
        </w:rPr>
        <w:t>.</w:t>
      </w:r>
      <w:r>
        <w:rPr>
          <w:rStyle w:val="17"/>
          <w:rFonts w:eastAsia="仿宋"/>
          <w:bCs/>
          <w:color w:val="000000"/>
          <w:sz w:val="32"/>
          <w:szCs w:val="32"/>
        </w:rPr>
        <w:t xml:space="preserve"> </w:t>
      </w:r>
      <w:r>
        <w:rPr>
          <w:rStyle w:val="15"/>
          <w:rFonts w:eastAsia="仿宋"/>
          <w:bCs/>
          <w:color w:val="000000"/>
          <w:sz w:val="32"/>
          <w:szCs w:val="32"/>
        </w:rPr>
        <w:t>住房保障支出（类）住房改革支出（款）住房公积金（项）</w:t>
      </w:r>
      <w:r>
        <w:rPr>
          <w:rStyle w:val="15"/>
          <w:rFonts w:hint="eastAsia" w:eastAsia="仿宋"/>
          <w:bCs/>
          <w:color w:val="000000"/>
          <w:sz w:val="32"/>
          <w:szCs w:val="32"/>
        </w:rPr>
        <w:t>：</w:t>
      </w:r>
      <w:r>
        <w:rPr>
          <w:rStyle w:val="15"/>
          <w:rFonts w:hint="eastAsia" w:ascii="仿宋" w:hAnsi="仿宋" w:eastAsia="仿宋"/>
          <w:b w:val="0"/>
          <w:bCs/>
          <w:sz w:val="32"/>
          <w:szCs w:val="32"/>
        </w:rPr>
        <w:t>支出决算为12.61万元，完成预算100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1" w:name="_Toc15377214"/>
      <w:bookmarkStart w:id="42" w:name="_Toc15396608"/>
      <w:bookmarkStart w:id="43" w:name="_Toc15616"/>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1"/>
      <w:bookmarkEnd w:id="42"/>
      <w:bookmarkEnd w:id="43"/>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21年一般公共预算财政拨款基本支出245.59万元，其中：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224.06万元，主要包括：基本工资40.99万元、津贴补贴4.68万元、奖金31.06万元、绩效工资31.33万元、机关事业单位基本养老保险缴费12.33万元、职工基本医疗保险缴费7.78万元、医疗补助4.32万元、其他社会保障缴费1.79万元、其他工资福利支出3.59万元、抚恤金4.91万元、生活补助68.67万元、住房公积金12.61万元、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21.53万元，主要包括：办公费0.47万元、水费0.07万元、物业管理费0.64万元、差旅费1.98万元、培训费0.02万元、委托业务费0.1万元、工会经费2.08万元、福利费11.94万元、其他商品和服务支出2.69万元、办公设备购置1.54万元。</w:t>
      </w:r>
    </w:p>
    <w:p>
      <w:pPr>
        <w:spacing w:line="600" w:lineRule="exact"/>
        <w:ind w:firstLine="640"/>
        <w:outlineLvl w:val="1"/>
        <w:rPr>
          <w:rStyle w:val="26"/>
          <w:rFonts w:ascii="黑体" w:hAnsi="黑体" w:eastAsia="黑体"/>
          <w:b w:val="0"/>
        </w:rPr>
      </w:pPr>
      <w:bookmarkStart w:id="44" w:name="_Toc15396609"/>
      <w:bookmarkStart w:id="45" w:name="_Toc3419"/>
      <w:bookmarkStart w:id="46"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4"/>
      <w:bookmarkEnd w:id="45"/>
      <w:bookmarkEnd w:id="46"/>
    </w:p>
    <w:p>
      <w:pPr>
        <w:spacing w:line="600" w:lineRule="exact"/>
        <w:ind w:firstLine="640"/>
        <w:rPr>
          <w:rFonts w:ascii="仿宋" w:hAnsi="仿宋" w:eastAsia="仿宋"/>
          <w:b/>
          <w:sz w:val="32"/>
          <w:szCs w:val="32"/>
        </w:rPr>
      </w:pPr>
      <w:bookmarkStart w:id="47" w:name="_Toc15377216"/>
      <w:r>
        <w:rPr>
          <w:rFonts w:hint="eastAsia" w:ascii="仿宋" w:hAnsi="仿宋" w:eastAsia="仿宋"/>
          <w:b/>
          <w:sz w:val="32"/>
          <w:szCs w:val="32"/>
        </w:rPr>
        <w:t>（一）“三公”经费财政拨款支出决算总体情况说明</w:t>
      </w:r>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21年“三公”经费财政拨款支出决算为0万元，完成预算0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bookmarkStart w:id="48" w:name="_Toc15377217"/>
      <w:r>
        <w:rPr>
          <w:rFonts w:hint="eastAsia" w:ascii="仿宋" w:hAnsi="仿宋" w:eastAsia="仿宋"/>
          <w:b/>
          <w:sz w:val="32"/>
          <w:szCs w:val="32"/>
        </w:rPr>
        <w:t>（二）“三公”经费财政拨款支出决算具体情况说明</w:t>
      </w:r>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0万元出国（境）0人。</w:t>
      </w:r>
    </w:p>
    <w:p>
      <w:pPr>
        <w:spacing w:line="600" w:lineRule="exact"/>
        <w:ind w:firstLine="640"/>
        <w:rPr>
          <w:rStyle w:val="15"/>
          <w:rFonts w:ascii="仿宋" w:hAnsi="仿宋" w:eastAsia="仿宋"/>
          <w:bCs/>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0万元，完成预算0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Style w:val="15"/>
          <w:rFonts w:ascii="仿宋" w:hAnsi="仿宋" w:eastAsia="仿宋"/>
          <w:b w:val="0"/>
          <w:bCs/>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9" w:name="_Toc15396610"/>
      <w:bookmarkStart w:id="50" w:name="_Toc13848"/>
      <w:bookmarkStart w:id="51"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9"/>
      <w:bookmarkEnd w:id="50"/>
      <w:bookmarkEnd w:id="5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firstLineChars="200"/>
        <w:outlineLvl w:val="1"/>
        <w:rPr>
          <w:rStyle w:val="26"/>
          <w:rFonts w:ascii="黑体" w:hAnsi="黑体" w:eastAsia="黑体"/>
          <w:b w:val="0"/>
        </w:rPr>
      </w:pPr>
      <w:bookmarkStart w:id="52" w:name="_Toc15377219"/>
      <w:bookmarkStart w:id="53" w:name="_Toc15396611"/>
      <w:bookmarkStart w:id="54" w:name="_Toc26595"/>
      <w:r>
        <w:rPr>
          <w:rStyle w:val="26"/>
          <w:rFonts w:hint="eastAsia" w:ascii="黑体" w:hAnsi="黑体" w:eastAsia="黑体"/>
          <w:b w:val="0"/>
        </w:rPr>
        <w:t>九、国有资本经营预算支出决算情况说明</w:t>
      </w:r>
      <w:bookmarkEnd w:id="52"/>
      <w:bookmarkEnd w:id="53"/>
      <w:bookmarkEnd w:id="5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600" w:lineRule="exact"/>
        <w:ind w:firstLine="640" w:firstLineChars="200"/>
        <w:outlineLvl w:val="1"/>
        <w:rPr>
          <w:rStyle w:val="26"/>
          <w:rFonts w:ascii="黑体" w:hAnsi="黑体" w:eastAsia="黑体"/>
          <w:b w:val="0"/>
        </w:rPr>
      </w:pPr>
      <w:bookmarkStart w:id="55" w:name="_Toc15396612"/>
      <w:bookmarkStart w:id="56" w:name="_Toc15377221"/>
      <w:bookmarkStart w:id="57" w:name="_Toc8751"/>
      <w:r>
        <w:rPr>
          <w:rStyle w:val="26"/>
          <w:rFonts w:hint="eastAsia" w:ascii="黑体" w:hAnsi="黑体" w:eastAsia="黑体"/>
          <w:b w:val="0"/>
        </w:rPr>
        <w:t>十、其他重要事项的情况说明</w:t>
      </w:r>
      <w:bookmarkEnd w:id="55"/>
      <w:bookmarkEnd w:id="56"/>
      <w:bookmarkEnd w:id="57"/>
    </w:p>
    <w:p>
      <w:pPr>
        <w:spacing w:line="600" w:lineRule="exact"/>
        <w:ind w:firstLine="643" w:firstLineChars="200"/>
        <w:rPr>
          <w:rFonts w:ascii="仿宋" w:hAnsi="仿宋" w:eastAsia="仿宋"/>
          <w:sz w:val="32"/>
          <w:szCs w:val="32"/>
        </w:rPr>
      </w:pPr>
      <w:bookmarkStart w:id="58" w:name="_Toc15377222"/>
      <w:r>
        <w:rPr>
          <w:rFonts w:hint="eastAsia" w:ascii="仿宋" w:hAnsi="仿宋" w:eastAsia="仿宋"/>
          <w:b/>
          <w:sz w:val="32"/>
          <w:szCs w:val="32"/>
        </w:rPr>
        <w:t>（一）机关运行经费支出情况</w:t>
      </w:r>
      <w:bookmarkEnd w:id="58"/>
    </w:p>
    <w:p>
      <w:pPr>
        <w:spacing w:line="600" w:lineRule="exact"/>
        <w:ind w:firstLine="640" w:firstLineChars="200"/>
        <w:rPr>
          <w:rFonts w:ascii="仿宋_GB2312" w:eastAsia="仿宋_GB2312"/>
          <w:sz w:val="32"/>
          <w:szCs w:val="32"/>
        </w:rPr>
      </w:pPr>
      <w:r>
        <w:rPr>
          <w:rFonts w:hint="eastAsia" w:ascii="仿宋_GB2312" w:eastAsia="仿宋_GB2312"/>
          <w:sz w:val="32"/>
          <w:szCs w:val="32"/>
        </w:rPr>
        <w:t>攀枝花市文化旅游公共服务中心为事业单位，</w:t>
      </w:r>
      <w:r>
        <w:rPr>
          <w:rFonts w:ascii="仿宋_GB2312" w:eastAsia="仿宋_GB2312"/>
          <w:sz w:val="32"/>
          <w:szCs w:val="32"/>
        </w:rPr>
        <w:t>20</w:t>
      </w:r>
      <w:r>
        <w:rPr>
          <w:rFonts w:hint="eastAsia" w:ascii="仿宋_GB2312" w:eastAsia="仿宋_GB2312"/>
          <w:sz w:val="32"/>
          <w:szCs w:val="32"/>
        </w:rPr>
        <w:t>21年，机关运行经费支出0万元。</w:t>
      </w:r>
    </w:p>
    <w:p>
      <w:pPr>
        <w:autoSpaceDE w:val="0"/>
        <w:autoSpaceDN w:val="0"/>
        <w:adjustRightInd w:val="0"/>
        <w:spacing w:line="600" w:lineRule="exact"/>
        <w:ind w:firstLine="643" w:firstLineChars="200"/>
        <w:jc w:val="left"/>
        <w:rPr>
          <w:rFonts w:ascii="仿宋" w:hAnsi="仿宋" w:eastAsia="仿宋"/>
          <w:b/>
          <w:sz w:val="32"/>
          <w:szCs w:val="32"/>
        </w:rPr>
      </w:pPr>
      <w:bookmarkStart w:id="59" w:name="_Toc15377223"/>
      <w:r>
        <w:rPr>
          <w:rFonts w:hint="eastAsia" w:ascii="仿宋" w:hAnsi="仿宋" w:eastAsia="仿宋"/>
          <w:b/>
          <w:sz w:val="32"/>
          <w:szCs w:val="32"/>
        </w:rPr>
        <w:t>（二）政府采购支出情况</w:t>
      </w:r>
      <w:bookmarkEnd w:id="5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21年，攀枝花市文化旅游公共服务中心政府采购支出总额0万元，其中：政府采购货物支出0万元、政府采购工程支出0万元、政府采购服务支出0万元。授予中小企业合同金额0万元，占政府采购支出总额的0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rPr>
          <w:rFonts w:ascii="仿宋" w:hAnsi="仿宋" w:eastAsia="仿宋"/>
          <w:b/>
          <w:sz w:val="32"/>
          <w:szCs w:val="32"/>
        </w:rPr>
      </w:pPr>
      <w:bookmarkStart w:id="60" w:name="_Toc15377224"/>
      <w:r>
        <w:rPr>
          <w:rFonts w:hint="eastAsia" w:ascii="仿宋" w:hAnsi="仿宋" w:eastAsia="仿宋"/>
          <w:b/>
          <w:sz w:val="32"/>
          <w:szCs w:val="32"/>
        </w:rPr>
        <w:t>（三）国有资产占有使用情况</w:t>
      </w:r>
      <w:bookmarkEnd w:id="6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日，攀枝花市文化旅游公共服务中心共有车辆0辆，其中：主要领导干部用车0辆、机要通信用车0辆、应急保障用车0辆、其他用车0辆。单价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w:t>
      </w:r>
      <w:r>
        <w:rPr>
          <w:rFonts w:eastAsia="仿宋_GB2312"/>
          <w:sz w:val="32"/>
          <w:szCs w:val="32"/>
        </w:rPr>
        <w:t>编外聘用人员经费</w:t>
      </w:r>
      <w:r>
        <w:rPr>
          <w:rFonts w:hint="eastAsia" w:eastAsia="仿宋_GB2312"/>
          <w:sz w:val="32"/>
          <w:szCs w:val="32"/>
        </w:rPr>
        <w:t>、</w:t>
      </w:r>
      <w:r>
        <w:rPr>
          <w:rFonts w:eastAsia="仿宋_GB2312"/>
          <w:sz w:val="32"/>
          <w:szCs w:val="32"/>
        </w:rPr>
        <w:t>招商引资经费</w:t>
      </w:r>
      <w:r>
        <w:rPr>
          <w:rFonts w:hint="eastAsia" w:ascii="仿宋_GB2312" w:hAnsi="仿宋_GB2312" w:eastAsia="仿宋_GB2312" w:cs="仿宋_GB2312"/>
          <w:sz w:val="32"/>
          <w:szCs w:val="32"/>
        </w:rPr>
        <w:t>等2个项目开展了预算事前绩效评估，对2个项目编制了绩效目标，预算执行过程中，选取2个项目开展绩效监控，年终执行完毕后，对2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5"/>
          <w:rFonts w:ascii="黑体" w:hAnsi="黑体" w:eastAsia="黑体"/>
          <w:b w:val="0"/>
        </w:rPr>
      </w:pPr>
      <w:bookmarkStart w:id="61" w:name="_Toc15396613"/>
      <w:bookmarkStart w:id="62" w:name="_Toc18740"/>
      <w:bookmarkStart w:id="63" w:name="_Toc15377225"/>
      <w:r>
        <w:rPr>
          <w:rFonts w:hint="eastAsia" w:ascii="黑体" w:hAnsi="黑体" w:eastAsia="黑体"/>
          <w:sz w:val="44"/>
          <w:szCs w:val="44"/>
        </w:rPr>
        <w:t>名</w:t>
      </w:r>
      <w:r>
        <w:rPr>
          <w:rStyle w:val="25"/>
          <w:rFonts w:hint="eastAsia" w:ascii="黑体" w:hAnsi="黑体" w:eastAsia="黑体"/>
          <w:b w:val="0"/>
        </w:rPr>
        <w:t>词解释</w:t>
      </w:r>
      <w:bookmarkEnd w:id="61"/>
      <w:bookmarkEnd w:id="62"/>
      <w:bookmarkEnd w:id="63"/>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color w:val="auto"/>
          <w:sz w:val="32"/>
          <w:szCs w:val="32"/>
        </w:rPr>
        <w:t>2.</w:t>
      </w:r>
      <w:r>
        <w:rPr>
          <w:rFonts w:hint="eastAsia" w:ascii="仿宋_GB2312" w:eastAsia="仿宋_GB2312"/>
          <w:sz w:val="32"/>
          <w:szCs w:val="32"/>
        </w:rPr>
        <w:t xml:space="preserve"> 一般公共服务（类）商贸事务（款）招商引资（项）反映用于招商引资、优化经济环境等方面的支出。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文化旅游体育与传媒支出（类）文化和旅游（款）其他文化和旅游支出（项）反映</w:t>
      </w:r>
      <w:r>
        <w:rPr>
          <w:rFonts w:hint="eastAsia" w:ascii="仿宋_GB2312" w:eastAsia="仿宋_GB2312"/>
          <w:sz w:val="32"/>
          <w:szCs w:val="32"/>
        </w:rPr>
        <w:t>攀枝花市文化旅游公共服务中心</w:t>
      </w:r>
      <w:r>
        <w:rPr>
          <w:rFonts w:ascii="仿宋_GB2312" w:eastAsia="仿宋_GB2312"/>
          <w:sz w:val="32"/>
          <w:szCs w:val="32"/>
        </w:rPr>
        <w:t>用于文化和旅游方面的支出。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．社会保障和就业支出（类）行政事业单位养老支出（款）事业单位离退休（项）反映</w:t>
      </w:r>
      <w:r>
        <w:rPr>
          <w:rFonts w:hint="eastAsia" w:ascii="仿宋_GB2312" w:eastAsia="仿宋_GB2312"/>
          <w:sz w:val="32"/>
          <w:szCs w:val="32"/>
        </w:rPr>
        <w:t>攀枝花市文化旅游公共服务中心</w:t>
      </w:r>
      <w:r>
        <w:rPr>
          <w:rFonts w:ascii="仿宋_GB2312" w:eastAsia="仿宋_GB2312"/>
          <w:sz w:val="32"/>
          <w:szCs w:val="32"/>
        </w:rPr>
        <w:t>开支的离退休经费。</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．社会保障和就业支出（类）行政事业单位养老支出（款）机关事业单位基本养老保险缴费支出（项）反映机关事业单位实施养老保险制度由单位缴纳的基本养老保险费支出。</w:t>
      </w:r>
    </w:p>
    <w:p>
      <w:pPr>
        <w:pStyle w:val="23"/>
        <w:spacing w:line="560" w:lineRule="exact"/>
        <w:ind w:firstLine="640" w:firstLineChars="200"/>
        <w:rPr>
          <w:rFonts w:ascii="仿宋_GB2312" w:eastAsia="仿宋_GB2312"/>
        </w:rPr>
      </w:pPr>
      <w:r>
        <w:rPr>
          <w:rFonts w:hint="eastAsia" w:ascii="仿宋_GB2312" w:eastAsia="仿宋_GB2312"/>
          <w:sz w:val="32"/>
          <w:szCs w:val="32"/>
        </w:rPr>
        <w:t>6．</w:t>
      </w:r>
      <w:r>
        <w:rPr>
          <w:rFonts w:ascii="仿宋_GB2312" w:eastAsia="仿宋_GB2312"/>
          <w:sz w:val="32"/>
          <w:szCs w:val="32"/>
        </w:rPr>
        <w:t>社会保障和就业（类）</w:t>
      </w:r>
      <w:r>
        <w:rPr>
          <w:rFonts w:hint="eastAsia" w:ascii="仿宋_GB2312" w:eastAsia="仿宋_GB2312"/>
          <w:sz w:val="32"/>
          <w:szCs w:val="32"/>
        </w:rPr>
        <w:t>抚恤</w:t>
      </w:r>
      <w:r>
        <w:rPr>
          <w:rFonts w:ascii="仿宋_GB2312" w:eastAsia="仿宋_GB2312"/>
          <w:sz w:val="32"/>
          <w:szCs w:val="32"/>
        </w:rPr>
        <w:t>（款）</w:t>
      </w:r>
      <w:r>
        <w:rPr>
          <w:rFonts w:hint="eastAsia" w:ascii="仿宋_GB2312" w:eastAsia="仿宋_GB2312"/>
          <w:sz w:val="32"/>
          <w:szCs w:val="32"/>
        </w:rPr>
        <w:t>死亡抚恤</w:t>
      </w:r>
      <w:r>
        <w:rPr>
          <w:rFonts w:ascii="仿宋_GB2312" w:eastAsia="仿宋_GB2312"/>
          <w:sz w:val="32"/>
          <w:szCs w:val="32"/>
        </w:rPr>
        <w:t>（项）</w:t>
      </w:r>
      <w:r>
        <w:rPr>
          <w:rFonts w:hint="eastAsia" w:ascii="仿宋_GB2312" w:eastAsia="仿宋_GB2312"/>
          <w:sz w:val="32"/>
          <w:szCs w:val="32"/>
        </w:rPr>
        <w:t>反映按规定用于烈士和牺牲、病故人员家属的一次性和定期抚恤金以及丧葬补助费。</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 社会保障和就业（类）</w:t>
      </w:r>
      <w:r>
        <w:rPr>
          <w:rFonts w:hint="eastAsia" w:ascii="仿宋_GB2312" w:eastAsia="仿宋_GB2312"/>
          <w:sz w:val="32"/>
          <w:szCs w:val="32"/>
        </w:rPr>
        <w:t>人力资源和社会保障管理事务</w:t>
      </w:r>
      <w:r>
        <w:rPr>
          <w:rFonts w:ascii="仿宋_GB2312" w:eastAsia="仿宋_GB2312"/>
          <w:sz w:val="32"/>
          <w:szCs w:val="32"/>
        </w:rPr>
        <w:t>（款）</w:t>
      </w:r>
      <w:r>
        <w:rPr>
          <w:rFonts w:hint="eastAsia" w:ascii="仿宋_GB2312" w:eastAsia="仿宋_GB2312"/>
          <w:sz w:val="32"/>
          <w:szCs w:val="32"/>
        </w:rPr>
        <w:t>其他人力资源和社会保障管理事务</w:t>
      </w:r>
      <w:r>
        <w:rPr>
          <w:rFonts w:ascii="仿宋_GB2312" w:eastAsia="仿宋_GB2312"/>
          <w:sz w:val="32"/>
          <w:szCs w:val="32"/>
        </w:rPr>
        <w:t>（项）</w:t>
      </w:r>
      <w:r>
        <w:rPr>
          <w:rFonts w:hint="eastAsia" w:ascii="仿宋_GB2312" w:eastAsia="仿宋_GB2312"/>
          <w:sz w:val="32"/>
          <w:szCs w:val="32"/>
        </w:rPr>
        <w:t>反映其他用于人力资源和社会保障管理事务方面的支出。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．住房保障支出（类）住房改革支出（款）住房公积金（项）反映行政事业单位按人力资源和社会保障部、财政部规定的基本工资和津贴以及规定比例为职工缴纳的住房公积金。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spacing w:line="600" w:lineRule="exact"/>
        <w:jc w:val="center"/>
        <w:outlineLvl w:val="0"/>
        <w:rPr>
          <w:rFonts w:ascii="黑体" w:hAnsi="黑体" w:eastAsia="黑体"/>
          <w:sz w:val="44"/>
          <w:szCs w:val="44"/>
        </w:rPr>
      </w:pPr>
      <w:bookmarkStart w:id="64" w:name="_Toc15396614"/>
      <w:bookmarkStart w:id="65" w:name="_Toc17301"/>
      <w:bookmarkStart w:id="66"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四部分 附件</w:t>
      </w:r>
      <w:bookmarkEnd w:id="64"/>
      <w:bookmarkEnd w:id="65"/>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9"/>
        <w:gridCol w:w="850"/>
        <w:gridCol w:w="1276"/>
        <w:gridCol w:w="33"/>
        <w:gridCol w:w="1635"/>
        <w:gridCol w:w="33"/>
        <w:gridCol w:w="142"/>
        <w:gridCol w:w="61"/>
        <w:gridCol w:w="789"/>
        <w:gridCol w:w="1388"/>
        <w:gridCol w:w="455"/>
        <w:gridCol w:w="1954"/>
        <w:gridCol w:w="236"/>
      </w:tblGrid>
      <w:tr>
        <w:tblPrEx>
          <w:tblCellMar>
            <w:top w:w="0" w:type="dxa"/>
            <w:left w:w="108" w:type="dxa"/>
            <w:bottom w:w="0" w:type="dxa"/>
            <w:right w:w="108" w:type="dxa"/>
          </w:tblCellMar>
        </w:tblPrEx>
        <w:trPr>
          <w:trHeight w:val="675" w:hRule="atLeast"/>
        </w:trPr>
        <w:tc>
          <w:tcPr>
            <w:tcW w:w="9575"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67" w:name="_Toc15396618"/>
            <w:r>
              <w:rPr>
                <w:rFonts w:hint="eastAsia" w:ascii="宋体" w:hAnsi="宋体" w:cs="宋体"/>
                <w:b/>
                <w:sz w:val="32"/>
                <w:szCs w:val="32"/>
              </w:rPr>
              <w:t>编外合同制用工经费项目绩效目标自评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31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1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sz w:val="24"/>
              </w:rPr>
              <w:t>205001－攀枝花市文化广播电视和旅游局</w:t>
            </w:r>
          </w:p>
        </w:tc>
        <w:tc>
          <w:tcPr>
            <w:tcW w:w="2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攀枝花市文化旅游公共服务中心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21</w:t>
            </w:r>
          </w:p>
        </w:tc>
      </w:tr>
      <w:tr>
        <w:tblPrEx>
          <w:tblCellMar>
            <w:top w:w="0" w:type="dxa"/>
            <w:left w:w="108" w:type="dxa"/>
            <w:bottom w:w="0" w:type="dxa"/>
            <w:right w:w="108" w:type="dxa"/>
          </w:tblCellMar>
        </w:tblPrEx>
        <w:trPr>
          <w:gridAfter w:val="1"/>
          <w:wAfter w:w="236" w:type="dxa"/>
          <w:trHeight w:val="555" w:hRule="atLeast"/>
        </w:trPr>
        <w:tc>
          <w:tcPr>
            <w:tcW w:w="311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pPr>
            <w:r>
              <w:rPr>
                <w:rFonts w:hint="eastAsia" w:ascii="宋体" w:hAnsi="宋体" w:cs="宋体"/>
                <w:sz w:val="24"/>
              </w:rPr>
              <w:t>21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21</w:t>
            </w:r>
          </w:p>
        </w:tc>
      </w:tr>
      <w:tr>
        <w:tblPrEx>
          <w:tblCellMar>
            <w:top w:w="0" w:type="dxa"/>
            <w:left w:w="108" w:type="dxa"/>
            <w:bottom w:w="0" w:type="dxa"/>
            <w:right w:w="108" w:type="dxa"/>
          </w:tblCellMar>
        </w:tblPrEx>
        <w:trPr>
          <w:gridAfter w:val="1"/>
          <w:wAfter w:w="236" w:type="dxa"/>
          <w:trHeight w:val="341" w:hRule="atLeast"/>
        </w:trPr>
        <w:tc>
          <w:tcPr>
            <w:tcW w:w="311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8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47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827"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按照既定目标，做好年度重大文旅项目、文旅活动协调工作。</w:t>
            </w:r>
          </w:p>
        </w:tc>
        <w:tc>
          <w:tcPr>
            <w:tcW w:w="4789"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完成既定目标，做好了年度重大文旅项目、文旅活动协调工作。</w:t>
            </w:r>
          </w:p>
        </w:tc>
      </w:tr>
      <w:tr>
        <w:tblPrEx>
          <w:tblCellMar>
            <w:top w:w="0" w:type="dxa"/>
            <w:left w:w="108" w:type="dxa"/>
            <w:bottom w:w="0" w:type="dxa"/>
            <w:right w:w="108" w:type="dxa"/>
          </w:tblCellMar>
        </w:tblPrEx>
        <w:trPr>
          <w:gridAfter w:val="1"/>
          <w:wAfter w:w="236" w:type="dxa"/>
          <w:trHeight w:val="693"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年度绩效指标完成情况</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一级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二级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三级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预期指标值</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完成</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数量指标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聘用人数</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4人</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4人</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质量指标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劳务费发放</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保障按时发放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按时发放</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时效指标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发放时间</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2020年1月-12月</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2021年全面完成</w:t>
            </w:r>
          </w:p>
        </w:tc>
      </w:tr>
      <w:tr>
        <w:tblPrEx>
          <w:tblCellMar>
            <w:top w:w="0" w:type="dxa"/>
            <w:left w:w="108" w:type="dxa"/>
            <w:bottom w:w="0" w:type="dxa"/>
            <w:right w:w="108" w:type="dxa"/>
          </w:tblCellMar>
        </w:tblPrEx>
        <w:trPr>
          <w:gridAfter w:val="1"/>
          <w:wAfter w:w="236" w:type="dxa"/>
          <w:trHeight w:val="438"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成本指标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编外用工经费</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编外聘用人员经费21万元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支付编外聘用人员经费21万元</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效益</w:t>
            </w:r>
            <w:r>
              <w:rPr>
                <w:rFonts w:hint="eastAsia" w:ascii="仿宋_GB2312" w:hAnsi="仿宋_GB2312" w:eastAsia="仿宋_GB2312" w:cs="仿宋_GB2312"/>
                <w:kern w:val="0"/>
                <w:sz w:val="24"/>
                <w:lang w:bidi="ar"/>
              </w:rPr>
              <w:br w:type="textWrapping"/>
            </w:r>
            <w:r>
              <w:rPr>
                <w:rFonts w:hint="eastAsia" w:ascii="仿宋_GB2312" w:hAnsi="仿宋_GB2312" w:eastAsia="仿宋_GB2312" w:cs="仿宋_GB2312"/>
                <w:kern w:val="0"/>
                <w:sz w:val="24"/>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经济效益  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文旅产业经济增长</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通过努力，拉动文旅消费，促进文旅经济增长，完成文旅产业收入年度目标任务。</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完成各项工作年度目标任务。</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社会效益  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丰富文旅产品，满足市民及游客需求。</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丰富各项文旅产品，促进项目落地，完善文旅产业体系，促进文旅融合发展。</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促进文旅融合发展</w:t>
            </w:r>
          </w:p>
        </w:tc>
      </w:tr>
      <w:tr>
        <w:tblPrEx>
          <w:tblCellMar>
            <w:top w:w="0" w:type="dxa"/>
            <w:left w:w="108" w:type="dxa"/>
            <w:bottom w:w="0" w:type="dxa"/>
            <w:right w:w="108" w:type="dxa"/>
          </w:tblCellMar>
        </w:tblPrEx>
        <w:trPr>
          <w:gridAfter w:val="1"/>
          <w:wAfter w:w="236" w:type="dxa"/>
          <w:trHeight w:val="577"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生态效益  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促进生态旅游发展</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发展康养旅游项目，完善产品体系，调整产业结构，促进生态旅游发展。</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促进生态旅游发展。</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可持续影响 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促进文旅产业可持续发展</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通过项目工作协调，促进文旅融合，</w:t>
            </w:r>
            <w:r>
              <w:rPr>
                <w:rFonts w:ascii="仿宋_GB2312" w:hAnsi="仿宋_GB2312" w:eastAsia="仿宋_GB2312" w:cs="仿宋_GB2312"/>
                <w:sz w:val="24"/>
              </w:rPr>
              <w:t xml:space="preserve"> </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促进文旅融合</w:t>
            </w:r>
          </w:p>
        </w:tc>
      </w:tr>
      <w:tr>
        <w:tblPrEx>
          <w:tblCellMar>
            <w:top w:w="0" w:type="dxa"/>
            <w:left w:w="108" w:type="dxa"/>
            <w:bottom w:w="0" w:type="dxa"/>
            <w:right w:w="108" w:type="dxa"/>
          </w:tblCellMar>
        </w:tblPrEx>
        <w:trPr>
          <w:gridAfter w:val="1"/>
          <w:wAfter w:w="236" w:type="dxa"/>
          <w:trHeight w:val="530"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满意</w:t>
            </w:r>
            <w:r>
              <w:rPr>
                <w:rFonts w:hint="eastAsia" w:ascii="仿宋_GB2312" w:hAnsi="仿宋_GB2312" w:eastAsia="仿宋_GB2312" w:cs="仿宋_GB2312"/>
                <w:kern w:val="0"/>
                <w:sz w:val="24"/>
                <w:lang w:bidi="ar"/>
              </w:rPr>
              <w:br w:type="textWrapping"/>
            </w:r>
            <w:r>
              <w:rPr>
                <w:rFonts w:hint="eastAsia" w:ascii="仿宋_GB2312" w:hAnsi="仿宋_GB2312" w:eastAsia="仿宋_GB2312" w:cs="仿宋_GB2312"/>
                <w:kern w:val="0"/>
                <w:sz w:val="24"/>
                <w:lang w:bidi="ar"/>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满意度</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市民及游客满意度</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通过指导项目建设，丰富文旅产品，完善各项配套，提高服务水平，提高市民及游客满意度。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提高市民及游客满意度。</w:t>
            </w:r>
          </w:p>
        </w:tc>
      </w:tr>
    </w:tbl>
    <w:p>
      <w:pPr>
        <w:spacing w:line="576" w:lineRule="exact"/>
        <w:rPr>
          <w:rFonts w:eastAsia="方正仿宋_GBK"/>
          <w:sz w:val="33"/>
          <w:szCs w:val="33"/>
        </w:rPr>
      </w:pPr>
    </w:p>
    <w:p>
      <w:pPr>
        <w:spacing w:line="600" w:lineRule="exact"/>
        <w:jc w:val="center"/>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9"/>
        <w:gridCol w:w="992"/>
        <w:gridCol w:w="1167"/>
        <w:gridCol w:w="109"/>
        <w:gridCol w:w="1526"/>
        <w:gridCol w:w="175"/>
        <w:gridCol w:w="1134"/>
        <w:gridCol w:w="1559"/>
        <w:gridCol w:w="567"/>
        <w:gridCol w:w="1387"/>
        <w:gridCol w:w="236"/>
      </w:tblGrid>
      <w:tr>
        <w:tblPrEx>
          <w:tblCellMar>
            <w:top w:w="0" w:type="dxa"/>
            <w:left w:w="108" w:type="dxa"/>
            <w:bottom w:w="0" w:type="dxa"/>
            <w:right w:w="108" w:type="dxa"/>
          </w:tblCellMar>
        </w:tblPrEx>
        <w:trPr>
          <w:trHeight w:val="675" w:hRule="atLeast"/>
        </w:trPr>
        <w:tc>
          <w:tcPr>
            <w:tcW w:w="9575"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文化旅游招商引资专项经费项目绩效目标自评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583"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9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sz w:val="24"/>
              </w:rPr>
              <w:t>205001</w:t>
            </w:r>
            <w:r>
              <w:rPr>
                <w:rFonts w:hint="eastAsia"/>
                <w:sz w:val="24"/>
                <w:lang w:eastAsia="zh-CN"/>
              </w:rPr>
              <w:t>－</w:t>
            </w:r>
            <w:r>
              <w:rPr>
                <w:rFonts w:hint="eastAsia"/>
                <w:sz w:val="24"/>
              </w:rPr>
              <w:t>攀枝花市文化广播电视和旅游局</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攀枝花市文化旅游公共服务中心</w:t>
            </w:r>
          </w:p>
        </w:tc>
      </w:tr>
      <w:tr>
        <w:tblPrEx>
          <w:tblCellMar>
            <w:top w:w="0" w:type="dxa"/>
            <w:left w:w="108" w:type="dxa"/>
            <w:bottom w:w="0" w:type="dxa"/>
            <w:right w:w="108" w:type="dxa"/>
          </w:tblCellMar>
        </w:tblPrEx>
        <w:trPr>
          <w:gridAfter w:val="1"/>
          <w:wAfter w:w="236" w:type="dxa"/>
          <w:trHeight w:val="365"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6.97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6.97</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6.97</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6.97</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51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5103"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支付文旅招商引资培训、招商引资宣传资料制作和接待客商考察等费用</w:t>
            </w:r>
          </w:p>
        </w:tc>
        <w:tc>
          <w:tcPr>
            <w:tcW w:w="351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支付文旅招商引资培训、招商引资宣传资料制作和接待客商考察等费用</w:t>
            </w:r>
          </w:p>
        </w:tc>
      </w:tr>
      <w:tr>
        <w:tblPrEx>
          <w:tblCellMar>
            <w:top w:w="0" w:type="dxa"/>
            <w:left w:w="108" w:type="dxa"/>
            <w:bottom w:w="0" w:type="dxa"/>
            <w:right w:w="108" w:type="dxa"/>
          </w:tblCellMar>
        </w:tblPrEx>
        <w:trPr>
          <w:gridAfter w:val="1"/>
          <w:wAfter w:w="236" w:type="dxa"/>
          <w:trHeight w:val="693"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年度绩效指标完成情况</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一级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二级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三级</w:t>
            </w:r>
          </w:p>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预期指标值</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完成</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积极开展对外招商引资工作</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完成招商引资目标任务</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按照下达年度招商引资目标任务</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完成年度目标任务</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CellMar>
            <w:top w:w="0" w:type="dxa"/>
            <w:left w:w="108" w:type="dxa"/>
            <w:bottom w:w="0" w:type="dxa"/>
            <w:right w:w="108" w:type="dxa"/>
          </w:tblCellMar>
        </w:tblPrEx>
        <w:trPr>
          <w:gridAfter w:val="1"/>
          <w:wAfter w:w="236"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2021年</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2021年</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文旅招商引资培训费、招商资料制作费、接待客商费用</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6.97万元</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支付完成6.97万元</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效益</w:t>
            </w:r>
            <w:r>
              <w:rPr>
                <w:rFonts w:hint="eastAsia" w:ascii="仿宋_GB2312" w:hAnsi="仿宋_GB2312" w:eastAsia="仿宋_GB2312" w:cs="仿宋_GB2312"/>
                <w:kern w:val="0"/>
                <w:sz w:val="24"/>
                <w:lang w:bidi="ar"/>
              </w:rPr>
              <w:br w:type="textWrapping"/>
            </w:r>
            <w:r>
              <w:rPr>
                <w:rFonts w:hint="eastAsia" w:ascii="仿宋_GB2312" w:hAnsi="仿宋_GB2312" w:eastAsia="仿宋_GB2312" w:cs="仿宋_GB2312"/>
                <w:kern w:val="0"/>
                <w:sz w:val="24"/>
                <w:lang w:bidi="ar"/>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经济效益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促进攀枝花文旅产业发展</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促进文旅项目建设，助力国际阳光康养旅游目的地建设</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较好完成目标任务</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社会效益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推动攀枝花经济社会发展</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通过招商引资促进旅游景区开发，进一步提升我市的人居环境，推动城市高质量发展。</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较好完成目标任务</w:t>
            </w:r>
          </w:p>
        </w:tc>
      </w:tr>
      <w:tr>
        <w:tblPrEx>
          <w:tblCellMar>
            <w:top w:w="0" w:type="dxa"/>
            <w:left w:w="108" w:type="dxa"/>
            <w:bottom w:w="0" w:type="dxa"/>
            <w:right w:w="108" w:type="dxa"/>
          </w:tblCellMar>
        </w:tblPrEx>
        <w:trPr>
          <w:gridAfter w:val="1"/>
          <w:wAfter w:w="236" w:type="dxa"/>
          <w:trHeight w:val="577"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生态效益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引导生态友好型旅游产业发展</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通过旅游开发，带动项目区域及周边群众增收，从而减少当地环境资源过度开发，逐步树立环境保护意识。</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较好完成目标任务</w:t>
            </w:r>
          </w:p>
        </w:tc>
      </w:tr>
      <w:tr>
        <w:tblPrEx>
          <w:tblCellMar>
            <w:top w:w="0" w:type="dxa"/>
            <w:left w:w="108" w:type="dxa"/>
            <w:bottom w:w="0" w:type="dxa"/>
            <w:right w:w="108" w:type="dxa"/>
          </w:tblCellMar>
        </w:tblPrEx>
        <w:trPr>
          <w:gridAfter w:val="1"/>
          <w:wAfter w:w="236"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可持续影响 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提升营商环境</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0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通过招商宣传、推介，提升我市康养产业知名度，让更多的潜在资本看都市场潜力和我市发展康养旅游的政策环境</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较好完成目标任务</w:t>
            </w:r>
          </w:p>
        </w:tc>
      </w:tr>
      <w:tr>
        <w:tblPrEx>
          <w:tblCellMar>
            <w:top w:w="0" w:type="dxa"/>
            <w:left w:w="108" w:type="dxa"/>
            <w:bottom w:w="0" w:type="dxa"/>
            <w:right w:w="108" w:type="dxa"/>
          </w:tblCellMar>
        </w:tblPrEx>
        <w:trPr>
          <w:gridAfter w:val="1"/>
          <w:wAfter w:w="236" w:type="dxa"/>
          <w:trHeight w:val="530"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满意</w:t>
            </w:r>
            <w:r>
              <w:rPr>
                <w:rFonts w:hint="eastAsia" w:ascii="仿宋_GB2312" w:hAnsi="仿宋_GB2312" w:eastAsia="仿宋_GB2312" w:cs="仿宋_GB2312"/>
                <w:kern w:val="0"/>
                <w:sz w:val="24"/>
                <w:lang w:bidi="ar"/>
              </w:rPr>
              <w:br w:type="textWrapping"/>
            </w:r>
            <w:r>
              <w:rPr>
                <w:rFonts w:hint="eastAsia" w:ascii="仿宋_GB2312" w:hAnsi="仿宋_GB2312" w:eastAsia="仿宋_GB2312" w:cs="仿宋_GB2312"/>
                <w:kern w:val="0"/>
                <w:sz w:val="24"/>
                <w:lang w:bidi="ar"/>
              </w:rPr>
              <w:t>度指标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满意度</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lang w:bidi="ar"/>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客商满意度</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24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≥90%</w:t>
            </w:r>
          </w:p>
        </w:tc>
      </w:tr>
    </w:tbl>
    <w:p>
      <w:pPr>
        <w:pStyle w:val="2"/>
        <w:spacing w:before="93"/>
      </w:pPr>
    </w:p>
    <w:p>
      <w:pPr>
        <w:spacing w:line="600" w:lineRule="exact"/>
        <w:jc w:val="center"/>
        <w:outlineLvl w:val="0"/>
        <w:rPr>
          <w:rFonts w:ascii="仿宋" w:hAnsi="仿宋" w:eastAsia="仿宋"/>
        </w:rPr>
      </w:pPr>
      <w:bookmarkStart w:id="68" w:name="_Toc29329"/>
      <w:r>
        <w:rPr>
          <w:rFonts w:hint="eastAsia" w:ascii="黑体" w:hAnsi="黑体" w:eastAsia="黑体"/>
          <w:sz w:val="44"/>
          <w:szCs w:val="44"/>
        </w:rPr>
        <w:t>第</w:t>
      </w:r>
      <w:r>
        <w:rPr>
          <w:rStyle w:val="25"/>
          <w:rFonts w:hint="eastAsia" w:ascii="黑体" w:hAnsi="黑体" w:eastAsia="黑体"/>
          <w:b w:val="0"/>
        </w:rPr>
        <w:t>五部分 附表</w:t>
      </w:r>
      <w:bookmarkEnd w:id="66"/>
      <w:bookmarkEnd w:id="67"/>
      <w:bookmarkEnd w:id="68"/>
      <w:bookmarkStart w:id="69" w:name="_Toc15396619"/>
    </w:p>
    <w:p>
      <w:pPr>
        <w:pStyle w:val="4"/>
        <w:spacing w:line="500" w:lineRule="exact"/>
        <w:rPr>
          <w:rFonts w:ascii="仿宋" w:hAnsi="仿宋" w:eastAsia="仿宋"/>
        </w:rPr>
      </w:pPr>
      <w:bookmarkStart w:id="70" w:name="_Toc1522"/>
      <w:r>
        <w:rPr>
          <w:rFonts w:hint="eastAsia" w:ascii="仿宋" w:hAnsi="仿宋" w:eastAsia="仿宋"/>
          <w:b w:val="0"/>
        </w:rPr>
        <w:t>一、收</w:t>
      </w:r>
      <w:r>
        <w:rPr>
          <w:rStyle w:val="26"/>
          <w:rFonts w:hint="eastAsia" w:ascii="仿宋" w:hAnsi="仿宋" w:eastAsia="仿宋"/>
          <w:b w:val="0"/>
          <w:bCs w:val="0"/>
        </w:rPr>
        <w:t>入支出决算总表</w:t>
      </w:r>
      <w:bookmarkEnd w:id="69"/>
      <w:bookmarkEnd w:id="70"/>
    </w:p>
    <w:p>
      <w:pPr>
        <w:pStyle w:val="4"/>
        <w:spacing w:line="500" w:lineRule="exact"/>
        <w:rPr>
          <w:rFonts w:ascii="仿宋" w:hAnsi="仿宋" w:eastAsia="仿宋"/>
        </w:rPr>
      </w:pPr>
      <w:bookmarkStart w:id="71" w:name="_Toc15043"/>
      <w:bookmarkStart w:id="72" w:name="_Toc15396620"/>
      <w:r>
        <w:rPr>
          <w:rFonts w:hint="eastAsia" w:ascii="仿宋" w:hAnsi="仿宋" w:eastAsia="仿宋"/>
          <w:b w:val="0"/>
        </w:rPr>
        <w:t>二、收</w:t>
      </w:r>
      <w:r>
        <w:rPr>
          <w:rStyle w:val="26"/>
          <w:rFonts w:hint="eastAsia" w:ascii="仿宋" w:hAnsi="仿宋" w:eastAsia="仿宋"/>
          <w:b w:val="0"/>
          <w:bCs w:val="0"/>
        </w:rPr>
        <w:t>入决算表</w:t>
      </w:r>
      <w:bookmarkEnd w:id="71"/>
      <w:bookmarkEnd w:id="72"/>
    </w:p>
    <w:p>
      <w:pPr>
        <w:pStyle w:val="4"/>
        <w:spacing w:line="500" w:lineRule="exact"/>
        <w:rPr>
          <w:rFonts w:ascii="仿宋" w:hAnsi="仿宋" w:eastAsia="仿宋"/>
        </w:rPr>
      </w:pPr>
      <w:bookmarkStart w:id="73" w:name="_Toc15396621"/>
      <w:bookmarkStart w:id="74" w:name="_Toc8094"/>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73"/>
      <w:bookmarkEnd w:id="74"/>
    </w:p>
    <w:p>
      <w:pPr>
        <w:pStyle w:val="4"/>
        <w:spacing w:line="500" w:lineRule="exact"/>
        <w:rPr>
          <w:rFonts w:ascii="仿宋" w:hAnsi="仿宋" w:eastAsia="仿宋"/>
          <w:b w:val="0"/>
        </w:rPr>
      </w:pPr>
      <w:bookmarkStart w:id="75" w:name="_Toc15396622"/>
      <w:bookmarkStart w:id="76" w:name="_Toc13975"/>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75"/>
      <w:bookmarkEnd w:id="76"/>
    </w:p>
    <w:p>
      <w:pPr>
        <w:pStyle w:val="4"/>
        <w:spacing w:line="500" w:lineRule="exact"/>
        <w:rPr>
          <w:rStyle w:val="26"/>
          <w:rFonts w:ascii="仿宋" w:hAnsi="仿宋" w:eastAsia="仿宋"/>
          <w:b w:val="0"/>
          <w:bCs w:val="0"/>
        </w:rPr>
      </w:pPr>
      <w:bookmarkStart w:id="77" w:name="_Toc29378"/>
      <w:bookmarkStart w:id="7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77"/>
      <w:bookmarkEnd w:id="78"/>
      <w:bookmarkStart w:id="79" w:name="_Toc15396624"/>
    </w:p>
    <w:p>
      <w:pPr>
        <w:pStyle w:val="4"/>
        <w:spacing w:line="500" w:lineRule="exact"/>
        <w:rPr>
          <w:rFonts w:ascii="仿宋" w:hAnsi="仿宋" w:eastAsia="仿宋"/>
        </w:rPr>
      </w:pPr>
      <w:bookmarkStart w:id="80" w:name="_Toc1519"/>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79"/>
      <w:bookmarkEnd w:id="80"/>
    </w:p>
    <w:p>
      <w:pPr>
        <w:pStyle w:val="4"/>
        <w:spacing w:line="500" w:lineRule="exact"/>
        <w:rPr>
          <w:rFonts w:ascii="仿宋" w:hAnsi="仿宋" w:eastAsia="仿宋"/>
        </w:rPr>
      </w:pPr>
      <w:bookmarkStart w:id="81" w:name="_Toc15396625"/>
      <w:bookmarkStart w:id="82" w:name="_Toc21646"/>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81"/>
      <w:bookmarkEnd w:id="82"/>
    </w:p>
    <w:p>
      <w:pPr>
        <w:pStyle w:val="4"/>
        <w:spacing w:line="500" w:lineRule="exact"/>
        <w:rPr>
          <w:rFonts w:ascii="仿宋" w:hAnsi="仿宋" w:eastAsia="仿宋"/>
        </w:rPr>
      </w:pPr>
      <w:bookmarkStart w:id="83" w:name="_Toc15396626"/>
      <w:bookmarkStart w:id="84" w:name="_Toc29358"/>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83"/>
      <w:bookmarkEnd w:id="84"/>
    </w:p>
    <w:p>
      <w:pPr>
        <w:pStyle w:val="4"/>
        <w:spacing w:line="500" w:lineRule="exact"/>
        <w:rPr>
          <w:rFonts w:ascii="仿宋" w:hAnsi="仿宋" w:eastAsia="仿宋"/>
        </w:rPr>
      </w:pPr>
      <w:bookmarkStart w:id="85" w:name="_Toc21252"/>
      <w:bookmarkStart w:id="8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85"/>
      <w:bookmarkEnd w:id="86"/>
    </w:p>
    <w:p>
      <w:pPr>
        <w:pStyle w:val="4"/>
        <w:spacing w:line="500" w:lineRule="exact"/>
        <w:rPr>
          <w:rFonts w:ascii="仿宋" w:hAnsi="仿宋" w:eastAsia="仿宋"/>
        </w:rPr>
      </w:pPr>
      <w:bookmarkStart w:id="87" w:name="_Toc15396628"/>
      <w:bookmarkStart w:id="88" w:name="_Toc14290"/>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87"/>
      <w:r>
        <w:rPr>
          <w:rStyle w:val="26"/>
          <w:rFonts w:hint="eastAsia" w:eastAsia="仿宋" w:cs="Times New Roman"/>
          <w:b w:val="0"/>
          <w:bCs w:val="0"/>
        </w:rPr>
        <w:t>（此表无数据）</w:t>
      </w:r>
      <w:bookmarkEnd w:id="88"/>
    </w:p>
    <w:p>
      <w:pPr>
        <w:pStyle w:val="4"/>
        <w:spacing w:line="500" w:lineRule="exact"/>
        <w:rPr>
          <w:rStyle w:val="26"/>
          <w:rFonts w:eastAsia="仿宋" w:cs="Times New Roman"/>
          <w:b w:val="0"/>
          <w:bCs w:val="0"/>
        </w:rPr>
      </w:pPr>
      <w:bookmarkStart w:id="89" w:name="_Toc15396629"/>
      <w:bookmarkStart w:id="90" w:name="_Toc5668"/>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89"/>
      <w:bookmarkStart w:id="91" w:name="_Toc15396630"/>
      <w:r>
        <w:rPr>
          <w:rStyle w:val="26"/>
          <w:rFonts w:hint="eastAsia" w:eastAsia="仿宋" w:cs="Times New Roman"/>
          <w:b w:val="0"/>
          <w:bCs w:val="0"/>
        </w:rPr>
        <w:t>（此表无数据）</w:t>
      </w:r>
      <w:bookmarkEnd w:id="90"/>
    </w:p>
    <w:p>
      <w:pPr>
        <w:pStyle w:val="4"/>
        <w:spacing w:line="500" w:lineRule="exact"/>
        <w:rPr>
          <w:rFonts w:ascii="仿宋" w:hAnsi="仿宋" w:eastAsia="仿宋"/>
        </w:rPr>
      </w:pPr>
      <w:bookmarkStart w:id="92" w:name="_Toc14957"/>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91"/>
      <w:r>
        <w:rPr>
          <w:rStyle w:val="26"/>
          <w:rFonts w:hint="eastAsia" w:eastAsia="仿宋" w:cs="Times New Roman"/>
          <w:b w:val="0"/>
          <w:bCs w:val="0"/>
        </w:rPr>
        <w:t>（此表无数据）</w:t>
      </w:r>
      <w:bookmarkEnd w:id="92"/>
    </w:p>
    <w:p>
      <w:pPr>
        <w:pStyle w:val="4"/>
        <w:spacing w:line="500" w:lineRule="exact"/>
        <w:rPr>
          <w:rStyle w:val="26"/>
          <w:rFonts w:ascii="仿宋" w:hAnsi="仿宋" w:eastAsia="仿宋"/>
          <w:b w:val="0"/>
          <w:bCs w:val="0"/>
        </w:rPr>
      </w:pPr>
      <w:bookmarkStart w:id="93" w:name="_Toc15396631"/>
      <w:bookmarkStart w:id="94" w:name="_Toc8067"/>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93"/>
      <w:r>
        <w:rPr>
          <w:rStyle w:val="26"/>
          <w:rFonts w:hint="eastAsia" w:eastAsia="仿宋" w:cs="Times New Roman"/>
          <w:b w:val="0"/>
          <w:bCs w:val="0"/>
        </w:rPr>
        <w:t>（此表无数据）</w:t>
      </w:r>
      <w:bookmarkEnd w:id="94"/>
    </w:p>
    <w:p>
      <w:pPr>
        <w:spacing w:line="500" w:lineRule="exact"/>
        <w:outlineLvl w:val="1"/>
        <w:rPr>
          <w:rFonts w:eastAsia="仿宋"/>
        </w:rPr>
      </w:pPr>
      <w:bookmarkStart w:id="95" w:name="_Toc2914"/>
      <w:r>
        <w:rPr>
          <w:rStyle w:val="26"/>
          <w:rFonts w:hint="eastAsia" w:ascii="仿宋" w:hAnsi="仿宋" w:eastAsia="仿宋"/>
          <w:b w:val="0"/>
          <w:bCs w:val="0"/>
        </w:rPr>
        <w:t>十四、国有资本经营预算财政拨款支出决算表</w:t>
      </w:r>
      <w:r>
        <w:rPr>
          <w:rStyle w:val="26"/>
          <w:rFonts w:hint="eastAsia" w:eastAsia="仿宋" w:cs="Times New Roman"/>
          <w:b w:val="0"/>
          <w:bCs w:val="0"/>
        </w:rPr>
        <w:t>（此表无数据）</w:t>
      </w:r>
      <w:bookmarkEnd w:id="95"/>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SimSun-ExtB"/>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0724382"/>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2"/>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290724382"/>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2"/>
                      <w:spacing w:before="72"/>
                    </w:pP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13961761"/>
    <w:multiLevelType w:val="multilevel"/>
    <w:tmpl w:val="13961761"/>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OTI3YTc4NDYwNTNlOTE3YjdkYWU4ZDk5YTU5NjEifQ=="/>
  </w:docVars>
  <w:rsids>
    <w:rsidRoot w:val="00F1361C"/>
    <w:rsid w:val="000222C6"/>
    <w:rsid w:val="0002549F"/>
    <w:rsid w:val="000344D4"/>
    <w:rsid w:val="0003644C"/>
    <w:rsid w:val="000468DB"/>
    <w:rsid w:val="00062982"/>
    <w:rsid w:val="0006487A"/>
    <w:rsid w:val="00065F8F"/>
    <w:rsid w:val="00070A43"/>
    <w:rsid w:val="00072357"/>
    <w:rsid w:val="000768F2"/>
    <w:rsid w:val="0009184B"/>
    <w:rsid w:val="00094236"/>
    <w:rsid w:val="0009593C"/>
    <w:rsid w:val="00097322"/>
    <w:rsid w:val="000A34C9"/>
    <w:rsid w:val="000A6A92"/>
    <w:rsid w:val="000B047F"/>
    <w:rsid w:val="000B5923"/>
    <w:rsid w:val="000B5A48"/>
    <w:rsid w:val="000B5ABF"/>
    <w:rsid w:val="000B6FF3"/>
    <w:rsid w:val="000C3467"/>
    <w:rsid w:val="000C3CA6"/>
    <w:rsid w:val="000C6E2D"/>
    <w:rsid w:val="000D1267"/>
    <w:rsid w:val="000D1D50"/>
    <w:rsid w:val="000D5782"/>
    <w:rsid w:val="000E4553"/>
    <w:rsid w:val="000E6613"/>
    <w:rsid w:val="000E7119"/>
    <w:rsid w:val="00114E9B"/>
    <w:rsid w:val="00142216"/>
    <w:rsid w:val="00144D6A"/>
    <w:rsid w:val="0014729F"/>
    <w:rsid w:val="00154859"/>
    <w:rsid w:val="00157BAB"/>
    <w:rsid w:val="001654D1"/>
    <w:rsid w:val="00174518"/>
    <w:rsid w:val="001801A5"/>
    <w:rsid w:val="0018106D"/>
    <w:rsid w:val="001862EE"/>
    <w:rsid w:val="001877A7"/>
    <w:rsid w:val="00191536"/>
    <w:rsid w:val="00196687"/>
    <w:rsid w:val="001A2E3D"/>
    <w:rsid w:val="001B50E0"/>
    <w:rsid w:val="001C0962"/>
    <w:rsid w:val="001C17CD"/>
    <w:rsid w:val="001C2703"/>
    <w:rsid w:val="001D7531"/>
    <w:rsid w:val="001E737D"/>
    <w:rsid w:val="001F0592"/>
    <w:rsid w:val="001F7506"/>
    <w:rsid w:val="002006CD"/>
    <w:rsid w:val="00202B36"/>
    <w:rsid w:val="00204B7A"/>
    <w:rsid w:val="00204CDE"/>
    <w:rsid w:val="0021101A"/>
    <w:rsid w:val="00220536"/>
    <w:rsid w:val="00220CA3"/>
    <w:rsid w:val="00235629"/>
    <w:rsid w:val="00260C38"/>
    <w:rsid w:val="002616C0"/>
    <w:rsid w:val="00265372"/>
    <w:rsid w:val="002662AA"/>
    <w:rsid w:val="00280496"/>
    <w:rsid w:val="00284998"/>
    <w:rsid w:val="00293105"/>
    <w:rsid w:val="00294DC9"/>
    <w:rsid w:val="00295495"/>
    <w:rsid w:val="002A31DE"/>
    <w:rsid w:val="002B2613"/>
    <w:rsid w:val="002D1FB4"/>
    <w:rsid w:val="002D3C13"/>
    <w:rsid w:val="002D6D05"/>
    <w:rsid w:val="002E405A"/>
    <w:rsid w:val="002F1818"/>
    <w:rsid w:val="002F567B"/>
    <w:rsid w:val="00303774"/>
    <w:rsid w:val="003120EF"/>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7ABA"/>
    <w:rsid w:val="00406254"/>
    <w:rsid w:val="004223DE"/>
    <w:rsid w:val="00434489"/>
    <w:rsid w:val="00437085"/>
    <w:rsid w:val="00443880"/>
    <w:rsid w:val="004464F4"/>
    <w:rsid w:val="00462D3E"/>
    <w:rsid w:val="00471401"/>
    <w:rsid w:val="00473F31"/>
    <w:rsid w:val="0048263A"/>
    <w:rsid w:val="00487E5D"/>
    <w:rsid w:val="004A711F"/>
    <w:rsid w:val="004B199D"/>
    <w:rsid w:val="004B4690"/>
    <w:rsid w:val="004E0A2D"/>
    <w:rsid w:val="004E206B"/>
    <w:rsid w:val="004E6DF7"/>
    <w:rsid w:val="004F0FBD"/>
    <w:rsid w:val="00505A47"/>
    <w:rsid w:val="00505C16"/>
    <w:rsid w:val="005120B1"/>
    <w:rsid w:val="00512FDA"/>
    <w:rsid w:val="00520DA0"/>
    <w:rsid w:val="00527A27"/>
    <w:rsid w:val="00535782"/>
    <w:rsid w:val="005456A0"/>
    <w:rsid w:val="0054599D"/>
    <w:rsid w:val="00551B12"/>
    <w:rsid w:val="00555754"/>
    <w:rsid w:val="005664BB"/>
    <w:rsid w:val="00566FFA"/>
    <w:rsid w:val="0057481D"/>
    <w:rsid w:val="00576BBB"/>
    <w:rsid w:val="00577368"/>
    <w:rsid w:val="00577616"/>
    <w:rsid w:val="0058486E"/>
    <w:rsid w:val="00585B33"/>
    <w:rsid w:val="0059014D"/>
    <w:rsid w:val="005A48C3"/>
    <w:rsid w:val="005A5F40"/>
    <w:rsid w:val="005A7934"/>
    <w:rsid w:val="005B5C64"/>
    <w:rsid w:val="005C5337"/>
    <w:rsid w:val="005C6BD0"/>
    <w:rsid w:val="005D1C8B"/>
    <w:rsid w:val="005D238B"/>
    <w:rsid w:val="005D468D"/>
    <w:rsid w:val="005D5CED"/>
    <w:rsid w:val="005E6D9F"/>
    <w:rsid w:val="005F1A4C"/>
    <w:rsid w:val="00605688"/>
    <w:rsid w:val="006070AF"/>
    <w:rsid w:val="00607E6C"/>
    <w:rsid w:val="006101B1"/>
    <w:rsid w:val="00614E44"/>
    <w:rsid w:val="0062270A"/>
    <w:rsid w:val="00622830"/>
    <w:rsid w:val="00623DA0"/>
    <w:rsid w:val="00630AEF"/>
    <w:rsid w:val="006325F8"/>
    <w:rsid w:val="00633463"/>
    <w:rsid w:val="00634C9A"/>
    <w:rsid w:val="00642BAB"/>
    <w:rsid w:val="006440E4"/>
    <w:rsid w:val="0065794B"/>
    <w:rsid w:val="0066343B"/>
    <w:rsid w:val="00664777"/>
    <w:rsid w:val="006748A4"/>
    <w:rsid w:val="0067674C"/>
    <w:rsid w:val="00681A31"/>
    <w:rsid w:val="00683E73"/>
    <w:rsid w:val="00685211"/>
    <w:rsid w:val="006A3141"/>
    <w:rsid w:val="006A5E34"/>
    <w:rsid w:val="006B1DE6"/>
    <w:rsid w:val="006B2422"/>
    <w:rsid w:val="006B2B9A"/>
    <w:rsid w:val="006C1937"/>
    <w:rsid w:val="006D4F9E"/>
    <w:rsid w:val="006D714C"/>
    <w:rsid w:val="006E3420"/>
    <w:rsid w:val="006F020C"/>
    <w:rsid w:val="007008EB"/>
    <w:rsid w:val="007042FE"/>
    <w:rsid w:val="007127B7"/>
    <w:rsid w:val="0071798E"/>
    <w:rsid w:val="00730430"/>
    <w:rsid w:val="00741118"/>
    <w:rsid w:val="007416B6"/>
    <w:rsid w:val="00746F48"/>
    <w:rsid w:val="0075404D"/>
    <w:rsid w:val="007600F4"/>
    <w:rsid w:val="0076182A"/>
    <w:rsid w:val="00767B7E"/>
    <w:rsid w:val="007770C3"/>
    <w:rsid w:val="00784D24"/>
    <w:rsid w:val="00785FBA"/>
    <w:rsid w:val="00786E4A"/>
    <w:rsid w:val="007875EB"/>
    <w:rsid w:val="00787948"/>
    <w:rsid w:val="0079426B"/>
    <w:rsid w:val="00797F71"/>
    <w:rsid w:val="007B6559"/>
    <w:rsid w:val="007C1F37"/>
    <w:rsid w:val="007D1682"/>
    <w:rsid w:val="007D312A"/>
    <w:rsid w:val="007D3F19"/>
    <w:rsid w:val="007E1AFD"/>
    <w:rsid w:val="007E23B0"/>
    <w:rsid w:val="007E23E5"/>
    <w:rsid w:val="007F13EB"/>
    <w:rsid w:val="007F1991"/>
    <w:rsid w:val="007F2C2F"/>
    <w:rsid w:val="007F3A2A"/>
    <w:rsid w:val="007F55FC"/>
    <w:rsid w:val="007F5665"/>
    <w:rsid w:val="007F5AC0"/>
    <w:rsid w:val="00800112"/>
    <w:rsid w:val="00813348"/>
    <w:rsid w:val="008168E7"/>
    <w:rsid w:val="008211DE"/>
    <w:rsid w:val="008253BB"/>
    <w:rsid w:val="0083706E"/>
    <w:rsid w:val="008408F6"/>
    <w:rsid w:val="008423A5"/>
    <w:rsid w:val="00850625"/>
    <w:rsid w:val="00853718"/>
    <w:rsid w:val="00855221"/>
    <w:rsid w:val="00860645"/>
    <w:rsid w:val="00871F71"/>
    <w:rsid w:val="00872FD8"/>
    <w:rsid w:val="00885AF4"/>
    <w:rsid w:val="00886066"/>
    <w:rsid w:val="0089284D"/>
    <w:rsid w:val="008939CD"/>
    <w:rsid w:val="008A07F4"/>
    <w:rsid w:val="008A377E"/>
    <w:rsid w:val="008B46A0"/>
    <w:rsid w:val="008B768C"/>
    <w:rsid w:val="008C1C3C"/>
    <w:rsid w:val="008C4DB1"/>
    <w:rsid w:val="008C4EAF"/>
    <w:rsid w:val="008C5176"/>
    <w:rsid w:val="008C7FD0"/>
    <w:rsid w:val="008D01ED"/>
    <w:rsid w:val="008D353B"/>
    <w:rsid w:val="008E1DE7"/>
    <w:rsid w:val="008E707C"/>
    <w:rsid w:val="008F1464"/>
    <w:rsid w:val="008F523F"/>
    <w:rsid w:val="00900B08"/>
    <w:rsid w:val="00902155"/>
    <w:rsid w:val="00902FA3"/>
    <w:rsid w:val="0091703E"/>
    <w:rsid w:val="00923564"/>
    <w:rsid w:val="0092392E"/>
    <w:rsid w:val="009315F9"/>
    <w:rsid w:val="00931AFB"/>
    <w:rsid w:val="00932E46"/>
    <w:rsid w:val="00933499"/>
    <w:rsid w:val="00935C98"/>
    <w:rsid w:val="00946945"/>
    <w:rsid w:val="00951248"/>
    <w:rsid w:val="0095152F"/>
    <w:rsid w:val="00954C49"/>
    <w:rsid w:val="00955E37"/>
    <w:rsid w:val="0097099F"/>
    <w:rsid w:val="00971997"/>
    <w:rsid w:val="00971FFC"/>
    <w:rsid w:val="009724A9"/>
    <w:rsid w:val="009725BD"/>
    <w:rsid w:val="00977414"/>
    <w:rsid w:val="0098660A"/>
    <w:rsid w:val="00991DA0"/>
    <w:rsid w:val="009931C3"/>
    <w:rsid w:val="009B2C43"/>
    <w:rsid w:val="009B4EAE"/>
    <w:rsid w:val="009B7573"/>
    <w:rsid w:val="009C22F4"/>
    <w:rsid w:val="009C2A4B"/>
    <w:rsid w:val="009C2E98"/>
    <w:rsid w:val="009D3447"/>
    <w:rsid w:val="009D4711"/>
    <w:rsid w:val="009E2814"/>
    <w:rsid w:val="009F1185"/>
    <w:rsid w:val="009F18CD"/>
    <w:rsid w:val="009F2A13"/>
    <w:rsid w:val="009F4562"/>
    <w:rsid w:val="009F7527"/>
    <w:rsid w:val="00A04EB0"/>
    <w:rsid w:val="00A04EF5"/>
    <w:rsid w:val="00A13CC1"/>
    <w:rsid w:val="00A16847"/>
    <w:rsid w:val="00A237D8"/>
    <w:rsid w:val="00A266A9"/>
    <w:rsid w:val="00A268C4"/>
    <w:rsid w:val="00A307CD"/>
    <w:rsid w:val="00A331C8"/>
    <w:rsid w:val="00A40A00"/>
    <w:rsid w:val="00A4142F"/>
    <w:rsid w:val="00A422EB"/>
    <w:rsid w:val="00A45BB7"/>
    <w:rsid w:val="00A55295"/>
    <w:rsid w:val="00A56DF2"/>
    <w:rsid w:val="00A56E6E"/>
    <w:rsid w:val="00A67AB5"/>
    <w:rsid w:val="00A701D3"/>
    <w:rsid w:val="00A733B2"/>
    <w:rsid w:val="00A741C2"/>
    <w:rsid w:val="00A91760"/>
    <w:rsid w:val="00A93B00"/>
    <w:rsid w:val="00A93C21"/>
    <w:rsid w:val="00AB64C9"/>
    <w:rsid w:val="00AC22A9"/>
    <w:rsid w:val="00AC3C6A"/>
    <w:rsid w:val="00AD5620"/>
    <w:rsid w:val="00AD656B"/>
    <w:rsid w:val="00AD7C1B"/>
    <w:rsid w:val="00AE16BA"/>
    <w:rsid w:val="00AE1EBE"/>
    <w:rsid w:val="00B03C9D"/>
    <w:rsid w:val="00B060AE"/>
    <w:rsid w:val="00B1009C"/>
    <w:rsid w:val="00B10517"/>
    <w:rsid w:val="00B14E76"/>
    <w:rsid w:val="00B161B8"/>
    <w:rsid w:val="00B2048C"/>
    <w:rsid w:val="00B310B9"/>
    <w:rsid w:val="00B35F3F"/>
    <w:rsid w:val="00B36CBB"/>
    <w:rsid w:val="00B425E0"/>
    <w:rsid w:val="00B440AA"/>
    <w:rsid w:val="00B44B70"/>
    <w:rsid w:val="00B53C56"/>
    <w:rsid w:val="00B57DAF"/>
    <w:rsid w:val="00B7654C"/>
    <w:rsid w:val="00B77EA6"/>
    <w:rsid w:val="00B81598"/>
    <w:rsid w:val="00B8273D"/>
    <w:rsid w:val="00B841F1"/>
    <w:rsid w:val="00B87FC6"/>
    <w:rsid w:val="00B944D6"/>
    <w:rsid w:val="00B97EBF"/>
    <w:rsid w:val="00BA0299"/>
    <w:rsid w:val="00BB4DF0"/>
    <w:rsid w:val="00BB704B"/>
    <w:rsid w:val="00BC0F13"/>
    <w:rsid w:val="00BC289F"/>
    <w:rsid w:val="00BC2D50"/>
    <w:rsid w:val="00BC5361"/>
    <w:rsid w:val="00BC5460"/>
    <w:rsid w:val="00BC6B50"/>
    <w:rsid w:val="00BD0E25"/>
    <w:rsid w:val="00BD5683"/>
    <w:rsid w:val="00BF4A91"/>
    <w:rsid w:val="00BF5BD6"/>
    <w:rsid w:val="00C03E31"/>
    <w:rsid w:val="00C072F3"/>
    <w:rsid w:val="00C27C75"/>
    <w:rsid w:val="00C33E72"/>
    <w:rsid w:val="00C354B2"/>
    <w:rsid w:val="00C35554"/>
    <w:rsid w:val="00C4132A"/>
    <w:rsid w:val="00C42709"/>
    <w:rsid w:val="00C533CC"/>
    <w:rsid w:val="00C536E6"/>
    <w:rsid w:val="00C5751C"/>
    <w:rsid w:val="00C61BFC"/>
    <w:rsid w:val="00C62B85"/>
    <w:rsid w:val="00C65438"/>
    <w:rsid w:val="00C82664"/>
    <w:rsid w:val="00C869ED"/>
    <w:rsid w:val="00C87FD8"/>
    <w:rsid w:val="00C91381"/>
    <w:rsid w:val="00C91CBB"/>
    <w:rsid w:val="00CB4E70"/>
    <w:rsid w:val="00CB7346"/>
    <w:rsid w:val="00CC09B6"/>
    <w:rsid w:val="00CC666F"/>
    <w:rsid w:val="00CD1E3F"/>
    <w:rsid w:val="00CD1F0E"/>
    <w:rsid w:val="00CD3B1A"/>
    <w:rsid w:val="00CE1AF8"/>
    <w:rsid w:val="00CE44F6"/>
    <w:rsid w:val="00CE49DA"/>
    <w:rsid w:val="00CE6CE6"/>
    <w:rsid w:val="00CE7B61"/>
    <w:rsid w:val="00D00095"/>
    <w:rsid w:val="00D114F0"/>
    <w:rsid w:val="00D13F61"/>
    <w:rsid w:val="00D16C62"/>
    <w:rsid w:val="00D20620"/>
    <w:rsid w:val="00D254F7"/>
    <w:rsid w:val="00D26091"/>
    <w:rsid w:val="00D2685C"/>
    <w:rsid w:val="00D34E7C"/>
    <w:rsid w:val="00D35489"/>
    <w:rsid w:val="00D36AFE"/>
    <w:rsid w:val="00D51276"/>
    <w:rsid w:val="00D51FA5"/>
    <w:rsid w:val="00D7035F"/>
    <w:rsid w:val="00D94050"/>
    <w:rsid w:val="00DA06E6"/>
    <w:rsid w:val="00DA634F"/>
    <w:rsid w:val="00DA65AC"/>
    <w:rsid w:val="00DA738B"/>
    <w:rsid w:val="00DB1913"/>
    <w:rsid w:val="00DC410D"/>
    <w:rsid w:val="00DC5A81"/>
    <w:rsid w:val="00DC68CA"/>
    <w:rsid w:val="00DC74B9"/>
    <w:rsid w:val="00DC7CBA"/>
    <w:rsid w:val="00DD73B7"/>
    <w:rsid w:val="00DF28BC"/>
    <w:rsid w:val="00DF34B9"/>
    <w:rsid w:val="00E01053"/>
    <w:rsid w:val="00E07ACF"/>
    <w:rsid w:val="00E331A1"/>
    <w:rsid w:val="00E33202"/>
    <w:rsid w:val="00E336A9"/>
    <w:rsid w:val="00E36195"/>
    <w:rsid w:val="00E377D2"/>
    <w:rsid w:val="00E472B1"/>
    <w:rsid w:val="00E50624"/>
    <w:rsid w:val="00E568DF"/>
    <w:rsid w:val="00E60063"/>
    <w:rsid w:val="00E64269"/>
    <w:rsid w:val="00E82267"/>
    <w:rsid w:val="00E853CE"/>
    <w:rsid w:val="00E867B6"/>
    <w:rsid w:val="00EA010F"/>
    <w:rsid w:val="00ED1B63"/>
    <w:rsid w:val="00ED3C1F"/>
    <w:rsid w:val="00ED4085"/>
    <w:rsid w:val="00ED420E"/>
    <w:rsid w:val="00ED6FBE"/>
    <w:rsid w:val="00EE2F57"/>
    <w:rsid w:val="00EF0428"/>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3740"/>
    <w:rsid w:val="00FA23E8"/>
    <w:rsid w:val="00FB584F"/>
    <w:rsid w:val="00FC7B2F"/>
    <w:rsid w:val="00FD3CC1"/>
    <w:rsid w:val="00FD64BC"/>
    <w:rsid w:val="00FF1E02"/>
    <w:rsid w:val="00FF30B4"/>
    <w:rsid w:val="01662CB4"/>
    <w:rsid w:val="022B1FDA"/>
    <w:rsid w:val="0A2032A3"/>
    <w:rsid w:val="0B340FB3"/>
    <w:rsid w:val="0B8A37D8"/>
    <w:rsid w:val="0D524F98"/>
    <w:rsid w:val="10C055FF"/>
    <w:rsid w:val="118107EC"/>
    <w:rsid w:val="11DD6519"/>
    <w:rsid w:val="16BB723D"/>
    <w:rsid w:val="175C045F"/>
    <w:rsid w:val="18015F3F"/>
    <w:rsid w:val="19904966"/>
    <w:rsid w:val="1BE8440E"/>
    <w:rsid w:val="1D155CEE"/>
    <w:rsid w:val="20F57F95"/>
    <w:rsid w:val="211B76E4"/>
    <w:rsid w:val="240371BF"/>
    <w:rsid w:val="249632FC"/>
    <w:rsid w:val="25C741E6"/>
    <w:rsid w:val="27842671"/>
    <w:rsid w:val="28256665"/>
    <w:rsid w:val="29FD04D3"/>
    <w:rsid w:val="2ABE7A3E"/>
    <w:rsid w:val="2AFB1285"/>
    <w:rsid w:val="2B0262F8"/>
    <w:rsid w:val="2EFA178C"/>
    <w:rsid w:val="30B46D73"/>
    <w:rsid w:val="319F7F4E"/>
    <w:rsid w:val="39AE70AB"/>
    <w:rsid w:val="3C0C0783"/>
    <w:rsid w:val="3F9F3A96"/>
    <w:rsid w:val="493C27E9"/>
    <w:rsid w:val="496F39ED"/>
    <w:rsid w:val="49FF41D3"/>
    <w:rsid w:val="4BE068DB"/>
    <w:rsid w:val="4BF6002B"/>
    <w:rsid w:val="4CD17C8A"/>
    <w:rsid w:val="4D5C182F"/>
    <w:rsid w:val="4ECE2238"/>
    <w:rsid w:val="51DB4B86"/>
    <w:rsid w:val="53FD531D"/>
    <w:rsid w:val="55333C3E"/>
    <w:rsid w:val="5840635E"/>
    <w:rsid w:val="64CA39A1"/>
    <w:rsid w:val="6AD21263"/>
    <w:rsid w:val="6BF927BD"/>
    <w:rsid w:val="6C4A05C8"/>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3"/>
    <w:qFormat/>
    <w:uiPriority w:val="0"/>
    <w:rPr>
      <w:rFonts w:ascii="宋体" w:hAnsi="Courier New"/>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3">
    <w:name w:val="纯文本 Char"/>
    <w:basedOn w:val="14"/>
    <w:link w:val="7"/>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7721</Words>
  <Characters>8231</Characters>
  <Lines>73</Lines>
  <Paragraphs>20</Paragraphs>
  <TotalTime>2</TotalTime>
  <ScaleCrop>false</ScaleCrop>
  <LinksUpToDate>false</LinksUpToDate>
  <CharactersWithSpaces>8367</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徐燕</cp:lastModifiedBy>
  <cp:lastPrinted>2022-08-06T02:23:00Z</cp:lastPrinted>
  <dcterms:modified xsi:type="dcterms:W3CDTF">2023-09-25T07:03:09Z</dcterms:modified>
  <dc:title>四川省***</dc:title>
  <cp:revision>278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6008C61FF3474CDABA04C1C6A6829FF5</vt:lpwstr>
  </property>
</Properties>
</file>