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rPr>
          <w:rFonts w:eastAsia="方正小标宋简体"/>
          <w:sz w:val="72"/>
          <w:szCs w:val="72"/>
        </w:rPr>
      </w:pPr>
      <w:bookmarkStart w:id="1" w:name="_Toc15378441"/>
      <w:bookmarkStart w:id="2" w:name="_Toc15377425"/>
      <w:bookmarkStart w:id="3" w:name="_Toc15396597"/>
      <w:bookmarkStart w:id="4" w:name="_Toc15396475"/>
      <w:bookmarkStart w:id="5" w:name="_Toc15377193"/>
      <w:r>
        <w:rPr>
          <w:rFonts w:eastAsia="方正小标宋简体"/>
          <w:sz w:val="72"/>
          <w:szCs w:val="72"/>
        </w:rPr>
        <w:t>2021年度</w:t>
      </w:r>
      <w:bookmarkEnd w:id="1"/>
      <w:bookmarkEnd w:id="2"/>
      <w:bookmarkEnd w:id="3"/>
      <w:bookmarkEnd w:id="4"/>
      <w:bookmarkEnd w:id="5"/>
      <w:bookmarkStart w:id="6" w:name="_Toc15377426"/>
      <w:bookmarkStart w:id="7" w:name="_Toc15378442"/>
      <w:bookmarkStart w:id="8" w:name="_Toc15377194"/>
      <w:bookmarkStart w:id="9" w:name="_Toc15396476"/>
      <w:bookmarkStart w:id="10" w:name="_Toc15396598"/>
    </w:p>
    <w:p>
      <w:pPr>
        <w:adjustRightInd w:val="0"/>
        <w:snapToGrid w:val="0"/>
        <w:spacing w:line="360" w:lineRule="auto"/>
        <w:jc w:val="center"/>
        <w:rPr>
          <w:rFonts w:eastAsia="方正小标宋简体"/>
          <w:sz w:val="72"/>
          <w:szCs w:val="72"/>
        </w:rPr>
      </w:pPr>
      <w:r>
        <w:rPr>
          <w:rFonts w:eastAsia="方正小标宋简体"/>
          <w:sz w:val="72"/>
          <w:szCs w:val="72"/>
        </w:rPr>
        <w:t>四川省攀枝花市文化</w:t>
      </w:r>
      <w:bookmarkEnd w:id="0"/>
      <w:bookmarkStart w:id="11" w:name="_Toc15306268"/>
      <w:r>
        <w:rPr>
          <w:rFonts w:eastAsia="方正小标宋简体"/>
          <w:sz w:val="72"/>
          <w:szCs w:val="72"/>
        </w:rPr>
        <w:t>艺术中心单位决算</w:t>
      </w:r>
      <w:bookmarkEnd w:id="6"/>
      <w:bookmarkEnd w:id="7"/>
      <w:bookmarkEnd w:id="8"/>
      <w:bookmarkEnd w:id="9"/>
      <w:bookmarkEnd w:id="10"/>
      <w:bookmarkEnd w:id="11"/>
    </w:p>
    <w:p>
      <w:pPr>
        <w:widowControl/>
        <w:jc w:val="center"/>
        <w:rPr>
          <w:rFonts w:eastAsia="黑体"/>
          <w:sz w:val="48"/>
          <w:szCs w:val="48"/>
        </w:rPr>
      </w:pPr>
      <w:r>
        <w:rPr>
          <w:rFonts w:eastAsia="方正小标宋简体"/>
          <w:sz w:val="36"/>
          <w:szCs w:val="36"/>
        </w:rPr>
        <w:br w:type="page"/>
      </w:r>
      <w:r>
        <w:rPr>
          <w:rFonts w:eastAsia="黑体"/>
          <w:sz w:val="48"/>
          <w:szCs w:val="48"/>
        </w:rPr>
        <w:t>目录</w:t>
      </w:r>
    </w:p>
    <w:p>
      <w:pPr>
        <w:widowControl/>
        <w:jc w:val="center"/>
        <w:rPr>
          <w:rFonts w:eastAsia="黑体"/>
          <w:sz w:val="28"/>
          <w:szCs w:val="28"/>
        </w:rPr>
      </w:pPr>
    </w:p>
    <w:p>
      <w:pPr>
        <w:pStyle w:val="10"/>
        <w:rPr>
          <w:rFonts w:ascii="Times New Roman" w:hAnsi="Times New Roman"/>
        </w:rPr>
      </w:pPr>
      <w:r>
        <w:rPr>
          <w:rFonts w:ascii="Times New Roman" w:hAnsi="Times New Roman"/>
        </w:rPr>
        <w:t>公开时间：2022年9月</w:t>
      </w:r>
      <w:r>
        <w:rPr>
          <w:rFonts w:hint="eastAsia" w:ascii="Times New Roman" w:hAnsi="Times New Roman"/>
        </w:rPr>
        <w:t>14</w:t>
      </w:r>
      <w:r>
        <w:rPr>
          <w:rFonts w:ascii="Times New Roman" w:hAnsi="Times New Roman"/>
        </w:rPr>
        <w:t>日</w:t>
      </w:r>
    </w:p>
    <w:sdt>
      <w:sdtPr>
        <w:id w:val="147457114"/>
        <w:docPartObj>
          <w:docPartGallery w:val="Table of Contents"/>
          <w:docPartUnique/>
        </w:docPartObj>
      </w:sdtPr>
      <w:sdtEndPr>
        <w:rPr>
          <w:b/>
        </w:rPr>
      </w:sdtEndPr>
      <w:sdtContent>
        <w:p>
          <w:pPr>
            <w:jc w:val="center"/>
          </w:pPr>
        </w:p>
        <w:p>
          <w:pPr>
            <w:pStyle w:val="30"/>
            <w:tabs>
              <w:tab w:val="right" w:leader="dot" w:pos="8306"/>
            </w:tabs>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TOC \o "1-2" \h \u </w:instrText>
          </w:r>
          <w:r>
            <w:rPr>
              <w:rFonts w:ascii="Times New Roman" w:hAnsi="Times New Roman" w:cs="Times New Roman"/>
            </w:rPr>
            <w:fldChar w:fldCharType="separate"/>
          </w:r>
          <w:r>
            <w:fldChar w:fldCharType="begin"/>
          </w:r>
          <w:r>
            <w:instrText xml:space="preserve"> HYPERLINK \l "_Toc22136" </w:instrText>
          </w:r>
          <w:r>
            <w:fldChar w:fldCharType="separate"/>
          </w:r>
          <w:r>
            <w:rPr>
              <w:rFonts w:ascii="Times New Roman" w:hAnsi="Times New Roman" w:eastAsia="黑体" w:cs="Times New Roman"/>
              <w:b/>
            </w:rPr>
            <w:t>第一部分 单位概况</w:t>
          </w:r>
          <w:r>
            <w:rPr>
              <w:rFonts w:ascii="Times New Roman" w:hAnsi="Times New Roman" w:cs="Times New Roman"/>
              <w:b/>
            </w:rPr>
            <w:tab/>
          </w:r>
          <w:r>
            <w:rPr>
              <w:rFonts w:hint="eastAsia" w:ascii="Times New Roman" w:hAnsi="Times New Roman" w:cs="Times New Roman"/>
              <w:b/>
            </w:rPr>
            <w:t>1</w:t>
          </w:r>
          <w:r>
            <w:rPr>
              <w:rFonts w:hint="eastAsia" w:ascii="Times New Roman" w:hAnsi="Times New Roman" w:cs="Times New Roman"/>
              <w:b/>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"_Toc1156" </w:instrText>
          </w:r>
          <w:r>
            <w:fldChar w:fldCharType="separate"/>
          </w:r>
          <w:r>
            <w:rPr>
              <w:rFonts w:ascii="Times New Roman" w:hAnsi="Times New Roman" w:eastAsia="黑体" w:cs="Times New Roman"/>
            </w:rPr>
            <w:t>一、职能简介</w:t>
          </w:r>
          <w:r>
            <w:rPr>
              <w:rFonts w:ascii="Times New Roman" w:hAnsi="Times New Roman" w:cs="Times New Roman"/>
            </w:rPr>
            <w:tab/>
          </w:r>
          <w:r>
            <w:rPr>
              <w:rFonts w:hint="eastAsia" w:ascii="Times New Roman" w:hAnsi="Times New Roman" w:cs="Times New Roman"/>
            </w:rPr>
            <w:t>1</w:t>
          </w:r>
          <w:r>
            <w:rPr>
              <w:rFonts w:hint="eastAsia"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"_Toc1909" </w:instrText>
          </w:r>
          <w:r>
            <w:fldChar w:fldCharType="separate"/>
          </w:r>
          <w:r>
            <w:rPr>
              <w:rFonts w:ascii="Times New Roman" w:hAnsi="Times New Roman" w:eastAsia="黑体" w:cs="Times New Roman"/>
            </w:rPr>
            <w:t>二、2021年重点工作完成情况</w:t>
          </w:r>
          <w:r>
            <w:rPr>
              <w:rFonts w:ascii="Times New Roman" w:hAnsi="Times New Roman" w:cs="Times New Roman"/>
            </w:rPr>
            <w:tab/>
          </w:r>
          <w:r>
            <w:rPr>
              <w:rFonts w:hint="eastAsia" w:ascii="Times New Roman" w:hAnsi="Times New Roman" w:cs="Times New Roman"/>
            </w:rPr>
            <w:t>3</w:t>
          </w:r>
          <w:r>
            <w:rPr>
              <w:rFonts w:hint="eastAsia" w:ascii="Times New Roman" w:hAnsi="Times New Roman" w:cs="Times New Roman"/>
            </w:rPr>
            <w:fldChar w:fldCharType="end"/>
          </w:r>
        </w:p>
        <w:p>
          <w:pPr>
            <w:pStyle w:val="31"/>
            <w:tabs>
              <w:tab w:val="right" w:leader="dot" w:pos="8306"/>
            </w:tabs>
            <w:ind w:left="420"/>
            <w:rPr>
              <w:rFonts w:ascii="Times New Roman" w:hAnsi="Times New Roman" w:cs="Times New Roman"/>
            </w:rPr>
          </w:pPr>
          <w:r>
            <w:rPr>
              <w:rFonts w:hint="eastAsia"/>
            </w:rPr>
            <w:t>三、机构设置情况</w:t>
          </w:r>
          <w:r>
            <w:tab/>
          </w:r>
          <w:r>
            <w:rPr>
              <w:rFonts w:hint="eastAsia"/>
            </w:rPr>
            <w:t>3</w:t>
          </w:r>
        </w:p>
        <w:p>
          <w:pPr>
            <w:pStyle w:val="30"/>
            <w:tabs>
              <w:tab w:val="right" w:leader="dot" w:pos="8306"/>
            </w:tabs>
            <w:rPr>
              <w:rFonts w:ascii="Times New Roman" w:hAnsi="Times New Roman" w:cs="Times New Roman"/>
              <w:b/>
            </w:rPr>
          </w:pPr>
          <w:r>
            <w:fldChar w:fldCharType="begin"/>
          </w:r>
          <w:r>
            <w:instrText xml:space="preserve"> HYPERLINK \l "_Toc2712" </w:instrText>
          </w:r>
          <w:r>
            <w:fldChar w:fldCharType="separate"/>
          </w:r>
          <w:r>
            <w:rPr>
              <w:rFonts w:ascii="Times New Roman" w:hAnsi="Times New Roman" w:eastAsia="黑体" w:cs="Times New Roman"/>
              <w:b/>
              <w:bCs/>
            </w:rPr>
            <w:t>第二部分 2021年度单位决算情况说明</w:t>
          </w:r>
          <w:r>
            <w:rPr>
              <w:rFonts w:ascii="Times New Roman" w:hAnsi="Times New Roman" w:cs="Times New Roman"/>
              <w:b/>
            </w:rPr>
            <w:tab/>
          </w:r>
          <w:r>
            <w:rPr>
              <w:rFonts w:hint="eastAsia" w:ascii="Times New Roman" w:hAnsi="Times New Roman" w:cs="Times New Roman"/>
              <w:b/>
            </w:rPr>
            <w:t>4</w:t>
          </w:r>
          <w:r>
            <w:rPr>
              <w:rFonts w:hint="eastAsia" w:ascii="Times New Roman" w:hAnsi="Times New Roman" w:cs="Times New Roman"/>
              <w:b/>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"_Toc956" </w:instrText>
          </w:r>
          <w:r>
            <w:fldChar w:fldCharType="separate"/>
          </w:r>
          <w:r>
            <w:rPr>
              <w:rFonts w:ascii="Times New Roman" w:hAnsi="Times New Roman" w:eastAsia="黑体" w:cs="Times New Roman"/>
              <w:szCs w:val="32"/>
            </w:rPr>
            <w:t>一、收</w:t>
          </w:r>
          <w:r>
            <w:rPr>
              <w:rFonts w:ascii="Times New Roman" w:hAnsi="Times New Roman" w:eastAsia="黑体" w:cs="Times New Roman"/>
            </w:rPr>
            <w:t>入支出决算总体情况说明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_Toc956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"_Toc23901" </w:instrText>
          </w:r>
          <w:r>
            <w:fldChar w:fldCharType="separate"/>
          </w:r>
          <w:r>
            <w:rPr>
              <w:rFonts w:ascii="Times New Roman" w:hAnsi="Times New Roman" w:eastAsia="黑体" w:cs="Times New Roman"/>
              <w:szCs w:val="32"/>
            </w:rPr>
            <w:t>二、收</w:t>
          </w:r>
          <w:r>
            <w:rPr>
              <w:rFonts w:ascii="Times New Roman" w:hAnsi="Times New Roman" w:eastAsia="黑体" w:cs="Times New Roman"/>
            </w:rPr>
            <w:t>入决算情况说明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_Toc23901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"_Toc23359" </w:instrText>
          </w:r>
          <w:r>
            <w:fldChar w:fldCharType="separate"/>
          </w:r>
          <w:r>
            <w:rPr>
              <w:rFonts w:ascii="Times New Roman" w:hAnsi="Times New Roman" w:eastAsia="黑体" w:cs="Times New Roman"/>
              <w:szCs w:val="32"/>
            </w:rPr>
            <w:t>三、支</w:t>
          </w:r>
          <w:r>
            <w:rPr>
              <w:rFonts w:ascii="Times New Roman" w:hAnsi="Times New Roman" w:eastAsia="黑体" w:cs="Times New Roman"/>
            </w:rPr>
            <w:t>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_Toc23359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"_Toc29556" </w:instrText>
          </w:r>
          <w:r>
            <w:fldChar w:fldCharType="separate"/>
          </w:r>
          <w:r>
            <w:rPr>
              <w:rFonts w:ascii="Times New Roman" w:hAnsi="Times New Roman" w:eastAsia="黑体" w:cs="Times New Roman"/>
              <w:szCs w:val="32"/>
            </w:rPr>
            <w:t>四、财</w:t>
          </w:r>
          <w:r>
            <w:rPr>
              <w:rFonts w:ascii="Times New Roman" w:hAnsi="Times New Roman" w:eastAsia="黑体" w:cs="Times New Roman"/>
            </w:rPr>
            <w:t>政拨款收入支出决算总体情况说明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_Toc29556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"_Toc7858" </w:instrText>
          </w:r>
          <w:r>
            <w:fldChar w:fldCharType="separate"/>
          </w:r>
          <w:r>
            <w:rPr>
              <w:rFonts w:ascii="Times New Roman" w:hAnsi="Times New Roman" w:eastAsia="黑体" w:cs="Times New Roman"/>
              <w:szCs w:val="32"/>
            </w:rPr>
            <w:t>五、一</w:t>
          </w:r>
          <w:r>
            <w:rPr>
              <w:rFonts w:ascii="Times New Roman" w:hAnsi="Times New Roman" w:eastAsia="黑体" w:cs="Times New Roman"/>
            </w:rPr>
            <w:t>般公共预算财政拨款支出决算情况说明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_Toc7858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"_Toc1297" </w:instrText>
          </w:r>
          <w:r>
            <w:fldChar w:fldCharType="separate"/>
          </w:r>
          <w:r>
            <w:rPr>
              <w:rFonts w:ascii="Times New Roman" w:hAnsi="Times New Roman" w:eastAsia="黑体" w:cs="Times New Roman"/>
              <w:szCs w:val="32"/>
            </w:rPr>
            <w:t>六、一</w:t>
          </w:r>
          <w:r>
            <w:rPr>
              <w:rFonts w:ascii="Times New Roman" w:hAnsi="Times New Roman" w:eastAsia="黑体" w:cs="Times New Roman"/>
            </w:rPr>
            <w:t>般公共预算财政拨款基本支出决算情况说明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_Toc1297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"_Toc3739" </w:instrText>
          </w:r>
          <w:r>
            <w:fldChar w:fldCharType="separate"/>
          </w:r>
          <w:r>
            <w:rPr>
              <w:rFonts w:ascii="Times New Roman" w:hAnsi="Times New Roman" w:eastAsia="黑体" w:cs="Times New Roman"/>
              <w:szCs w:val="32"/>
            </w:rPr>
            <w:t>七、</w:t>
          </w:r>
          <w:r>
            <w:rPr>
              <w:rFonts w:ascii="Times New Roman" w:hAnsi="Times New Roman" w:eastAsia="黑体" w:cs="Times New Roman"/>
            </w:rPr>
            <w:t>“三公”经费财政拨款支出决算情况说明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_Toc3739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"_Toc7483" </w:instrText>
          </w:r>
          <w:r>
            <w:fldChar w:fldCharType="separate"/>
          </w:r>
          <w:r>
            <w:rPr>
              <w:rFonts w:ascii="Times New Roman" w:hAnsi="Times New Roman" w:eastAsia="黑体" w:cs="Times New Roman"/>
              <w:szCs w:val="32"/>
            </w:rPr>
            <w:t>八、</w:t>
          </w:r>
          <w:r>
            <w:rPr>
              <w:rFonts w:ascii="Times New Roman" w:hAnsi="Times New Roman" w:eastAsia="黑体" w:cs="Times New Roman"/>
            </w:rPr>
            <w:t>政府性基金预算支出决算情况说明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_Toc7483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"_Toc3094" </w:instrText>
          </w:r>
          <w:r>
            <w:fldChar w:fldCharType="separate"/>
          </w:r>
          <w:r>
            <w:rPr>
              <w:rFonts w:ascii="Times New Roman" w:hAnsi="Times New Roman" w:eastAsia="黑体" w:cs="Times New Roman"/>
            </w:rPr>
            <w:t>九、国有资本经营预算支出决算情况说明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_Toc3094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"_Toc23042" </w:instrText>
          </w:r>
          <w:r>
            <w:fldChar w:fldCharType="separate"/>
          </w:r>
          <w:r>
            <w:rPr>
              <w:rFonts w:ascii="Times New Roman" w:hAnsi="Times New Roman" w:eastAsia="黑体" w:cs="Times New Roman"/>
            </w:rPr>
            <w:t>十、其他重要事项的情况说明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_Toc23042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30"/>
            <w:tabs>
              <w:tab w:val="right" w:leader="dot" w:pos="8306"/>
            </w:tabs>
            <w:rPr>
              <w:rFonts w:ascii="Times New Roman" w:hAnsi="Times New Roman" w:cs="Times New Roman"/>
              <w:b/>
            </w:rPr>
          </w:pPr>
          <w:r>
            <w:fldChar w:fldCharType="begin"/>
          </w:r>
          <w:r>
            <w:instrText xml:space="preserve"> HYPERLINK \l "_Toc8369" </w:instrText>
          </w:r>
          <w:r>
            <w:fldChar w:fldCharType="separate"/>
          </w:r>
          <w:r>
            <w:rPr>
              <w:rFonts w:ascii="Times New Roman" w:hAnsi="Times New Roman" w:eastAsia="黑体" w:cs="Times New Roman"/>
              <w:b/>
              <w:szCs w:val="44"/>
            </w:rPr>
            <w:t>第三部分 名</w:t>
          </w:r>
          <w:r>
            <w:rPr>
              <w:rFonts w:ascii="Times New Roman" w:hAnsi="Times New Roman" w:eastAsia="黑体" w:cs="Times New Roman"/>
              <w:b/>
            </w:rPr>
            <w:t>词解释</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_Toc8369 \h </w:instrText>
          </w:r>
          <w:r>
            <w:rPr>
              <w:rFonts w:ascii="Times New Roman" w:hAnsi="Times New Roman" w:cs="Times New Roman"/>
              <w:b/>
            </w:rPr>
            <w:fldChar w:fldCharType="separate"/>
          </w:r>
          <w:r>
            <w:rPr>
              <w:rFonts w:ascii="Times New Roman" w:hAnsi="Times New Roman" w:cs="Times New Roman"/>
              <w:b/>
            </w:rPr>
            <w:t>13</w:t>
          </w:r>
          <w:r>
            <w:rPr>
              <w:rFonts w:ascii="Times New Roman" w:hAnsi="Times New Roman" w:cs="Times New Roman"/>
              <w:b/>
            </w:rPr>
            <w:fldChar w:fldCharType="end"/>
          </w:r>
          <w:r>
            <w:rPr>
              <w:rFonts w:ascii="Times New Roman" w:hAnsi="Times New Roman" w:cs="Times New Roman"/>
              <w:b/>
            </w:rPr>
            <w:fldChar w:fldCharType="end"/>
          </w:r>
        </w:p>
        <w:p>
          <w:pPr>
            <w:pStyle w:val="30"/>
            <w:tabs>
              <w:tab w:val="right" w:leader="dot" w:pos="8306"/>
            </w:tabs>
            <w:rPr>
              <w:rFonts w:ascii="Times New Roman" w:hAnsi="Times New Roman" w:cs="Times New Roman"/>
              <w:b/>
            </w:rPr>
          </w:pPr>
          <w:r>
            <w:fldChar w:fldCharType="begin"/>
          </w:r>
          <w:r>
            <w:instrText xml:space="preserve"> HYPERLINK \l "_Toc31615" </w:instrText>
          </w:r>
          <w:r>
            <w:fldChar w:fldCharType="separate"/>
          </w:r>
          <w:r>
            <w:rPr>
              <w:rFonts w:ascii="Times New Roman" w:hAnsi="Times New Roman" w:eastAsia="黑体" w:cs="Times New Roman"/>
              <w:b/>
              <w:szCs w:val="44"/>
            </w:rPr>
            <w:t>第</w:t>
          </w:r>
          <w:r>
            <w:rPr>
              <w:rFonts w:ascii="Times New Roman" w:hAnsi="Times New Roman" w:eastAsia="黑体" w:cs="Times New Roman"/>
              <w:b/>
            </w:rPr>
            <w:t>四部分 附件</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_Toc31615 \h </w:instrText>
          </w:r>
          <w:r>
            <w:rPr>
              <w:rFonts w:ascii="Times New Roman" w:hAnsi="Times New Roman" w:cs="Times New Roman"/>
              <w:b/>
            </w:rPr>
            <w:fldChar w:fldCharType="separate"/>
          </w:r>
          <w:r>
            <w:rPr>
              <w:rFonts w:ascii="Times New Roman" w:hAnsi="Times New Roman" w:cs="Times New Roman"/>
              <w:b/>
            </w:rPr>
            <w:t>15</w:t>
          </w:r>
          <w:r>
            <w:rPr>
              <w:rFonts w:ascii="Times New Roman" w:hAnsi="Times New Roman" w:cs="Times New Roman"/>
              <w:b/>
            </w:rPr>
            <w:fldChar w:fldCharType="end"/>
          </w:r>
          <w:r>
            <w:rPr>
              <w:rFonts w:ascii="Times New Roman" w:hAnsi="Times New Roman" w:cs="Times New Roman"/>
              <w:b/>
            </w:rPr>
            <w:fldChar w:fldCharType="end"/>
          </w:r>
        </w:p>
        <w:p>
          <w:pPr>
            <w:pStyle w:val="30"/>
            <w:tabs>
              <w:tab w:val="right" w:leader="dot" w:pos="8306"/>
            </w:tabs>
            <w:rPr>
              <w:rFonts w:hint="eastAsia" w:ascii="Times New Roman" w:hAnsi="Times New Roman" w:cs="Times New Roman" w:eastAsiaTheme="minorEastAsia"/>
              <w:b/>
              <w:lang w:val="en-US" w:eastAsia="zh-CN"/>
            </w:rPr>
          </w:pPr>
          <w:r>
            <w:fldChar w:fldCharType="begin"/>
          </w:r>
          <w:r>
            <w:instrText xml:space="preserve"> HYPERLINK \l "_Toc24057" </w:instrText>
          </w:r>
          <w:r>
            <w:fldChar w:fldCharType="separate"/>
          </w:r>
          <w:r>
            <w:rPr>
              <w:rFonts w:ascii="Times New Roman" w:hAnsi="Times New Roman" w:eastAsia="黑体" w:cs="Times New Roman"/>
              <w:b/>
              <w:szCs w:val="44"/>
            </w:rPr>
            <w:t>第</w:t>
          </w:r>
          <w:r>
            <w:rPr>
              <w:rFonts w:ascii="Times New Roman" w:hAnsi="Times New Roman" w:eastAsia="黑体" w:cs="Times New Roman"/>
              <w:b/>
            </w:rPr>
            <w:t>五部分 附表</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_Toc24057 \h </w:instrText>
          </w:r>
          <w:r>
            <w:rPr>
              <w:rFonts w:ascii="Times New Roman" w:hAnsi="Times New Roman" w:cs="Times New Roman"/>
              <w:b/>
            </w:rPr>
            <w:fldChar w:fldCharType="separate"/>
          </w:r>
          <w:r>
            <w:rPr>
              <w:rFonts w:ascii="Times New Roman" w:hAnsi="Times New Roman" w:cs="Times New Roman"/>
              <w:b/>
            </w:rPr>
            <w:t>1</w:t>
          </w:r>
          <w:r>
            <w:rPr>
              <w:rFonts w:ascii="Times New Roman" w:hAnsi="Times New Roman" w:cs="Times New Roman"/>
              <w:b/>
            </w:rPr>
            <w:fldChar w:fldCharType="end"/>
          </w:r>
          <w:r>
            <w:rPr>
              <w:rFonts w:ascii="Times New Roman" w:hAnsi="Times New Roman" w:cs="Times New Roman"/>
              <w:b/>
            </w:rPr>
            <w:fldChar w:fldCharType="end"/>
          </w:r>
          <w:r>
            <w:rPr>
              <w:rFonts w:hint="eastAsia" w:ascii="Times New Roman" w:hAnsi="Times New Roman" w:cs="Times New Roman"/>
              <w:b/>
              <w:lang w:val="en-US" w:eastAsia="zh-CN"/>
            </w:rPr>
            <w:t>9</w:t>
          </w:r>
          <w:bookmarkStart w:id="96" w:name="_GoBack"/>
          <w:bookmarkEnd w:id="96"/>
        </w:p>
        <w:p>
          <w:pPr>
            <w:pStyle w:val="31"/>
            <w:tabs>
              <w:tab w:val="right" w:leader="dot" w:pos="8306"/>
            </w:tabs>
            <w:ind w:left="420"/>
            <w:rPr>
              <w:rFonts w:ascii="Times New Roman" w:hAnsi="Times New Roman" w:cs="Times New Roman"/>
            </w:rPr>
          </w:pPr>
          <w:r>
            <w:fldChar w:fldCharType="begin"/>
          </w:r>
          <w:r>
            <w:instrText xml:space="preserve"> HYPERLINK \l "_Toc8077" </w:instrText>
          </w:r>
          <w:r>
            <w:fldChar w:fldCharType="separate"/>
          </w:r>
          <w:r>
            <w:rPr>
              <w:rFonts w:ascii="Times New Roman" w:hAnsi="Times New Roman" w:eastAsia="仿宋" w:cs="Times New Roman"/>
            </w:rPr>
            <w:t>一、收入支出决算总表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_Toc8077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"_Toc6843" </w:instrText>
          </w:r>
          <w:r>
            <w:fldChar w:fldCharType="separate"/>
          </w:r>
          <w:r>
            <w:rPr>
              <w:rFonts w:ascii="Times New Roman" w:hAnsi="Times New Roman" w:eastAsia="仿宋" w:cs="Times New Roman"/>
            </w:rPr>
            <w:t>二、收入决算表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_Toc6843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"_Toc14498" </w:instrText>
          </w:r>
          <w:r>
            <w:fldChar w:fldCharType="separate"/>
          </w:r>
          <w:r>
            <w:rPr>
              <w:rFonts w:ascii="Times New Roman" w:hAnsi="Times New Roman" w:eastAsia="仿宋" w:cs="Times New Roman"/>
            </w:rPr>
            <w:t>三、支出决算表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_Toc14498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"_Toc774" </w:instrText>
          </w:r>
          <w:r>
            <w:fldChar w:fldCharType="separate"/>
          </w:r>
          <w:r>
            <w:rPr>
              <w:rFonts w:ascii="Times New Roman" w:hAnsi="Times New Roman" w:eastAsia="仿宋" w:cs="Times New Roman"/>
            </w:rPr>
            <w:t>四、财政拨款收入支出决算总表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_Toc774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"_Toc60" </w:instrText>
          </w:r>
          <w:r>
            <w:fldChar w:fldCharType="separate"/>
          </w:r>
          <w:r>
            <w:rPr>
              <w:rFonts w:ascii="Times New Roman" w:hAnsi="Times New Roman" w:eastAsia="仿宋" w:cs="Times New Roman"/>
            </w:rPr>
            <w:t>五、财政拨款支出决算明细表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_Toc60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"_Toc22889" </w:instrText>
          </w:r>
          <w:r>
            <w:fldChar w:fldCharType="separate"/>
          </w:r>
          <w:r>
            <w:rPr>
              <w:rFonts w:ascii="Times New Roman" w:hAnsi="Times New Roman" w:eastAsia="仿宋" w:cs="Times New Roman"/>
            </w:rPr>
            <w:t>六、一般公共预算财政拨款支出决算表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_Toc22889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"_Toc27047" </w:instrText>
          </w:r>
          <w:r>
            <w:fldChar w:fldCharType="separate"/>
          </w:r>
          <w:r>
            <w:rPr>
              <w:rFonts w:ascii="Times New Roman" w:hAnsi="Times New Roman" w:eastAsia="仿宋" w:cs="Times New Roman"/>
            </w:rPr>
            <w:t>七、一般公共预算财政拨款支出决算明细表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_Toc27047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"_Toc31498" </w:instrText>
          </w:r>
          <w:r>
            <w:fldChar w:fldCharType="separate"/>
          </w:r>
          <w:r>
            <w:rPr>
              <w:rFonts w:ascii="Times New Roman" w:hAnsi="Times New Roman" w:eastAsia="仿宋" w:cs="Times New Roman"/>
            </w:rPr>
            <w:t>八、一般公共预算财政拨款基本支出决算表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_Toc31498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"_Toc1412" </w:instrText>
          </w:r>
          <w:r>
            <w:fldChar w:fldCharType="separate"/>
          </w:r>
          <w:r>
            <w:rPr>
              <w:rFonts w:ascii="Times New Roman" w:hAnsi="Times New Roman" w:eastAsia="仿宋" w:cs="Times New Roman"/>
            </w:rPr>
            <w:t>九、一般公共预算财政拨款项目支出决算表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_Toc1412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"_Toc13378" </w:instrText>
          </w:r>
          <w:r>
            <w:fldChar w:fldCharType="separate"/>
          </w:r>
          <w:r>
            <w:rPr>
              <w:rFonts w:ascii="Times New Roman" w:hAnsi="Times New Roman" w:eastAsia="仿宋" w:cs="Times New Roman"/>
            </w:rPr>
            <w:t>十、一般公共预算财政拨款“三公”经费支出决算表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_Toc13378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"_Toc13492" </w:instrText>
          </w:r>
          <w:r>
            <w:fldChar w:fldCharType="separate"/>
          </w:r>
          <w:r>
            <w:rPr>
              <w:rFonts w:ascii="Times New Roman" w:hAnsi="Times New Roman" w:eastAsia="仿宋" w:cs="Times New Roman"/>
            </w:rPr>
            <w:t>十一、政府性基金预算财政拨款收入支出决算表</w:t>
          </w:r>
          <w:r>
            <w:rPr>
              <w:rFonts w:hint="eastAsia" w:ascii="Times New Roman" w:hAnsi="Times New Roman" w:eastAsia="仿宋" w:cs="Times New Roman"/>
            </w:rPr>
            <w:t>（此表无数据）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_Toc13492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"_Toc29713" </w:instrText>
          </w:r>
          <w:r>
            <w:fldChar w:fldCharType="separate"/>
          </w:r>
          <w:r>
            <w:rPr>
              <w:rFonts w:ascii="Times New Roman" w:hAnsi="Times New Roman" w:eastAsia="仿宋" w:cs="Times New Roman"/>
            </w:rPr>
            <w:t>十二、政府性基金预算财政拨款“三公”经费支出决算表</w:t>
          </w:r>
          <w:r>
            <w:rPr>
              <w:rFonts w:hint="eastAsia" w:ascii="Times New Roman" w:hAnsi="Times New Roman" w:eastAsia="仿宋" w:cs="Times New Roman"/>
            </w:rPr>
            <w:t>（此表无数据）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_Toc29713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"_Toc32723" </w:instrText>
          </w:r>
          <w:r>
            <w:fldChar w:fldCharType="separate"/>
          </w:r>
          <w:r>
            <w:rPr>
              <w:rFonts w:ascii="Times New Roman" w:hAnsi="Times New Roman" w:eastAsia="仿宋" w:cs="Times New Roman"/>
            </w:rPr>
            <w:t>十三、国有资本经营预算财政拨款收入支出决算表</w:t>
          </w:r>
          <w:r>
            <w:rPr>
              <w:rFonts w:hint="eastAsia" w:ascii="Times New Roman" w:hAnsi="Times New Roman" w:eastAsia="仿宋" w:cs="Times New Roman"/>
            </w:rPr>
            <w:t>（此表无数据）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_Toc32723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1"/>
            <w:tabs>
              <w:tab w:val="right" w:leader="dot" w:pos="8306"/>
            </w:tabs>
            <w:ind w:left="420"/>
            <w:rPr>
              <w:rFonts w:ascii="Times New Roman" w:hAnsi="Times New Roman" w:cs="Times New Roman"/>
            </w:rPr>
          </w:pPr>
          <w:r>
            <w:fldChar w:fldCharType="begin"/>
          </w:r>
          <w:r>
            <w:instrText xml:space="preserve"> HYPERLINK \l "_Toc6961" </w:instrText>
          </w:r>
          <w:r>
            <w:fldChar w:fldCharType="separate"/>
          </w:r>
          <w:r>
            <w:rPr>
              <w:rFonts w:ascii="Times New Roman" w:hAnsi="Times New Roman" w:eastAsia="仿宋" w:cs="Times New Roman"/>
            </w:rPr>
            <w:t>十四、国有资本经营预算财政拨款支出决算表</w:t>
          </w:r>
          <w:r>
            <w:rPr>
              <w:rFonts w:hint="eastAsia" w:ascii="Times New Roman" w:hAnsi="Times New Roman" w:eastAsia="仿宋" w:cs="Times New Roman"/>
            </w:rPr>
            <w:t>（此表无数据）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_Toc6961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r>
            <w:rPr>
              <w:b/>
            </w:rPr>
            <w:fldChar w:fldCharType="end"/>
          </w:r>
        </w:p>
      </w:sdtContent>
    </w:sdt>
    <w:p>
      <w:pPr>
        <w:pStyle w:val="3"/>
        <w:jc w:val="center"/>
        <w:rPr>
          <w:rFonts w:eastAsia="黑体"/>
          <w:b w:val="0"/>
        </w:rPr>
        <w:sectPr>
          <w:headerReference r:id="rId3" w:type="default"/>
          <w:footerReference r:id="rId4" w:type="default"/>
          <w:pgSz w:w="11906" w:h="16838"/>
          <w:pgMar w:top="533" w:right="1236" w:bottom="590" w:left="1066" w:header="851" w:footer="992" w:gutter="0"/>
          <w:pgNumType w:start="1"/>
          <w:cols w:space="0" w:num="1"/>
          <w:titlePg/>
          <w:docGrid w:type="lines" w:linePitch="312" w:charSpace="0"/>
        </w:sectPr>
      </w:pPr>
      <w:bookmarkStart w:id="12" w:name="_Toc22136"/>
    </w:p>
    <w:p>
      <w:pPr>
        <w:pStyle w:val="3"/>
        <w:jc w:val="center"/>
        <w:rPr>
          <w:rStyle w:val="24"/>
          <w:rFonts w:eastAsia="黑体"/>
          <w:b/>
          <w:bCs w:val="0"/>
        </w:rPr>
      </w:pPr>
      <w:r>
        <w:rPr>
          <w:rFonts w:eastAsia="黑体"/>
          <w:b w:val="0"/>
        </w:rPr>
        <w:t>第一部分 单位</w:t>
      </w:r>
      <w:r>
        <w:rPr>
          <w:rStyle w:val="24"/>
          <w:rFonts w:eastAsia="黑体"/>
          <w:b w:val="0"/>
          <w:bCs w:val="0"/>
        </w:rPr>
        <w:t>概况</w:t>
      </w:r>
      <w:bookmarkEnd w:id="12"/>
    </w:p>
    <w:p>
      <w:pPr>
        <w:widowControl/>
        <w:jc w:val="left"/>
        <w:rPr>
          <w:rFonts w:eastAsia="黑体"/>
          <w:sz w:val="32"/>
          <w:szCs w:val="32"/>
        </w:rPr>
      </w:pPr>
    </w:p>
    <w:p>
      <w:pPr>
        <w:pStyle w:val="4"/>
        <w:numPr>
          <w:ilvl w:val="0"/>
          <w:numId w:val="1"/>
        </w:numPr>
        <w:rPr>
          <w:rFonts w:ascii="Times New Roman" w:hAnsi="Times New Roman" w:cs="Times New Roman"/>
        </w:rPr>
      </w:pPr>
      <w:bookmarkStart w:id="13" w:name="_Toc1156"/>
      <w:bookmarkStart w:id="14" w:name="_Toc15396600"/>
      <w:bookmarkStart w:id="15" w:name="_Toc15377197"/>
      <w:r>
        <w:rPr>
          <w:rStyle w:val="25"/>
          <w:rFonts w:ascii="Times New Roman" w:hAnsi="Times New Roman" w:eastAsia="黑体" w:cs="Times New Roman"/>
          <w:b w:val="0"/>
          <w:bCs w:val="0"/>
        </w:rPr>
        <w:t>职能简介</w:t>
      </w:r>
      <w:bookmarkEnd w:id="13"/>
    </w:p>
    <w:p>
      <w:pPr>
        <w:pStyle w:val="4"/>
        <w:ind w:firstLine="640" w:firstLineChars="200"/>
        <w:rPr>
          <w:rFonts w:ascii="Times New Roman" w:hAnsi="Times New Roman" w:eastAsia="仿宋" w:cs="Times New Roman"/>
          <w:color w:val="000000"/>
        </w:rPr>
      </w:pPr>
      <w:r>
        <w:rPr>
          <w:rFonts w:ascii="Times New Roman" w:hAnsi="Times New Roman" w:eastAsia="仿宋" w:cs="Times New Roman"/>
          <w:b w:val="0"/>
          <w:bCs w:val="0"/>
        </w:rPr>
        <w:t>承担市委、市政府和市文广旅局行政主管部门交办的公益性文化活动，</w:t>
      </w:r>
      <w:r>
        <w:rPr>
          <w:rFonts w:ascii="Times New Roman" w:hAnsi="Times New Roman" w:eastAsia="仿宋" w:cs="Times New Roman"/>
          <w:b w:val="0"/>
          <w:bCs w:val="0"/>
          <w:color w:val="000000"/>
        </w:rPr>
        <w:t>满足市民不断增长的精神文化需求。</w:t>
      </w:r>
      <w:bookmarkStart w:id="16" w:name="_Toc1909"/>
    </w:p>
    <w:p>
      <w:pPr>
        <w:pStyle w:val="4"/>
        <w:rPr>
          <w:rFonts w:ascii="Times New Roman" w:hAnsi="Times New Roman" w:eastAsia="黑体" w:cs="Times New Roman"/>
          <w:b w:val="0"/>
        </w:rPr>
      </w:pPr>
      <w:r>
        <w:rPr>
          <w:rFonts w:ascii="Times New Roman" w:hAnsi="Times New Roman" w:eastAsia="黑体" w:cs="Times New Roman"/>
          <w:b w:val="0"/>
        </w:rPr>
        <w:t>二、2021年重点工作</w:t>
      </w:r>
      <w:bookmarkEnd w:id="14"/>
      <w:bookmarkEnd w:id="15"/>
      <w:r>
        <w:rPr>
          <w:rFonts w:ascii="Times New Roman" w:hAnsi="Times New Roman" w:eastAsia="黑体" w:cs="Times New Roman"/>
          <w:b w:val="0"/>
        </w:rPr>
        <w:t>完成情况</w:t>
      </w:r>
      <w:bookmarkEnd w:id="16"/>
    </w:p>
    <w:p>
      <w:pPr>
        <w:pStyle w:val="4"/>
        <w:ind w:firstLine="640" w:firstLineChars="200"/>
        <w:rPr>
          <w:rFonts w:ascii="Times New Roman" w:hAnsi="Times New Roman" w:eastAsia="仿宋" w:cs="Times New Roman"/>
        </w:rPr>
      </w:pPr>
      <w:r>
        <w:rPr>
          <w:rFonts w:ascii="Times New Roman" w:hAnsi="Times New Roman" w:eastAsia="仿宋" w:cs="Times New Roman"/>
          <w:b w:val="0"/>
          <w:bCs w:val="0"/>
        </w:rPr>
        <w:t>1.在国家京剧院、上海京剧院、省剧协多位专家的指导下，对大型现代京剧《浩然成昆》</w:t>
      </w:r>
      <w:r>
        <w:rPr>
          <w:rFonts w:hint="eastAsia" w:ascii="Times New Roman" w:hAnsi="Times New Roman" w:eastAsia="仿宋" w:cs="Times New Roman"/>
          <w:b w:val="0"/>
          <w:bCs w:val="0"/>
        </w:rPr>
        <w:t>进行精心地</w:t>
      </w:r>
      <w:r>
        <w:rPr>
          <w:rFonts w:ascii="Times New Roman" w:hAnsi="Times New Roman" w:eastAsia="仿宋" w:cs="Times New Roman"/>
          <w:b w:val="0"/>
          <w:bCs w:val="0"/>
        </w:rPr>
        <w:t>打磨、提高。</w:t>
      </w:r>
    </w:p>
    <w:p>
      <w:pPr>
        <w:pStyle w:val="4"/>
        <w:ind w:firstLine="640" w:firstLineChars="200"/>
        <w:rPr>
          <w:rFonts w:ascii="Times New Roman" w:hAnsi="Times New Roman" w:eastAsia="仿宋" w:cs="Times New Roman"/>
        </w:rPr>
      </w:pPr>
      <w:r>
        <w:rPr>
          <w:rFonts w:ascii="Times New Roman" w:hAnsi="Times New Roman" w:eastAsia="仿宋" w:cs="Times New Roman"/>
          <w:b w:val="0"/>
          <w:bCs w:val="0"/>
        </w:rPr>
        <w:t>2.创排戏剧小品《帮厨》、方言小品《擦一擦》、方言小品《信仰》等3部作品，并参加在自贡举行的四川省第十八届戏剧小品（小戏）比赛，其中《帮厨》获得二等奖。</w:t>
      </w:r>
    </w:p>
    <w:p>
      <w:pPr>
        <w:spacing w:line="600" w:lineRule="exact"/>
        <w:ind w:left="10" w:firstLine="617" w:firstLineChars="193"/>
        <w:rPr>
          <w:rFonts w:eastAsia="仿宋"/>
          <w:sz w:val="32"/>
          <w:szCs w:val="32"/>
        </w:rPr>
      </w:pPr>
      <w:r>
        <w:rPr>
          <w:rFonts w:eastAsia="仿宋"/>
          <w:sz w:val="32"/>
          <w:szCs w:val="32"/>
        </w:rPr>
        <w:t>3.全面优质地完成了“英雄攀枝花  颂歌献给党”攀枝花市庆祝中国共产党成立100周年系列文艺活动3项演出任务：</w:t>
      </w:r>
    </w:p>
    <w:p>
      <w:pPr>
        <w:spacing w:line="600" w:lineRule="exact"/>
        <w:ind w:firstLine="640" w:firstLineChars="200"/>
        <w:rPr>
          <w:rFonts w:eastAsia="仿宋"/>
          <w:sz w:val="32"/>
          <w:szCs w:val="32"/>
        </w:rPr>
      </w:pPr>
      <w:r>
        <w:rPr>
          <w:rFonts w:eastAsia="仿宋"/>
          <w:sz w:val="32"/>
          <w:szCs w:val="32"/>
        </w:rPr>
        <w:t>（1）5月6日至8日，四川音乐学院“派”萨克斯管四重奏组赴攀交流演出音乐会分别在湖光剧场、攀枝花学院会堂、阳光影城举行。</w:t>
      </w:r>
    </w:p>
    <w:p>
      <w:pPr>
        <w:spacing w:line="600" w:lineRule="exact"/>
        <w:ind w:firstLine="640" w:firstLineChars="200"/>
        <w:rPr>
          <w:rFonts w:eastAsia="仿宋"/>
          <w:sz w:val="32"/>
          <w:szCs w:val="32"/>
        </w:rPr>
      </w:pPr>
      <w:r>
        <w:rPr>
          <w:rFonts w:eastAsia="仿宋"/>
          <w:sz w:val="32"/>
          <w:szCs w:val="32"/>
        </w:rPr>
        <w:t>（2）7月1日，攀枝花市文化艺术中心、攀枝花（阳光叔叔）电声乐队共同演出的“攀枝花十大优秀原创歌曲音乐会”在湖光剧场成功上演。</w:t>
      </w:r>
    </w:p>
    <w:p>
      <w:pPr>
        <w:spacing w:line="600" w:lineRule="exact"/>
        <w:ind w:firstLine="640" w:firstLineChars="200"/>
        <w:rPr>
          <w:rFonts w:eastAsia="仿宋"/>
          <w:sz w:val="32"/>
          <w:szCs w:val="32"/>
        </w:rPr>
      </w:pPr>
      <w:r>
        <w:rPr>
          <w:rFonts w:eastAsia="仿宋"/>
          <w:sz w:val="32"/>
          <w:szCs w:val="32"/>
        </w:rPr>
        <w:t>（3）9月29日晚，市文化艺术中心承演的现代京剧《浩然成昆》汇报演出在攀枝花学院会堂成功举行，市委书记张正红，市委副书记、市长虞平，市政协党组书记李仁杰到场观看了演出。</w:t>
      </w:r>
    </w:p>
    <w:p>
      <w:pPr>
        <w:spacing w:line="600" w:lineRule="exact"/>
        <w:ind w:firstLine="640" w:firstLineChars="200"/>
        <w:rPr>
          <w:rFonts w:eastAsia="仿宋"/>
          <w:sz w:val="32"/>
          <w:szCs w:val="32"/>
        </w:rPr>
      </w:pPr>
      <w:r>
        <w:rPr>
          <w:rFonts w:eastAsia="仿宋"/>
          <w:sz w:val="32"/>
          <w:szCs w:val="32"/>
        </w:rPr>
        <w:t>（4）6月中旬，大型现代京剧《浩然成昆》赴成都参加“剧美天府”回望百年路 奋进新时代——四川省庆祝中国共产党成立100周年优秀剧目展演季，在成都新声剧场演出2场。</w:t>
      </w:r>
    </w:p>
    <w:p>
      <w:pPr>
        <w:spacing w:line="600" w:lineRule="exact"/>
        <w:ind w:firstLine="640" w:firstLineChars="200"/>
        <w:rPr>
          <w:rFonts w:eastAsia="仿宋"/>
          <w:color w:val="FF0000"/>
          <w:sz w:val="32"/>
          <w:szCs w:val="32"/>
        </w:rPr>
      </w:pPr>
      <w:r>
        <w:rPr>
          <w:rFonts w:eastAsia="仿宋"/>
          <w:sz w:val="32"/>
          <w:szCs w:val="32"/>
        </w:rPr>
        <w:t>（5）积极克服新冠疫情带来的不利影响，持续开展“我们的中国梦</w:t>
      </w:r>
      <w:r>
        <w:rPr>
          <w:rFonts w:hint="eastAsia" w:eastAsia="仿宋"/>
          <w:sz w:val="32"/>
          <w:szCs w:val="32"/>
        </w:rPr>
        <w:t>－</w:t>
      </w:r>
      <w:r>
        <w:rPr>
          <w:rFonts w:eastAsia="仿宋"/>
          <w:sz w:val="32"/>
          <w:szCs w:val="32"/>
        </w:rPr>
        <w:t>文化进万家”“戏曲进校园”“戏曲进乡村”等各类公益性演出活动，全年完成公益性演出61场。</w:t>
      </w:r>
    </w:p>
    <w:p>
      <w:pPr>
        <w:spacing w:line="600" w:lineRule="exact"/>
        <w:ind w:firstLine="640" w:firstLineChars="200"/>
        <w:rPr>
          <w:rFonts w:eastAsia="仿宋"/>
          <w:bCs/>
          <w:sz w:val="32"/>
          <w:szCs w:val="32"/>
        </w:rPr>
      </w:pPr>
      <w:r>
        <w:rPr>
          <w:rFonts w:eastAsia="仿宋"/>
          <w:sz w:val="32"/>
          <w:szCs w:val="32"/>
        </w:rPr>
        <w:t>（6）由市文化艺术中心创排的</w:t>
      </w:r>
      <w:r>
        <w:rPr>
          <w:rFonts w:eastAsia="仿宋"/>
          <w:kern w:val="0"/>
          <w:sz w:val="32"/>
          <w:szCs w:val="32"/>
        </w:rPr>
        <w:t>大型现实题材川剧</w:t>
      </w:r>
      <w:r>
        <w:rPr>
          <w:rFonts w:eastAsia="仿宋"/>
          <w:sz w:val="32"/>
          <w:szCs w:val="32"/>
        </w:rPr>
        <w:t>《此心安处》改编的网络电影《攀枝花红了》，年初在市文化艺术中心举行开机仪式，年底顺利完成在攀拍摄工作。该剧</w:t>
      </w:r>
      <w:r>
        <w:rPr>
          <w:rFonts w:eastAsia="仿宋"/>
          <w:bCs/>
          <w:sz w:val="32"/>
          <w:szCs w:val="32"/>
        </w:rPr>
        <w:t>已被国家广电总局列为年度重大题材影视剧并成功备案，同时还被四川省广播电视局列为2020年重大题材库项目。</w:t>
      </w:r>
    </w:p>
    <w:p>
      <w:pPr>
        <w:spacing w:line="600" w:lineRule="exact"/>
        <w:ind w:firstLine="640" w:firstLineChars="200"/>
        <w:rPr>
          <w:rFonts w:eastAsia="仿宋"/>
          <w:bCs/>
          <w:sz w:val="32"/>
          <w:szCs w:val="32"/>
        </w:rPr>
      </w:pPr>
      <w:r>
        <w:rPr>
          <w:rFonts w:eastAsia="仿宋"/>
          <w:bCs/>
          <w:sz w:val="32"/>
          <w:szCs w:val="32"/>
        </w:rPr>
        <w:t>（7）为庆祝攀枝花建市56周年，中心克服疫情影响，积极提供线上服务，大型现代京剧《浩然成昆》在攀枝花手机台APP开展了线上展播。</w:t>
      </w:r>
    </w:p>
    <w:p>
      <w:pPr>
        <w:spacing w:line="600" w:lineRule="exact"/>
        <w:ind w:firstLine="640" w:firstLineChars="200"/>
        <w:rPr>
          <w:rFonts w:eastAsia="仿宋"/>
          <w:bCs/>
          <w:sz w:val="32"/>
          <w:szCs w:val="32"/>
        </w:rPr>
      </w:pPr>
      <w:r>
        <w:rPr>
          <w:rFonts w:eastAsia="仿宋"/>
          <w:bCs/>
          <w:sz w:val="32"/>
          <w:szCs w:val="32"/>
        </w:rPr>
        <w:t>（8）完成“攀枝花十大优秀原创歌曲”中的2首歌曲：《心中的花》《攀枝花在哪里》MV制作。</w:t>
      </w:r>
      <w:bookmarkStart w:id="17" w:name="_Toc15377204"/>
      <w:bookmarkStart w:id="18" w:name="_Toc15396602"/>
      <w:bookmarkStart w:id="19" w:name="_Toc2712"/>
    </w:p>
    <w:p>
      <w:pPr>
        <w:spacing w:line="600" w:lineRule="exact"/>
        <w:ind w:left="630"/>
        <w:rPr>
          <w:rFonts w:ascii="仿宋" w:hAnsi="仿宋" w:eastAsia="仿宋" w:cs="仿宋"/>
          <w:sz w:val="32"/>
          <w:szCs w:val="32"/>
        </w:rPr>
      </w:pPr>
      <w:r>
        <w:rPr>
          <w:rFonts w:hint="eastAsia" w:ascii="仿宋" w:hAnsi="仿宋" w:eastAsia="仿宋" w:cs="仿宋"/>
          <w:sz w:val="32"/>
          <w:szCs w:val="32"/>
        </w:rPr>
        <w:t>4.其他重点工作</w:t>
      </w:r>
    </w:p>
    <w:p>
      <w:pPr>
        <w:spacing w:line="60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（1）做好常态化疫情防控工作。针对</w:t>
      </w:r>
      <w:r>
        <w:rPr>
          <w:rFonts w:hint="eastAsia" w:ascii="仿宋" w:hAnsi="仿宋" w:eastAsia="仿宋" w:cs="仿宋"/>
          <w:sz w:val="32"/>
          <w:szCs w:val="32"/>
          <w:shd w:val="clear" w:color="auto" w:fill="FFFFFF"/>
        </w:rPr>
        <w:t>新冠肺炎疫情，始终紧绷疫情防控不松懈这根弦，切实推动职工思想不麻痹、工作责任不松懈、各项措施不放松，维护来之不易的安全形势，共同守护好群众生命安全。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（2）在经过近一年的充分准备后，2021年3月，按照《市文化艺术中心 市艺术剧院有限公司内设部门和干部调整方案》，市文化艺术中心、市艺术剧院有限公司着手进行内设部门和干部的调整工作。具体包括：一是完成内设部门调整，将原有的6个内设部门调整为“三团、三办、两室、两部”共10个部门；二是保留原有6名中层正职，重新聘任到新的工作岗位；三是将原有的10名中层副职干部中，提任5名副职担任正职；四是在从各部门表现突出的职工中，选聘10名中层副职干部（其中女干部5名）。此后，中心先后完成领导班子分工、调整党小组和新任干部培训等工作。</w:t>
      </w:r>
    </w:p>
    <w:p>
      <w:pPr>
        <w:pStyle w:val="4"/>
        <w:ind w:firstLine="640" w:firstLineChars="200"/>
        <w:rPr>
          <w:rFonts w:ascii="仿宋" w:hAnsi="仿宋" w:eastAsia="仿宋" w:cs="仿宋"/>
          <w:b w:val="0"/>
          <w:bCs w:val="0"/>
        </w:rPr>
      </w:pPr>
      <w:r>
        <w:rPr>
          <w:rFonts w:hint="eastAsia" w:ascii="仿宋" w:hAnsi="仿宋" w:eastAsia="仿宋" w:cs="仿宋"/>
          <w:b w:val="0"/>
          <w:bCs w:val="0"/>
        </w:rPr>
        <w:t>（3）为加强市文化艺术中心安全生产（消防）和疫情防控工作，完成《攀枝花市文化艺术中心安全生产（消防）和疫情防控责任体系建设工作制度》，汇编了涉及安全生产、消防、防汛、疫情防控等方面共十五项制度。</w:t>
      </w:r>
    </w:p>
    <w:p>
      <w:pPr>
        <w:pStyle w:val="4"/>
        <w:numPr>
          <w:ilvl w:val="0"/>
          <w:numId w:val="2"/>
        </w:numPr>
        <w:rPr>
          <w:rFonts w:ascii="Times New Roman" w:hAnsi="Times New Roman" w:eastAsia="黑体" w:cs="Times New Roman"/>
          <w:b w:val="0"/>
        </w:rPr>
      </w:pPr>
      <w:r>
        <w:rPr>
          <w:rFonts w:hint="eastAsia" w:ascii="Times New Roman" w:hAnsi="Times New Roman" w:eastAsia="黑体" w:cs="Times New Roman"/>
          <w:b w:val="0"/>
        </w:rPr>
        <w:t>机构设置情况</w:t>
      </w:r>
    </w:p>
    <w:p>
      <w:pPr>
        <w:ind w:firstLine="640" w:firstLineChars="200"/>
        <w:rPr>
          <w:rFonts w:eastAsia="仿宋"/>
          <w:sz w:val="32"/>
          <w:szCs w:val="32"/>
        </w:rPr>
      </w:pPr>
      <w:r>
        <w:rPr>
          <w:rFonts w:eastAsia="仿宋"/>
          <w:sz w:val="32"/>
          <w:szCs w:val="32"/>
        </w:rPr>
        <w:t>攀枝花市</w:t>
      </w:r>
      <w:r>
        <w:rPr>
          <w:rFonts w:hint="eastAsia" w:eastAsia="仿宋"/>
          <w:sz w:val="32"/>
          <w:szCs w:val="32"/>
        </w:rPr>
        <w:t>文化艺术中心</w:t>
      </w:r>
      <w:r>
        <w:rPr>
          <w:rFonts w:eastAsia="仿宋"/>
          <w:sz w:val="32"/>
          <w:szCs w:val="32"/>
        </w:rPr>
        <w:t>属</w:t>
      </w:r>
      <w:r>
        <w:rPr>
          <w:rFonts w:hint="eastAsia" w:eastAsia="仿宋"/>
          <w:sz w:val="32"/>
          <w:szCs w:val="32"/>
        </w:rPr>
        <w:t>于</w:t>
      </w:r>
      <w:r>
        <w:rPr>
          <w:rFonts w:eastAsia="仿宋"/>
          <w:sz w:val="32"/>
          <w:szCs w:val="32"/>
        </w:rPr>
        <w:t>攀枝花市文化广播电视和旅游局</w:t>
      </w:r>
      <w:r>
        <w:rPr>
          <w:rFonts w:hint="eastAsia" w:eastAsia="仿宋"/>
          <w:sz w:val="32"/>
          <w:szCs w:val="32"/>
        </w:rPr>
        <w:t>部门下属的二级预算单位，下设独立编制机构0个，其中行政机构0个，参照公务员法管理的事业机构0个，其他事业机构0个。</w:t>
      </w:r>
    </w:p>
    <w:p>
      <w:pPr>
        <w:ind w:firstLine="640" w:firstLineChars="200"/>
      </w:pPr>
      <w:r>
        <w:rPr>
          <w:rFonts w:hint="eastAsia" w:eastAsia="仿宋"/>
          <w:sz w:val="32"/>
          <w:szCs w:val="32"/>
        </w:rPr>
        <w:t>纳入2021年度单位决算编制范围的独立编制机构包括：无。</w:t>
      </w:r>
    </w:p>
    <w:p>
      <w:pPr>
        <w:widowControl/>
        <w:jc w:val="left"/>
        <w:rPr>
          <w:rFonts w:ascii="仿宋" w:hAnsi="仿宋" w:eastAsia="仿宋" w:cs="仿宋"/>
          <w:bCs/>
          <w:sz w:val="32"/>
          <w:szCs w:val="32"/>
        </w:rPr>
      </w:pPr>
    </w:p>
    <w:p>
      <w:pPr>
        <w:widowControl/>
        <w:jc w:val="left"/>
        <w:rPr>
          <w:rFonts w:eastAsia="黑体"/>
          <w:bCs/>
          <w:sz w:val="44"/>
          <w:szCs w:val="44"/>
        </w:rPr>
      </w:pPr>
    </w:p>
    <w:p>
      <w:pPr>
        <w:widowControl/>
        <w:jc w:val="left"/>
        <w:rPr>
          <w:rFonts w:eastAsia="黑体"/>
          <w:bCs/>
          <w:sz w:val="44"/>
          <w:szCs w:val="44"/>
        </w:rPr>
      </w:pPr>
    </w:p>
    <w:p>
      <w:pPr>
        <w:widowControl/>
        <w:jc w:val="left"/>
        <w:rPr>
          <w:rFonts w:eastAsia="黑体"/>
          <w:bCs/>
          <w:sz w:val="44"/>
          <w:szCs w:val="44"/>
        </w:rPr>
      </w:pPr>
    </w:p>
    <w:p>
      <w:pPr>
        <w:widowControl/>
        <w:jc w:val="left"/>
        <w:rPr>
          <w:rFonts w:eastAsia="黑体"/>
          <w:bCs/>
          <w:sz w:val="44"/>
          <w:szCs w:val="44"/>
        </w:rPr>
      </w:pPr>
    </w:p>
    <w:p>
      <w:pPr>
        <w:widowControl/>
        <w:jc w:val="left"/>
        <w:rPr>
          <w:rFonts w:eastAsia="黑体"/>
          <w:bCs/>
          <w:sz w:val="44"/>
          <w:szCs w:val="44"/>
        </w:rPr>
      </w:pPr>
    </w:p>
    <w:p>
      <w:pPr>
        <w:widowControl/>
        <w:ind w:firstLine="880" w:firstLineChars="200"/>
        <w:jc w:val="center"/>
        <w:rPr>
          <w:rStyle w:val="24"/>
          <w:rFonts w:eastAsia="黑体"/>
          <w:b w:val="0"/>
        </w:rPr>
      </w:pPr>
      <w:r>
        <w:rPr>
          <w:rFonts w:eastAsia="黑体"/>
          <w:bCs/>
          <w:sz w:val="44"/>
          <w:szCs w:val="44"/>
        </w:rPr>
        <w:t>第二部分 2021年度</w:t>
      </w:r>
      <w:r>
        <w:rPr>
          <w:rStyle w:val="24"/>
          <w:rFonts w:eastAsia="黑体"/>
          <w:b w:val="0"/>
        </w:rPr>
        <w:t>单位决算情况说明</w:t>
      </w:r>
      <w:bookmarkEnd w:id="17"/>
      <w:bookmarkEnd w:id="18"/>
      <w:bookmarkEnd w:id="19"/>
    </w:p>
    <w:p/>
    <w:p>
      <w:pPr>
        <w:pStyle w:val="23"/>
        <w:spacing w:line="600" w:lineRule="exact"/>
        <w:ind w:left="640" w:firstLine="0" w:firstLineChars="0"/>
        <w:outlineLvl w:val="1"/>
        <w:rPr>
          <w:rStyle w:val="25"/>
          <w:rFonts w:ascii="Times New Roman" w:hAnsi="Times New Roman" w:eastAsia="黑体" w:cs="Times New Roman"/>
          <w:b w:val="0"/>
        </w:rPr>
      </w:pPr>
      <w:bookmarkStart w:id="20" w:name="_Toc956"/>
      <w:bookmarkStart w:id="21" w:name="_Toc15377205"/>
      <w:bookmarkStart w:id="22" w:name="_Toc15396603"/>
      <w:r>
        <w:rPr>
          <w:rFonts w:eastAsia="黑体"/>
          <w:sz w:val="32"/>
          <w:szCs w:val="32"/>
        </w:rPr>
        <w:t>一、收</w:t>
      </w:r>
      <w:r>
        <w:rPr>
          <w:rStyle w:val="25"/>
          <w:rFonts w:ascii="Times New Roman" w:hAnsi="Times New Roman" w:eastAsia="黑体" w:cs="Times New Roman"/>
          <w:b w:val="0"/>
        </w:rPr>
        <w:t>入支出决算总体情况说明</w:t>
      </w:r>
      <w:bookmarkEnd w:id="20"/>
      <w:bookmarkEnd w:id="21"/>
      <w:bookmarkEnd w:id="22"/>
    </w:p>
    <w:p>
      <w:pPr>
        <w:spacing w:line="600" w:lineRule="exact"/>
        <w:ind w:firstLine="640" w:firstLineChars="200"/>
        <w:rPr>
          <w:rFonts w:eastAsia="仿宋"/>
          <w:color w:val="000000"/>
          <w:sz w:val="32"/>
          <w:szCs w:val="32"/>
        </w:rPr>
      </w:pPr>
      <w:r>
        <w:rPr>
          <w:rFonts w:eastAsia="仿宋"/>
          <w:sz w:val="32"/>
          <w:szCs w:val="32"/>
        </w:rPr>
        <w:t>2021年度收、支总计2322.78万元。与2020年相比，收、支总计各减少183.02万元，下降7.30%。主要变动原因是人员变动，</w:t>
      </w:r>
      <w:r>
        <w:rPr>
          <w:rFonts w:eastAsia="仿宋"/>
          <w:color w:val="000000"/>
          <w:sz w:val="32"/>
          <w:szCs w:val="32"/>
        </w:rPr>
        <w:t>日常公用经费预算压缩、项目支出减少造成。</w:t>
      </w:r>
    </w:p>
    <w:p>
      <w:pPr>
        <w:spacing w:line="600" w:lineRule="exact"/>
        <w:rPr>
          <w:rFonts w:eastAsia="仿宋"/>
          <w:sz w:val="32"/>
          <w:szCs w:val="32"/>
        </w:rPr>
      </w:pPr>
    </w:p>
    <w:p>
      <w:pPr>
        <w:pStyle w:val="4"/>
        <w:jc w:val="center"/>
        <w:rPr>
          <w:rFonts w:ascii="Times New Roman" w:hAnsi="Times New Roman" w:eastAsia="仿宋" w:cs="Times New Roman"/>
        </w:rPr>
      </w:pPr>
      <w:r>
        <w:rPr>
          <w:rFonts w:ascii="Times New Roman" w:hAnsi="Times New Roman" w:cs="Times New Roman"/>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eastAsia="仿宋"/>
          <w:sz w:val="32"/>
          <w:szCs w:val="32"/>
        </w:rPr>
      </w:pPr>
      <w:r>
        <w:rPr>
          <w:rFonts w:eastAsia="仿宋"/>
          <w:sz w:val="32"/>
          <w:szCs w:val="32"/>
        </w:rPr>
        <w:t>（图1：收、支决算总计变动情况图）</w:t>
      </w:r>
    </w:p>
    <w:p>
      <w:pPr>
        <w:pStyle w:val="23"/>
        <w:spacing w:line="600" w:lineRule="exact"/>
        <w:ind w:firstLine="640"/>
        <w:outlineLvl w:val="1"/>
        <w:rPr>
          <w:rStyle w:val="25"/>
          <w:rFonts w:ascii="Times New Roman" w:hAnsi="Times New Roman" w:eastAsia="黑体" w:cs="Times New Roman"/>
          <w:b w:val="0"/>
        </w:rPr>
      </w:pPr>
      <w:bookmarkStart w:id="23" w:name="_Toc15377206"/>
      <w:bookmarkStart w:id="24" w:name="_Toc23901"/>
      <w:bookmarkStart w:id="25" w:name="_Toc15396604"/>
      <w:r>
        <w:rPr>
          <w:rFonts w:eastAsia="黑体"/>
          <w:sz w:val="32"/>
          <w:szCs w:val="32"/>
        </w:rPr>
        <w:t>二、收</w:t>
      </w:r>
      <w:r>
        <w:rPr>
          <w:rStyle w:val="25"/>
          <w:rFonts w:ascii="Times New Roman" w:hAnsi="Times New Roman" w:eastAsia="黑体" w:cs="Times New Roman"/>
          <w:b w:val="0"/>
        </w:rPr>
        <w:t>入决算情况说明</w:t>
      </w:r>
      <w:bookmarkEnd w:id="23"/>
      <w:bookmarkEnd w:id="24"/>
      <w:bookmarkEnd w:id="25"/>
    </w:p>
    <w:p>
      <w:pPr>
        <w:spacing w:line="600" w:lineRule="exact"/>
        <w:ind w:firstLine="640" w:firstLineChars="200"/>
        <w:rPr>
          <w:rFonts w:eastAsia="仿宋"/>
          <w:sz w:val="32"/>
          <w:szCs w:val="32"/>
        </w:rPr>
      </w:pPr>
      <w:r>
        <w:rPr>
          <w:rFonts w:eastAsia="仿宋"/>
          <w:sz w:val="32"/>
          <w:szCs w:val="32"/>
        </w:rPr>
        <w:t>2021年本年收入合计2322.78万元，其中：一般公共预算财政拨款收入2260.04万元，占97.30%；其他收入62.74万元，占2.70%。</w:t>
      </w:r>
    </w:p>
    <w:p>
      <w:pPr>
        <w:spacing w:line="600" w:lineRule="exact"/>
        <w:ind w:firstLine="640" w:firstLineChars="200"/>
        <w:rPr>
          <w:rFonts w:eastAsia="仿宋"/>
          <w:sz w:val="32"/>
          <w:szCs w:val="32"/>
        </w:rPr>
      </w:pPr>
    </w:p>
    <w:p>
      <w:pPr>
        <w:pStyle w:val="4"/>
        <w:jc w:val="center"/>
        <w:rPr>
          <w:rFonts w:ascii="Times New Roman" w:hAnsi="Times New Roman" w:eastAsia="仿宋" w:cs="Times New Roman"/>
        </w:rPr>
      </w:pPr>
    </w:p>
    <w:p>
      <w:pPr>
        <w:jc w:val="center"/>
        <w:rPr>
          <w:rFonts w:eastAsia="仿宋"/>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eastAsia="仿宋"/>
          <w:sz w:val="32"/>
          <w:szCs w:val="32"/>
        </w:rPr>
      </w:pPr>
      <w:r>
        <w:rPr>
          <w:rFonts w:eastAsia="仿宋"/>
          <w:sz w:val="32"/>
          <w:szCs w:val="32"/>
        </w:rPr>
        <w:t>（图2：收入决算结构图）</w:t>
      </w:r>
    </w:p>
    <w:p>
      <w:pPr>
        <w:pStyle w:val="23"/>
        <w:spacing w:line="600" w:lineRule="exact"/>
        <w:ind w:firstLine="640"/>
        <w:outlineLvl w:val="1"/>
        <w:rPr>
          <w:rStyle w:val="25"/>
          <w:rFonts w:ascii="Times New Roman" w:hAnsi="Times New Roman" w:eastAsia="黑体" w:cs="Times New Roman"/>
          <w:b w:val="0"/>
        </w:rPr>
      </w:pPr>
      <w:bookmarkStart w:id="26" w:name="_Toc15377207"/>
      <w:bookmarkStart w:id="27" w:name="_Toc23359"/>
      <w:bookmarkStart w:id="28" w:name="_Toc15396605"/>
      <w:r>
        <w:rPr>
          <w:rFonts w:eastAsia="黑体"/>
          <w:sz w:val="32"/>
          <w:szCs w:val="32"/>
        </w:rPr>
        <w:t>三、支</w:t>
      </w:r>
      <w:r>
        <w:rPr>
          <w:rStyle w:val="25"/>
          <w:rFonts w:ascii="Times New Roman" w:hAnsi="Times New Roman" w:eastAsia="黑体" w:cs="Times New Roman"/>
          <w:b w:val="0"/>
        </w:rPr>
        <w:t>出决算情况说明</w:t>
      </w:r>
      <w:bookmarkEnd w:id="26"/>
      <w:bookmarkEnd w:id="27"/>
      <w:bookmarkEnd w:id="28"/>
    </w:p>
    <w:p>
      <w:pPr>
        <w:spacing w:line="600" w:lineRule="exact"/>
        <w:ind w:firstLine="640" w:firstLineChars="200"/>
        <w:rPr>
          <w:rFonts w:eastAsia="仿宋"/>
          <w:sz w:val="32"/>
          <w:szCs w:val="32"/>
        </w:rPr>
      </w:pPr>
      <w:r>
        <w:rPr>
          <w:rFonts w:eastAsia="仿宋"/>
          <w:sz w:val="32"/>
          <w:szCs w:val="32"/>
        </w:rPr>
        <w:t>2021年本年支出合计2322.78万元，其中：基本支出2137.74万元，占92.03%；项目支出185.04万元，占7.97%。</w:t>
      </w:r>
    </w:p>
    <w:p>
      <w:pPr>
        <w:pStyle w:val="4"/>
        <w:jc w:val="center"/>
        <w:rPr>
          <w:rFonts w:ascii="Times New Roman" w:hAnsi="Times New Roman" w:cs="Times New Roman"/>
        </w:rPr>
      </w:pPr>
      <w:r>
        <w:rPr>
          <w:rFonts w:ascii="Times New Roman" w:hAnsi="Times New Roman" w:cs="Times New Roman"/>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eastAsia="仿宋"/>
          <w:sz w:val="32"/>
          <w:szCs w:val="32"/>
        </w:rPr>
      </w:pPr>
      <w:r>
        <w:rPr>
          <w:rFonts w:eastAsia="仿宋"/>
          <w:sz w:val="32"/>
          <w:szCs w:val="32"/>
        </w:rPr>
        <w:t>（图3：支出决算结构图）</w:t>
      </w:r>
    </w:p>
    <w:p>
      <w:pPr>
        <w:spacing w:line="600" w:lineRule="exact"/>
        <w:ind w:firstLine="640" w:firstLineChars="200"/>
        <w:rPr>
          <w:rFonts w:eastAsia="仿宋_GB2312"/>
          <w:sz w:val="32"/>
          <w:szCs w:val="32"/>
        </w:rPr>
      </w:pPr>
    </w:p>
    <w:p>
      <w:pPr>
        <w:spacing w:line="600" w:lineRule="exact"/>
        <w:ind w:firstLine="640" w:firstLineChars="200"/>
        <w:outlineLvl w:val="1"/>
        <w:rPr>
          <w:rStyle w:val="25"/>
          <w:rFonts w:ascii="Times New Roman" w:hAnsi="Times New Roman" w:eastAsia="黑体" w:cs="Times New Roman"/>
          <w:b w:val="0"/>
        </w:rPr>
      </w:pPr>
      <w:bookmarkStart w:id="29" w:name="_Toc15377208"/>
      <w:bookmarkStart w:id="30" w:name="_Toc29556"/>
      <w:bookmarkStart w:id="31" w:name="_Toc15396606"/>
      <w:r>
        <w:rPr>
          <w:rFonts w:eastAsia="黑体"/>
          <w:sz w:val="32"/>
          <w:szCs w:val="32"/>
        </w:rPr>
        <w:t>四、财</w:t>
      </w:r>
      <w:r>
        <w:rPr>
          <w:rStyle w:val="25"/>
          <w:rFonts w:ascii="Times New Roman" w:hAnsi="Times New Roman" w:eastAsia="黑体" w:cs="Times New Roman"/>
          <w:b w:val="0"/>
        </w:rPr>
        <w:t>政拨款收入支出决算总体情况说明</w:t>
      </w:r>
      <w:bookmarkEnd w:id="29"/>
      <w:bookmarkEnd w:id="30"/>
      <w:bookmarkEnd w:id="31"/>
    </w:p>
    <w:p>
      <w:pPr>
        <w:ind w:firstLine="640"/>
        <w:rPr>
          <w:rFonts w:eastAsia="仿宋"/>
          <w:sz w:val="32"/>
          <w:szCs w:val="32"/>
        </w:rPr>
      </w:pPr>
      <w:r>
        <w:rPr>
          <w:rFonts w:eastAsia="仿宋"/>
          <w:sz w:val="32"/>
          <w:szCs w:val="32"/>
        </w:rPr>
        <w:t>2021年财政拨款收、支总计2260.04万元。与2020年相比，财政拨款收、支总计各减少81.66万元，下降3.49%。</w:t>
      </w:r>
      <w:r>
        <w:rPr>
          <w:rFonts w:eastAsia="仿宋"/>
          <w:color w:val="000000"/>
          <w:sz w:val="32"/>
          <w:szCs w:val="32"/>
        </w:rPr>
        <w:t>主要变动人员经费减少、日常公用经费预算压缩、项目支出减少造成。</w:t>
      </w:r>
    </w:p>
    <w:p>
      <w:pPr>
        <w:jc w:val="center"/>
        <w:rPr>
          <w:rFonts w:eastAsia="仿宋"/>
          <w:sz w:val="32"/>
          <w:szCs w:val="32"/>
        </w:rPr>
      </w:pPr>
      <w:r>
        <w:drawing>
          <wp:inline distT="0" distB="0" distL="114300" distR="114300">
            <wp:extent cx="4572000" cy="2743200"/>
            <wp:effectExtent l="4445" t="4445" r="14605"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eastAsia="仿宋"/>
          <w:sz w:val="32"/>
          <w:szCs w:val="32"/>
        </w:rPr>
      </w:pPr>
      <w:r>
        <w:rPr>
          <w:rFonts w:eastAsia="仿宋"/>
          <w:sz w:val="32"/>
          <w:szCs w:val="32"/>
        </w:rPr>
        <w:t>（图4：财政拨款收、支决算总计变动情况）</w:t>
      </w:r>
    </w:p>
    <w:p>
      <w:pPr>
        <w:spacing w:line="600" w:lineRule="exact"/>
        <w:ind w:firstLine="640"/>
        <w:rPr>
          <w:rFonts w:eastAsia="仿宋"/>
          <w:b/>
          <w:sz w:val="32"/>
          <w:szCs w:val="32"/>
        </w:rPr>
      </w:pPr>
    </w:p>
    <w:p>
      <w:pPr>
        <w:spacing w:line="600" w:lineRule="exact"/>
        <w:ind w:firstLine="640" w:firstLineChars="200"/>
        <w:outlineLvl w:val="1"/>
        <w:rPr>
          <w:rStyle w:val="25"/>
          <w:rFonts w:ascii="Times New Roman" w:hAnsi="Times New Roman" w:eastAsia="黑体" w:cs="Times New Roman"/>
          <w:b w:val="0"/>
        </w:rPr>
      </w:pPr>
      <w:bookmarkStart w:id="32" w:name="_Toc15396607"/>
      <w:bookmarkStart w:id="33" w:name="_Toc15377209"/>
      <w:bookmarkStart w:id="34" w:name="_Toc7858"/>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32"/>
      <w:bookmarkEnd w:id="33"/>
      <w:bookmarkEnd w:id="34"/>
    </w:p>
    <w:p>
      <w:pPr>
        <w:spacing w:line="600" w:lineRule="exact"/>
        <w:ind w:firstLine="643" w:firstLineChars="200"/>
        <w:rPr>
          <w:rFonts w:eastAsia="仿宋"/>
          <w:b/>
          <w:sz w:val="32"/>
          <w:szCs w:val="32"/>
        </w:rPr>
      </w:pPr>
      <w:bookmarkStart w:id="35" w:name="_Toc15377210"/>
      <w:r>
        <w:rPr>
          <w:rFonts w:eastAsia="仿宋"/>
          <w:b/>
          <w:sz w:val="32"/>
          <w:szCs w:val="32"/>
        </w:rPr>
        <w:t>（一）一般公共预算财政拨款支出决算总体情况</w:t>
      </w:r>
      <w:bookmarkEnd w:id="35"/>
    </w:p>
    <w:p>
      <w:pPr>
        <w:spacing w:line="600" w:lineRule="exact"/>
        <w:ind w:firstLine="640" w:firstLineChars="200"/>
      </w:pPr>
      <w:r>
        <w:rPr>
          <w:rFonts w:eastAsia="仿宋"/>
          <w:sz w:val="32"/>
          <w:szCs w:val="32"/>
        </w:rPr>
        <w:t>2021年一般公共预算财政拨款支出2260.04万元，占本年支出合计的97.30%。与2020年相比，一般公共预算财政拨款支出增加1728.33万元，增长81.66%。主要变动原因是2020年政府性基金预算财政拨款1809.98万元，而2021年全部预算都在一般公共预算财政拨款</w:t>
      </w:r>
      <w:r>
        <w:rPr>
          <w:rFonts w:hint="eastAsia" w:eastAsia="仿宋"/>
          <w:sz w:val="32"/>
          <w:szCs w:val="32"/>
        </w:rPr>
        <w:t>中</w:t>
      </w:r>
      <w:r>
        <w:rPr>
          <w:rFonts w:eastAsia="仿宋"/>
          <w:sz w:val="32"/>
          <w:szCs w:val="32"/>
        </w:rPr>
        <w:t>。</w:t>
      </w:r>
    </w:p>
    <w:p>
      <w:pPr>
        <w:jc w:val="center"/>
      </w:pPr>
      <w:r>
        <w:drawing>
          <wp:inline distT="0" distB="0" distL="114300" distR="114300">
            <wp:extent cx="4572000" cy="30099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eastAsia="仿宋"/>
          <w:sz w:val="32"/>
          <w:szCs w:val="32"/>
        </w:rPr>
      </w:pPr>
      <w:r>
        <w:rPr>
          <w:rFonts w:eastAsia="仿宋"/>
          <w:sz w:val="32"/>
          <w:szCs w:val="32"/>
        </w:rPr>
        <w:t>（图5：一般公共预算财政拨款支出决算变动情况）</w:t>
      </w:r>
    </w:p>
    <w:p>
      <w:pPr>
        <w:spacing w:line="600" w:lineRule="exact"/>
        <w:ind w:firstLine="643" w:firstLineChars="200"/>
        <w:rPr>
          <w:rFonts w:eastAsia="仿宋"/>
          <w:b/>
          <w:sz w:val="32"/>
          <w:szCs w:val="32"/>
        </w:rPr>
      </w:pPr>
      <w:bookmarkStart w:id="36" w:name="_Toc15377211"/>
      <w:r>
        <w:rPr>
          <w:rFonts w:eastAsia="仿宋"/>
          <w:b/>
          <w:sz w:val="32"/>
          <w:szCs w:val="32"/>
        </w:rPr>
        <w:t>（二）一般公共预算财政拨款支出决算结构情况</w:t>
      </w:r>
      <w:bookmarkEnd w:id="36"/>
    </w:p>
    <w:p>
      <w:pPr>
        <w:spacing w:line="600" w:lineRule="exact"/>
        <w:ind w:firstLine="640"/>
        <w:rPr>
          <w:rFonts w:eastAsia="仿宋"/>
          <w:b/>
          <w:sz w:val="32"/>
          <w:szCs w:val="32"/>
        </w:rPr>
      </w:pPr>
      <w:r>
        <w:rPr>
          <w:rFonts w:eastAsia="仿宋"/>
          <w:sz w:val="32"/>
          <w:szCs w:val="32"/>
        </w:rPr>
        <w:t>2021年一般公共预算财政拨款支出2260.04万元，主要用于以下方面</w:t>
      </w:r>
      <w:r>
        <w:rPr>
          <w:rFonts w:hint="eastAsia" w:eastAsia="仿宋"/>
          <w:sz w:val="32"/>
          <w:szCs w:val="32"/>
        </w:rPr>
        <w:t>：</w:t>
      </w:r>
      <w:r>
        <w:rPr>
          <w:rFonts w:eastAsia="仿宋"/>
          <w:sz w:val="32"/>
          <w:szCs w:val="32"/>
        </w:rPr>
        <w:t>文化旅游体育与传媒（类）支出1906.40万元，占84.35%；社会保障和就业（类）支出350.84万元，占15.53%；住房保障（类）支出2.80万元，占0.12%。</w:t>
      </w:r>
    </w:p>
    <w:p>
      <w:pPr>
        <w:jc w:val="center"/>
        <w:rPr>
          <w:rFonts w:eastAsia="仿宋"/>
          <w:sz w:val="32"/>
          <w:szCs w:val="32"/>
        </w:rPr>
      </w:pPr>
    </w:p>
    <w:p>
      <w:pPr>
        <w:jc w:val="center"/>
      </w:pPr>
      <w: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eastAsia="仿宋"/>
          <w:sz w:val="32"/>
          <w:szCs w:val="32"/>
        </w:rPr>
      </w:pPr>
      <w:r>
        <w:rPr>
          <w:rFonts w:eastAsia="仿宋"/>
          <w:sz w:val="32"/>
          <w:szCs w:val="32"/>
        </w:rPr>
        <w:t>（图6：一般公共预算财政拨款支出决算结构）</w:t>
      </w:r>
    </w:p>
    <w:p>
      <w:pPr>
        <w:spacing w:line="600" w:lineRule="exact"/>
        <w:ind w:firstLine="643" w:firstLineChars="200"/>
        <w:rPr>
          <w:rFonts w:eastAsia="仿宋"/>
          <w:b/>
          <w:sz w:val="32"/>
          <w:szCs w:val="32"/>
        </w:rPr>
      </w:pPr>
      <w:bookmarkStart w:id="37" w:name="_Toc15377212"/>
      <w:r>
        <w:rPr>
          <w:rFonts w:eastAsia="仿宋"/>
          <w:b/>
          <w:sz w:val="32"/>
          <w:szCs w:val="32"/>
        </w:rPr>
        <w:t>（三）一般公共预算财政拨款支出决算具体情况</w:t>
      </w:r>
      <w:bookmarkEnd w:id="37"/>
    </w:p>
    <w:p>
      <w:pPr>
        <w:spacing w:line="600" w:lineRule="exact"/>
        <w:ind w:firstLine="643" w:firstLineChars="200"/>
        <w:rPr>
          <w:rFonts w:eastAsia="仿宋"/>
          <w:sz w:val="32"/>
          <w:szCs w:val="32"/>
        </w:rPr>
      </w:pPr>
      <w:bookmarkStart w:id="38" w:name="_Toc15378460"/>
      <w:bookmarkStart w:id="39" w:name="_Toc15377444"/>
      <w:bookmarkStart w:id="40" w:name="_Toc15377213"/>
      <w:r>
        <w:rPr>
          <w:rFonts w:eastAsia="仿宋"/>
          <w:b/>
          <w:sz w:val="32"/>
          <w:szCs w:val="32"/>
        </w:rPr>
        <w:t>2021年一般公共预算支出决算数为2260.04万元</w:t>
      </w:r>
      <w:r>
        <w:rPr>
          <w:rFonts w:eastAsia="仿宋"/>
          <w:sz w:val="32"/>
          <w:szCs w:val="32"/>
        </w:rPr>
        <w:t>，</w:t>
      </w:r>
      <w:r>
        <w:rPr>
          <w:rStyle w:val="14"/>
          <w:rFonts w:eastAsia="仿宋"/>
          <w:bCs/>
          <w:sz w:val="32"/>
          <w:szCs w:val="32"/>
        </w:rPr>
        <w:t>完成预算100%。其中：</w:t>
      </w:r>
      <w:bookmarkEnd w:id="38"/>
      <w:bookmarkEnd w:id="39"/>
      <w:bookmarkEnd w:id="40"/>
    </w:p>
    <w:p>
      <w:pPr>
        <w:spacing w:line="600" w:lineRule="exact"/>
        <w:ind w:firstLine="643" w:firstLineChars="200"/>
        <w:rPr>
          <w:rStyle w:val="14"/>
          <w:rFonts w:eastAsia="仿宋"/>
          <w:b w:val="0"/>
          <w:bCs/>
          <w:sz w:val="32"/>
          <w:szCs w:val="32"/>
        </w:rPr>
      </w:pPr>
      <w:r>
        <w:rPr>
          <w:rStyle w:val="14"/>
          <w:rFonts w:eastAsia="仿宋"/>
          <w:bCs/>
          <w:sz w:val="32"/>
          <w:szCs w:val="32"/>
        </w:rPr>
        <w:t>1.文化旅游体育与传媒（类）文化和旅游（款）艺术表演团体（项）</w:t>
      </w:r>
      <w:r>
        <w:rPr>
          <w:rStyle w:val="14"/>
          <w:rFonts w:hint="eastAsia" w:eastAsia="仿宋"/>
          <w:bCs/>
          <w:sz w:val="32"/>
          <w:szCs w:val="32"/>
        </w:rPr>
        <w:t>：</w:t>
      </w:r>
      <w:r>
        <w:rPr>
          <w:rStyle w:val="14"/>
          <w:rFonts w:eastAsia="仿宋"/>
          <w:b w:val="0"/>
          <w:bCs/>
          <w:sz w:val="32"/>
          <w:szCs w:val="32"/>
        </w:rPr>
        <w:t>支出决算为1884.53万元，完成预算100%。</w:t>
      </w:r>
    </w:p>
    <w:p>
      <w:pPr>
        <w:pStyle w:val="4"/>
        <w:ind w:firstLine="643" w:firstLineChars="200"/>
        <w:rPr>
          <w:rFonts w:ascii="Times New Roman" w:hAnsi="Times New Roman" w:cs="Times New Roman"/>
        </w:rPr>
      </w:pPr>
      <w:r>
        <w:rPr>
          <w:rStyle w:val="14"/>
          <w:rFonts w:ascii="Times New Roman" w:hAnsi="Times New Roman" w:eastAsia="仿宋" w:cs="Times New Roman"/>
          <w:b/>
        </w:rPr>
        <w:t>2.文化旅游体育与传媒（类）文化和旅游（款）</w:t>
      </w:r>
      <w:r>
        <w:rPr>
          <w:rStyle w:val="14"/>
          <w:rFonts w:ascii="Times New Roman" w:hAnsi="Times New Roman" w:eastAsia="仿宋" w:cs="Times New Roman"/>
          <w:b/>
          <w:bCs w:val="0"/>
        </w:rPr>
        <w:t>其他文化和旅游支出</w:t>
      </w:r>
      <w:r>
        <w:rPr>
          <w:rStyle w:val="14"/>
          <w:rFonts w:ascii="Times New Roman" w:hAnsi="Times New Roman" w:eastAsia="仿宋" w:cs="Times New Roman"/>
          <w:b w:val="0"/>
        </w:rPr>
        <w:t>，支出决算为3.87万元，完成预算100%。</w:t>
      </w:r>
    </w:p>
    <w:p>
      <w:pPr>
        <w:spacing w:line="600" w:lineRule="exact"/>
        <w:ind w:firstLine="643" w:firstLineChars="200"/>
        <w:rPr>
          <w:rStyle w:val="14"/>
          <w:rFonts w:eastAsia="仿宋"/>
          <w:b w:val="0"/>
          <w:bCs/>
          <w:sz w:val="32"/>
          <w:szCs w:val="32"/>
        </w:rPr>
      </w:pPr>
      <w:r>
        <w:rPr>
          <w:rStyle w:val="14"/>
          <w:rFonts w:eastAsia="仿宋"/>
          <w:bCs/>
          <w:sz w:val="32"/>
          <w:szCs w:val="32"/>
        </w:rPr>
        <w:t>3.文化旅游体育与传媒（类）其他文化旅游体育与传媒（款）其他文化旅游体育与传媒支出（项）</w:t>
      </w:r>
      <w:r>
        <w:rPr>
          <w:rStyle w:val="14"/>
          <w:rFonts w:hint="eastAsia" w:eastAsia="仿宋"/>
          <w:bCs/>
          <w:sz w:val="32"/>
          <w:szCs w:val="32"/>
        </w:rPr>
        <w:t>：</w:t>
      </w:r>
      <w:r>
        <w:rPr>
          <w:rStyle w:val="14"/>
          <w:rFonts w:eastAsia="仿宋"/>
          <w:b w:val="0"/>
          <w:bCs/>
          <w:sz w:val="32"/>
          <w:szCs w:val="32"/>
        </w:rPr>
        <w:t>支出决算为18万元，完成预算100%。</w:t>
      </w:r>
    </w:p>
    <w:p>
      <w:pPr>
        <w:spacing w:line="600" w:lineRule="exact"/>
        <w:ind w:firstLine="643" w:firstLineChars="200"/>
        <w:rPr>
          <w:rStyle w:val="14"/>
          <w:rFonts w:eastAsia="仿宋"/>
          <w:b w:val="0"/>
          <w:sz w:val="32"/>
          <w:szCs w:val="32"/>
        </w:rPr>
      </w:pPr>
      <w:r>
        <w:rPr>
          <w:rStyle w:val="14"/>
          <w:rFonts w:eastAsia="仿宋"/>
          <w:bCs/>
          <w:sz w:val="32"/>
          <w:szCs w:val="32"/>
        </w:rPr>
        <w:t>4.社会保障和就业（类）人力资源和社会保障管理事务（款）其他人力资源和社会保障管理事务支出（项）</w:t>
      </w:r>
      <w:r>
        <w:rPr>
          <w:rStyle w:val="14"/>
          <w:rFonts w:hint="eastAsia" w:eastAsia="仿宋"/>
          <w:bCs/>
          <w:sz w:val="32"/>
          <w:szCs w:val="32"/>
        </w:rPr>
        <w:t>：</w:t>
      </w:r>
      <w:r>
        <w:rPr>
          <w:rStyle w:val="14"/>
          <w:rFonts w:eastAsia="仿宋"/>
          <w:b w:val="0"/>
          <w:sz w:val="32"/>
          <w:szCs w:val="32"/>
        </w:rPr>
        <w:t>支出决算为20.40万元，完成预算100%。</w:t>
      </w:r>
    </w:p>
    <w:p>
      <w:pPr>
        <w:spacing w:line="600" w:lineRule="exact"/>
        <w:ind w:firstLine="643" w:firstLineChars="200"/>
        <w:rPr>
          <w:rStyle w:val="14"/>
          <w:rFonts w:eastAsia="仿宋"/>
          <w:b w:val="0"/>
          <w:bCs/>
          <w:sz w:val="32"/>
          <w:szCs w:val="32"/>
        </w:rPr>
      </w:pPr>
      <w:r>
        <w:rPr>
          <w:rStyle w:val="14"/>
          <w:rFonts w:eastAsia="仿宋"/>
          <w:bCs/>
          <w:sz w:val="32"/>
          <w:szCs w:val="32"/>
        </w:rPr>
        <w:t>5.社会保障和就业（类）行政事业单位养老支出（款） 事业单位离退休（项）</w:t>
      </w:r>
      <w:r>
        <w:rPr>
          <w:rStyle w:val="14"/>
          <w:rFonts w:hint="eastAsia" w:eastAsia="仿宋"/>
          <w:bCs/>
          <w:sz w:val="32"/>
          <w:szCs w:val="32"/>
        </w:rPr>
        <w:t>：</w:t>
      </w:r>
      <w:r>
        <w:rPr>
          <w:rStyle w:val="14"/>
          <w:rFonts w:eastAsia="仿宋"/>
          <w:b w:val="0"/>
          <w:bCs/>
          <w:sz w:val="32"/>
          <w:szCs w:val="32"/>
        </w:rPr>
        <w:t>支出决算为307.90万元，完成预算100%。</w:t>
      </w:r>
    </w:p>
    <w:p>
      <w:pPr>
        <w:spacing w:line="600" w:lineRule="exact"/>
        <w:ind w:firstLine="640" w:firstLineChars="200"/>
        <w:rPr>
          <w:rStyle w:val="14"/>
          <w:rFonts w:eastAsia="仿宋"/>
          <w:b w:val="0"/>
          <w:bCs/>
          <w:sz w:val="32"/>
          <w:szCs w:val="32"/>
        </w:rPr>
      </w:pPr>
      <w:r>
        <w:rPr>
          <w:rStyle w:val="14"/>
          <w:rFonts w:eastAsia="仿宋"/>
          <w:b w:val="0"/>
          <w:bCs/>
          <w:sz w:val="32"/>
          <w:szCs w:val="32"/>
        </w:rPr>
        <w:t>6.</w:t>
      </w:r>
      <w:r>
        <w:rPr>
          <w:rStyle w:val="14"/>
          <w:rFonts w:eastAsia="仿宋"/>
          <w:bCs/>
          <w:sz w:val="32"/>
          <w:szCs w:val="32"/>
        </w:rPr>
        <w:t>社会保障和就业（类）行政事业单位养老支出（款）</w:t>
      </w:r>
      <w:r>
        <w:rPr>
          <w:rStyle w:val="14"/>
          <w:rFonts w:eastAsia="仿宋"/>
          <w:sz w:val="32"/>
          <w:szCs w:val="32"/>
        </w:rPr>
        <w:t>机关事业单位基本养老保险缴费（项）</w:t>
      </w:r>
      <w:r>
        <w:rPr>
          <w:rStyle w:val="14"/>
          <w:rFonts w:eastAsia="仿宋"/>
          <w:b w:val="0"/>
          <w:bCs/>
          <w:sz w:val="32"/>
          <w:szCs w:val="32"/>
        </w:rPr>
        <w:t>：支出决算为5.10万元，完成预算100%。</w:t>
      </w:r>
    </w:p>
    <w:p>
      <w:pPr>
        <w:spacing w:line="600" w:lineRule="exact"/>
        <w:ind w:firstLine="640" w:firstLineChars="200"/>
        <w:rPr>
          <w:rStyle w:val="14"/>
          <w:rFonts w:eastAsia="仿宋"/>
          <w:b w:val="0"/>
          <w:bCs/>
          <w:sz w:val="32"/>
          <w:szCs w:val="32"/>
        </w:rPr>
      </w:pPr>
      <w:r>
        <w:rPr>
          <w:rStyle w:val="14"/>
          <w:rFonts w:eastAsia="仿宋"/>
          <w:b w:val="0"/>
          <w:bCs/>
          <w:sz w:val="32"/>
          <w:szCs w:val="32"/>
        </w:rPr>
        <w:t>7.</w:t>
      </w:r>
      <w:r>
        <w:rPr>
          <w:rStyle w:val="14"/>
          <w:rFonts w:eastAsia="仿宋"/>
          <w:bCs/>
          <w:sz w:val="32"/>
          <w:szCs w:val="32"/>
        </w:rPr>
        <w:t>社会保障和就业（类）行政事业单位养老支出（款）</w:t>
      </w:r>
      <w:r>
        <w:rPr>
          <w:rStyle w:val="14"/>
          <w:rFonts w:eastAsia="仿宋"/>
          <w:sz w:val="32"/>
          <w:szCs w:val="32"/>
        </w:rPr>
        <w:t>其他行政事业单位养老（项）</w:t>
      </w:r>
      <w:r>
        <w:rPr>
          <w:rStyle w:val="14"/>
          <w:rFonts w:eastAsia="仿宋"/>
          <w:b w:val="0"/>
          <w:bCs/>
          <w:sz w:val="32"/>
          <w:szCs w:val="32"/>
        </w:rPr>
        <w:t>：支出决算为0.33</w:t>
      </w:r>
      <w:r>
        <w:rPr>
          <w:rStyle w:val="14"/>
          <w:rFonts w:hint="eastAsia" w:eastAsia="仿宋"/>
          <w:b w:val="0"/>
          <w:bCs/>
          <w:sz w:val="32"/>
          <w:szCs w:val="32"/>
        </w:rPr>
        <w:t>万元</w:t>
      </w:r>
      <w:r>
        <w:rPr>
          <w:rStyle w:val="14"/>
          <w:rFonts w:eastAsia="仿宋"/>
          <w:b w:val="0"/>
          <w:bCs/>
          <w:sz w:val="32"/>
          <w:szCs w:val="32"/>
        </w:rPr>
        <w:t>，完成预算100%。</w:t>
      </w:r>
    </w:p>
    <w:p>
      <w:pPr>
        <w:spacing w:line="600" w:lineRule="exact"/>
        <w:ind w:firstLine="643" w:firstLineChars="200"/>
        <w:rPr>
          <w:rStyle w:val="14"/>
          <w:rFonts w:eastAsia="仿宋"/>
          <w:b w:val="0"/>
          <w:sz w:val="32"/>
          <w:szCs w:val="32"/>
        </w:rPr>
      </w:pPr>
      <w:r>
        <w:rPr>
          <w:rStyle w:val="14"/>
          <w:rFonts w:eastAsia="仿宋"/>
          <w:bCs/>
          <w:sz w:val="32"/>
          <w:szCs w:val="32"/>
        </w:rPr>
        <w:t>8.社会保障和就业（类）抚恤（款）死亡抚恤（项）</w:t>
      </w:r>
      <w:r>
        <w:rPr>
          <w:rStyle w:val="14"/>
          <w:rFonts w:hint="eastAsia" w:eastAsia="仿宋"/>
          <w:bCs/>
          <w:sz w:val="32"/>
          <w:szCs w:val="32"/>
        </w:rPr>
        <w:t>：</w:t>
      </w:r>
      <w:r>
        <w:rPr>
          <w:rStyle w:val="14"/>
          <w:rFonts w:eastAsia="仿宋"/>
          <w:b w:val="0"/>
          <w:sz w:val="32"/>
          <w:szCs w:val="32"/>
        </w:rPr>
        <w:t>支出决算为17.11万元，完成预算100%。</w:t>
      </w:r>
    </w:p>
    <w:p>
      <w:pPr>
        <w:spacing w:line="600" w:lineRule="exact"/>
        <w:ind w:firstLine="640" w:firstLineChars="200"/>
      </w:pPr>
      <w:r>
        <w:rPr>
          <w:rFonts w:eastAsia="仿宋_GB2312"/>
          <w:sz w:val="32"/>
          <w:szCs w:val="32"/>
        </w:rPr>
        <w:t>9.</w:t>
      </w:r>
      <w:r>
        <w:rPr>
          <w:rFonts w:eastAsia="仿宋_GB2312"/>
          <w:b/>
          <w:bCs/>
          <w:sz w:val="32"/>
          <w:szCs w:val="32"/>
        </w:rPr>
        <w:t>住房保障支出（类）住房改革支出（款）住房公积金（项）：</w:t>
      </w:r>
      <w:r>
        <w:rPr>
          <w:rFonts w:eastAsia="仿宋_GB2312"/>
          <w:sz w:val="32"/>
          <w:szCs w:val="32"/>
        </w:rPr>
        <w:t>支出决算数为2.80万元，</w:t>
      </w:r>
      <w:r>
        <w:rPr>
          <w:rStyle w:val="14"/>
          <w:rFonts w:eastAsia="仿宋"/>
          <w:b w:val="0"/>
          <w:bCs/>
          <w:sz w:val="32"/>
          <w:szCs w:val="32"/>
        </w:rPr>
        <w:t>完成预算100%。</w:t>
      </w:r>
    </w:p>
    <w:p>
      <w:pPr>
        <w:tabs>
          <w:tab w:val="right" w:pos="8306"/>
        </w:tabs>
        <w:spacing w:line="600" w:lineRule="exact"/>
        <w:ind w:firstLine="640"/>
        <w:outlineLvl w:val="1"/>
        <w:rPr>
          <w:rStyle w:val="25"/>
          <w:rFonts w:ascii="Times New Roman" w:hAnsi="Times New Roman" w:cs="Times New Roman"/>
        </w:rPr>
      </w:pPr>
      <w:bookmarkStart w:id="41" w:name="_Toc1297"/>
      <w:bookmarkStart w:id="42" w:name="_Toc15396608"/>
      <w:bookmarkStart w:id="43" w:name="_Toc15377214"/>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41"/>
      <w:bookmarkEnd w:id="42"/>
      <w:bookmarkEnd w:id="43"/>
      <w:r>
        <w:rPr>
          <w:rStyle w:val="25"/>
          <w:rFonts w:ascii="Times New Roman" w:hAnsi="Times New Roman" w:eastAsia="黑体" w:cs="Times New Roman"/>
          <w:b w:val="0"/>
        </w:rPr>
        <w:tab/>
      </w:r>
    </w:p>
    <w:p>
      <w:pPr>
        <w:spacing w:line="600" w:lineRule="exact"/>
        <w:ind w:firstLine="645"/>
        <w:rPr>
          <w:rFonts w:eastAsia="仿宋"/>
          <w:sz w:val="32"/>
          <w:szCs w:val="32"/>
        </w:rPr>
      </w:pPr>
      <w:r>
        <w:rPr>
          <w:rFonts w:eastAsia="仿宋"/>
          <w:sz w:val="32"/>
          <w:szCs w:val="32"/>
        </w:rPr>
        <w:t>2021年一般公共预算财政拨款基本支出2137.74万元，其中：</w:t>
      </w:r>
    </w:p>
    <w:p>
      <w:pPr>
        <w:spacing w:line="600" w:lineRule="exact"/>
        <w:ind w:firstLine="645"/>
        <w:rPr>
          <w:rFonts w:eastAsia="仿宋"/>
          <w:sz w:val="32"/>
          <w:szCs w:val="32"/>
        </w:rPr>
      </w:pPr>
      <w:r>
        <w:rPr>
          <w:rFonts w:eastAsia="仿宋"/>
          <w:sz w:val="32"/>
          <w:szCs w:val="32"/>
        </w:rPr>
        <w:t>人员经费2088.60万元，主要包括：基本工资850.87万元、津贴补贴82.80万元、绩效工资280.73万元、机关事业单位基本养老保险缴费5.10万元、职业年金缴费93.41、职工基本医疗保险缴费68.81万元、公务员医疗补助缴费22.49万元、其他社会保障缴费200.46万元、其他工资福利支出124.53万元、离休费20.73万元、抚恤金17.11万元、生活补助298.35万元、住房公积金2.80万元、其他对个人和家庭的补助支出20.4万元等。</w:t>
      </w:r>
    </w:p>
    <w:p>
      <w:pPr>
        <w:spacing w:line="600" w:lineRule="exact"/>
        <w:ind w:firstLine="645"/>
        <w:rPr>
          <w:rFonts w:eastAsia="仿宋"/>
          <w:sz w:val="32"/>
          <w:szCs w:val="32"/>
        </w:rPr>
      </w:pPr>
      <w:r>
        <w:rPr>
          <w:rFonts w:eastAsia="仿宋"/>
          <w:sz w:val="32"/>
          <w:szCs w:val="32"/>
        </w:rPr>
        <w:t>公用经费49.14万元，主要包括：办公费0.31万元、水费0.06</w:t>
      </w:r>
      <w:r>
        <w:rPr>
          <w:rFonts w:hint="eastAsia" w:eastAsia="仿宋"/>
          <w:sz w:val="32"/>
          <w:szCs w:val="32"/>
        </w:rPr>
        <w:t>万元</w:t>
      </w:r>
      <w:r>
        <w:rPr>
          <w:rFonts w:eastAsia="仿宋"/>
          <w:sz w:val="32"/>
          <w:szCs w:val="32"/>
        </w:rPr>
        <w:t>、电费0.15</w:t>
      </w:r>
      <w:r>
        <w:rPr>
          <w:rFonts w:hint="eastAsia" w:eastAsia="仿宋"/>
          <w:sz w:val="32"/>
          <w:szCs w:val="32"/>
        </w:rPr>
        <w:t>万元</w:t>
      </w:r>
      <w:r>
        <w:rPr>
          <w:rFonts w:eastAsia="仿宋"/>
          <w:sz w:val="32"/>
          <w:szCs w:val="32"/>
        </w:rPr>
        <w:t>、邮电费0.26</w:t>
      </w:r>
      <w:r>
        <w:rPr>
          <w:rFonts w:hint="eastAsia" w:eastAsia="仿宋"/>
          <w:sz w:val="32"/>
          <w:szCs w:val="32"/>
        </w:rPr>
        <w:t>万元</w:t>
      </w:r>
      <w:r>
        <w:rPr>
          <w:rFonts w:eastAsia="仿宋"/>
          <w:sz w:val="32"/>
          <w:szCs w:val="32"/>
        </w:rPr>
        <w:t>、差旅费4.76</w:t>
      </w:r>
      <w:r>
        <w:rPr>
          <w:rFonts w:hint="eastAsia" w:eastAsia="仿宋"/>
          <w:sz w:val="32"/>
          <w:szCs w:val="32"/>
        </w:rPr>
        <w:t>万元</w:t>
      </w:r>
      <w:r>
        <w:rPr>
          <w:rFonts w:eastAsia="仿宋"/>
          <w:sz w:val="32"/>
          <w:szCs w:val="32"/>
        </w:rPr>
        <w:t>、工会经费13.93</w:t>
      </w:r>
      <w:r>
        <w:rPr>
          <w:rFonts w:hint="eastAsia" w:eastAsia="仿宋"/>
          <w:sz w:val="32"/>
          <w:szCs w:val="32"/>
        </w:rPr>
        <w:t>万元</w:t>
      </w:r>
      <w:r>
        <w:rPr>
          <w:rFonts w:eastAsia="仿宋"/>
          <w:sz w:val="32"/>
          <w:szCs w:val="32"/>
        </w:rPr>
        <w:t>、福利费8.54</w:t>
      </w:r>
      <w:r>
        <w:rPr>
          <w:rFonts w:hint="eastAsia" w:eastAsia="仿宋"/>
          <w:sz w:val="32"/>
          <w:szCs w:val="32"/>
        </w:rPr>
        <w:t>万元</w:t>
      </w:r>
      <w:r>
        <w:rPr>
          <w:rFonts w:eastAsia="仿宋"/>
          <w:sz w:val="32"/>
          <w:szCs w:val="32"/>
        </w:rPr>
        <w:t>、公务用车运行维护费7.38</w:t>
      </w:r>
      <w:r>
        <w:rPr>
          <w:rFonts w:hint="eastAsia" w:eastAsia="仿宋"/>
          <w:sz w:val="32"/>
          <w:szCs w:val="32"/>
        </w:rPr>
        <w:t>万元</w:t>
      </w:r>
      <w:r>
        <w:rPr>
          <w:rFonts w:eastAsia="仿宋"/>
          <w:sz w:val="32"/>
          <w:szCs w:val="32"/>
        </w:rPr>
        <w:t>、其他商品和服务支出13.75</w:t>
      </w:r>
      <w:r>
        <w:rPr>
          <w:rFonts w:hint="eastAsia" w:eastAsia="仿宋"/>
          <w:sz w:val="32"/>
          <w:szCs w:val="32"/>
        </w:rPr>
        <w:t>万元</w:t>
      </w:r>
      <w:r>
        <w:rPr>
          <w:rFonts w:eastAsia="仿宋"/>
          <w:sz w:val="32"/>
          <w:szCs w:val="32"/>
        </w:rPr>
        <w:t>。</w:t>
      </w:r>
    </w:p>
    <w:p>
      <w:pPr>
        <w:spacing w:line="600" w:lineRule="exact"/>
        <w:ind w:firstLine="640" w:firstLineChars="200"/>
        <w:outlineLvl w:val="1"/>
        <w:rPr>
          <w:rStyle w:val="25"/>
          <w:rFonts w:ascii="Times New Roman" w:hAnsi="Times New Roman" w:eastAsia="黑体" w:cs="Times New Roman"/>
          <w:b w:val="0"/>
        </w:rPr>
      </w:pPr>
      <w:bookmarkStart w:id="44" w:name="_Toc3739"/>
      <w:bookmarkStart w:id="45" w:name="_Toc15396609"/>
      <w:bookmarkStart w:id="46" w:name="_Toc15377215"/>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44"/>
      <w:bookmarkEnd w:id="45"/>
      <w:bookmarkEnd w:id="46"/>
    </w:p>
    <w:p>
      <w:pPr>
        <w:spacing w:line="600" w:lineRule="exact"/>
        <w:ind w:firstLine="640"/>
        <w:rPr>
          <w:rFonts w:eastAsia="仿宋"/>
          <w:b/>
          <w:sz w:val="32"/>
          <w:szCs w:val="32"/>
        </w:rPr>
      </w:pPr>
      <w:bookmarkStart w:id="47" w:name="_Toc15377216"/>
      <w:r>
        <w:rPr>
          <w:rFonts w:eastAsia="仿宋"/>
          <w:b/>
          <w:sz w:val="32"/>
          <w:szCs w:val="32"/>
        </w:rPr>
        <w:t>（一）“三公”经费财政拨款支出决算总体情况说明</w:t>
      </w:r>
      <w:bookmarkEnd w:id="47"/>
    </w:p>
    <w:p>
      <w:pPr>
        <w:spacing w:line="600" w:lineRule="exact"/>
        <w:ind w:firstLine="640"/>
        <w:rPr>
          <w:rFonts w:eastAsia="仿宋"/>
          <w:sz w:val="32"/>
          <w:szCs w:val="32"/>
        </w:rPr>
      </w:pPr>
      <w:r>
        <w:rPr>
          <w:rFonts w:eastAsia="仿宋"/>
          <w:sz w:val="32"/>
          <w:szCs w:val="32"/>
        </w:rPr>
        <w:t>2021年“三公”经费财政拨款支出决算为12.33万元，完成预算100%。</w:t>
      </w:r>
    </w:p>
    <w:p>
      <w:pPr>
        <w:spacing w:line="600" w:lineRule="exact"/>
        <w:ind w:firstLine="640"/>
        <w:rPr>
          <w:rFonts w:eastAsia="仿宋"/>
          <w:b/>
          <w:sz w:val="32"/>
          <w:szCs w:val="32"/>
        </w:rPr>
      </w:pPr>
      <w:bookmarkStart w:id="48" w:name="_Toc15377217"/>
      <w:r>
        <w:rPr>
          <w:rFonts w:eastAsia="仿宋"/>
          <w:b/>
          <w:sz w:val="32"/>
          <w:szCs w:val="32"/>
        </w:rPr>
        <w:t>（二）“三公”经费财政拨款支出决算具体情况说明</w:t>
      </w:r>
      <w:bookmarkEnd w:id="48"/>
    </w:p>
    <w:p>
      <w:pPr>
        <w:spacing w:line="600" w:lineRule="exact"/>
        <w:ind w:firstLine="640"/>
        <w:rPr>
          <w:rFonts w:eastAsia="仿宋"/>
          <w:sz w:val="32"/>
          <w:szCs w:val="32"/>
        </w:rPr>
      </w:pPr>
      <w:r>
        <w:rPr>
          <w:rFonts w:eastAsia="仿宋"/>
          <w:sz w:val="32"/>
          <w:szCs w:val="32"/>
        </w:rPr>
        <w:t>2021年“三公”经费财政拨款支出决算中，因公出国（境）费支出决算0万元，占0%；公务用车购置及运行维护费支出决算11.85万元，占96.11%；公务接待费支出决算0.48万元，占3.89%。具体情况如下：</w:t>
      </w:r>
    </w:p>
    <w:p>
      <w:pPr>
        <w:jc w:val="center"/>
        <w:rPr>
          <w:rFonts w:eastAsia="仿宋"/>
          <w:sz w:val="32"/>
          <w:szCs w:val="32"/>
        </w:rPr>
      </w:pPr>
    </w:p>
    <w:p>
      <w:pPr>
        <w:pStyle w:val="4"/>
        <w:jc w:val="center"/>
        <w:rPr>
          <w:rFonts w:ascii="Times New Roman" w:hAnsi="Times New Roman" w:eastAsia="仿宋" w:cs="Times New Roman"/>
        </w:rPr>
      </w:pPr>
      <w:r>
        <w:rPr>
          <w:rFonts w:ascii="Times New Roman" w:hAnsi="Times New Roman" w:cs="Times New Roman"/>
        </w:rP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eastAsia="仿宋"/>
          <w:sz w:val="32"/>
          <w:szCs w:val="32"/>
        </w:rPr>
      </w:pPr>
      <w:r>
        <w:rPr>
          <w:rFonts w:eastAsia="仿宋"/>
          <w:sz w:val="32"/>
          <w:szCs w:val="32"/>
        </w:rPr>
        <w:t>（图7：“三公”经费财政拨款支出结构）</w:t>
      </w:r>
    </w:p>
    <w:p>
      <w:pPr>
        <w:spacing w:line="600" w:lineRule="exact"/>
        <w:ind w:firstLine="643" w:firstLineChars="200"/>
        <w:rPr>
          <w:rStyle w:val="14"/>
          <w:rFonts w:eastAsia="仿宋"/>
          <w:b w:val="0"/>
          <w:bCs/>
          <w:sz w:val="32"/>
          <w:szCs w:val="32"/>
        </w:rPr>
      </w:pPr>
      <w:r>
        <w:rPr>
          <w:rFonts w:eastAsia="仿宋_GB2312"/>
          <w:b/>
          <w:sz w:val="32"/>
          <w:szCs w:val="32"/>
        </w:rPr>
        <w:t>1.因公出国（境）经费支出</w:t>
      </w:r>
      <w:r>
        <w:rPr>
          <w:rFonts w:eastAsia="仿宋"/>
          <w:sz w:val="32"/>
          <w:szCs w:val="32"/>
        </w:rPr>
        <w:t>0万元，2021年</w:t>
      </w:r>
      <w:r>
        <w:rPr>
          <w:rFonts w:hint="eastAsia" w:eastAsia="仿宋"/>
          <w:sz w:val="32"/>
          <w:szCs w:val="32"/>
        </w:rPr>
        <w:t>度</w:t>
      </w:r>
      <w:r>
        <w:rPr>
          <w:rFonts w:eastAsia="仿宋"/>
          <w:sz w:val="32"/>
          <w:szCs w:val="32"/>
        </w:rPr>
        <w:t>未安排因公出国（</w:t>
      </w:r>
      <w:r>
        <w:rPr>
          <w:rFonts w:hint="eastAsia" w:eastAsia="仿宋"/>
          <w:sz w:val="32"/>
          <w:szCs w:val="32"/>
        </w:rPr>
        <w:t>境外</w:t>
      </w:r>
      <w:r>
        <w:rPr>
          <w:rFonts w:eastAsia="仿宋"/>
          <w:sz w:val="32"/>
          <w:szCs w:val="32"/>
        </w:rPr>
        <w:t>）经费预算，无相应支出，较2020年无变化。</w:t>
      </w:r>
    </w:p>
    <w:p>
      <w:pPr>
        <w:spacing w:line="600" w:lineRule="exact"/>
        <w:ind w:firstLine="643" w:firstLineChars="200"/>
        <w:rPr>
          <w:rFonts w:eastAsia="仿宋"/>
          <w:b/>
          <w:sz w:val="32"/>
          <w:szCs w:val="32"/>
        </w:rPr>
      </w:pPr>
      <w:r>
        <w:rPr>
          <w:rFonts w:eastAsia="仿宋_GB2312"/>
          <w:b/>
          <w:sz w:val="32"/>
          <w:szCs w:val="32"/>
        </w:rPr>
        <w:t>2.公务用车购置及运行维护费支出</w:t>
      </w:r>
      <w:r>
        <w:rPr>
          <w:rFonts w:eastAsia="仿宋"/>
          <w:sz w:val="32"/>
          <w:szCs w:val="32"/>
        </w:rPr>
        <w:t>11.85万元</w:t>
      </w:r>
      <w:r>
        <w:rPr>
          <w:rFonts w:hint="eastAsia" w:eastAsia="仿宋"/>
          <w:sz w:val="32"/>
          <w:szCs w:val="32"/>
        </w:rPr>
        <w:t>，</w:t>
      </w:r>
      <w:r>
        <w:rPr>
          <w:rStyle w:val="14"/>
          <w:rFonts w:eastAsia="仿宋"/>
          <w:b w:val="0"/>
          <w:bCs/>
          <w:sz w:val="32"/>
          <w:szCs w:val="32"/>
        </w:rPr>
        <w:t>完成预算96.11%。</w:t>
      </w:r>
      <w:r>
        <w:rPr>
          <w:rFonts w:eastAsia="仿宋"/>
          <w:sz w:val="32"/>
          <w:szCs w:val="32"/>
        </w:rPr>
        <w:t>公务用车购置及运行维护费支出决算比2020年减少23.83万元，下降66.79%。</w:t>
      </w:r>
      <w:r>
        <w:rPr>
          <w:rFonts w:eastAsia="仿宋"/>
          <w:color w:val="000000"/>
          <w:sz w:val="32"/>
          <w:szCs w:val="32"/>
        </w:rPr>
        <w:t>主要是因为2020年新购置了一辆公务用车</w:t>
      </w:r>
      <w:r>
        <w:rPr>
          <w:rFonts w:eastAsia="仿宋"/>
          <w:sz w:val="32"/>
          <w:szCs w:val="32"/>
        </w:rPr>
        <w:t>。</w:t>
      </w:r>
    </w:p>
    <w:p>
      <w:pPr>
        <w:spacing w:line="600" w:lineRule="exact"/>
        <w:ind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0万元。全年按规定更新购置公务用车0辆，其中：轿车0辆、金额0万元，越野车0辆、金额0万元，载客汽车0辆、金额0万元0。截至2021年12月底，单位共有公务用车7 辆，其中：轿车1辆、载客汽车4辆、货车2辆。</w:t>
      </w:r>
    </w:p>
    <w:p>
      <w:pPr>
        <w:spacing w:line="600" w:lineRule="exact"/>
        <w:ind w:firstLine="640"/>
        <w:rPr>
          <w:rFonts w:eastAsia="仿宋"/>
          <w:sz w:val="32"/>
          <w:szCs w:val="32"/>
        </w:rPr>
      </w:pPr>
      <w:r>
        <w:rPr>
          <w:rFonts w:eastAsia="仿宋_GB2312"/>
          <w:b/>
          <w:sz w:val="32"/>
          <w:szCs w:val="32"/>
        </w:rPr>
        <w:t>公务用车运行维护费支出</w:t>
      </w:r>
      <w:r>
        <w:rPr>
          <w:rFonts w:eastAsia="仿宋"/>
          <w:sz w:val="32"/>
          <w:szCs w:val="32"/>
        </w:rPr>
        <w:t>11.85万元。主要用于（保障单位正常运转及</w:t>
      </w:r>
      <w:r>
        <w:rPr>
          <w:rFonts w:eastAsia="仿宋"/>
          <w:color w:val="000000"/>
          <w:sz w:val="32"/>
          <w:szCs w:val="32"/>
        </w:rPr>
        <w:t>文化下乡、下基层、进厂矿、进学校等文化惠民演出活动，完成60场以上公益性演出市级目标任务。）</w:t>
      </w:r>
      <w:r>
        <w:rPr>
          <w:rFonts w:eastAsia="仿宋"/>
          <w:sz w:val="32"/>
          <w:szCs w:val="32"/>
        </w:rPr>
        <w:t>等所需的公务用车燃料费、维修费、过路过桥费、保险费等支出。</w:t>
      </w:r>
    </w:p>
    <w:p>
      <w:pPr>
        <w:spacing w:line="600" w:lineRule="exact"/>
        <w:ind w:firstLine="640"/>
        <w:rPr>
          <w:rFonts w:eastAsia="仿宋"/>
          <w:sz w:val="32"/>
          <w:szCs w:val="32"/>
        </w:rPr>
      </w:pPr>
      <w:r>
        <w:rPr>
          <w:rFonts w:eastAsia="仿宋_GB2312"/>
          <w:b/>
          <w:sz w:val="32"/>
          <w:szCs w:val="32"/>
        </w:rPr>
        <w:t>3.公务接待费支出</w:t>
      </w:r>
      <w:r>
        <w:rPr>
          <w:rFonts w:eastAsia="仿宋"/>
          <w:sz w:val="32"/>
          <w:szCs w:val="32"/>
        </w:rPr>
        <w:t>0.48万元，</w:t>
      </w:r>
      <w:r>
        <w:rPr>
          <w:rStyle w:val="14"/>
          <w:rFonts w:eastAsia="仿宋"/>
          <w:b w:val="0"/>
          <w:bCs/>
          <w:sz w:val="32"/>
          <w:szCs w:val="32"/>
        </w:rPr>
        <w:t>完成预算100%。</w:t>
      </w:r>
      <w:r>
        <w:rPr>
          <w:rFonts w:eastAsia="仿宋"/>
          <w:sz w:val="32"/>
          <w:szCs w:val="32"/>
        </w:rPr>
        <w:t>公务接待费支出决算比2020年增加0.04万元，增长8.33%。主要原因是接待人次增加。其中：</w:t>
      </w:r>
    </w:p>
    <w:p>
      <w:pPr>
        <w:spacing w:line="600" w:lineRule="exact"/>
        <w:ind w:firstLine="640"/>
        <w:rPr>
          <w:rFonts w:eastAsia="仿宋"/>
          <w:sz w:val="32"/>
          <w:szCs w:val="32"/>
        </w:rPr>
      </w:pPr>
      <w:r>
        <w:rPr>
          <w:rFonts w:eastAsia="仿宋"/>
          <w:b/>
          <w:sz w:val="32"/>
          <w:szCs w:val="32"/>
        </w:rPr>
        <w:t>国内公务接待支出</w:t>
      </w:r>
      <w:r>
        <w:rPr>
          <w:rFonts w:eastAsia="仿宋"/>
          <w:sz w:val="32"/>
          <w:szCs w:val="32"/>
        </w:rPr>
        <w:t>0.48万元，主要用于相关单位来我单位</w:t>
      </w:r>
      <w:r>
        <w:rPr>
          <w:rFonts w:hint="eastAsia" w:eastAsia="仿宋"/>
          <w:sz w:val="32"/>
          <w:szCs w:val="32"/>
        </w:rPr>
        <w:t>（</w:t>
      </w:r>
      <w:r>
        <w:rPr>
          <w:rFonts w:eastAsia="仿宋"/>
          <w:sz w:val="32"/>
          <w:szCs w:val="32"/>
        </w:rPr>
        <w:t>执行公务、开展业务活动开支的交通费、住宿费、用餐费等</w:t>
      </w:r>
      <w:r>
        <w:rPr>
          <w:rFonts w:hint="eastAsia" w:eastAsia="仿宋"/>
          <w:sz w:val="32"/>
          <w:szCs w:val="32"/>
        </w:rPr>
        <w:t>）</w:t>
      </w:r>
      <w:r>
        <w:rPr>
          <w:rFonts w:eastAsia="仿宋"/>
          <w:sz w:val="32"/>
          <w:szCs w:val="32"/>
        </w:rPr>
        <w:t>。国内公务接待4批次，20人次（不包括陪同人员），共计支出0.48万元，具体内容包括：接待外请导演指导京剧《浩然成昆》编排，1人次，接待费</w:t>
      </w:r>
      <w:r>
        <w:rPr>
          <w:rFonts w:hint="eastAsia" w:eastAsia="仿宋"/>
          <w:sz w:val="32"/>
          <w:szCs w:val="32"/>
        </w:rPr>
        <w:t>0.06万元</w:t>
      </w:r>
      <w:r>
        <w:rPr>
          <w:rFonts w:eastAsia="仿宋"/>
          <w:sz w:val="32"/>
          <w:szCs w:val="32"/>
        </w:rPr>
        <w:t>；接待三线题材电影《攀枝花红了》剧组创导人员6人次，接待费</w:t>
      </w:r>
      <w:r>
        <w:rPr>
          <w:rFonts w:hint="eastAsia" w:eastAsia="仿宋"/>
          <w:sz w:val="32"/>
          <w:szCs w:val="32"/>
        </w:rPr>
        <w:t>0.14万元</w:t>
      </w:r>
      <w:r>
        <w:rPr>
          <w:rFonts w:eastAsia="仿宋"/>
          <w:sz w:val="32"/>
          <w:szCs w:val="32"/>
        </w:rPr>
        <w:t>；接待四川音乐学院现代器乐来攀演出交流4人次，接待费</w:t>
      </w:r>
      <w:r>
        <w:rPr>
          <w:rFonts w:hint="eastAsia" w:eastAsia="仿宋"/>
          <w:sz w:val="32"/>
          <w:szCs w:val="32"/>
        </w:rPr>
        <w:t>0.12万</w:t>
      </w:r>
      <w:r>
        <w:rPr>
          <w:rFonts w:eastAsia="仿宋"/>
          <w:sz w:val="32"/>
          <w:szCs w:val="32"/>
        </w:rPr>
        <w:t>元；接待四川人民艺术剧院有限公司洽谈《记忆密码》创作及演出事宜9人次，接待费</w:t>
      </w:r>
      <w:r>
        <w:rPr>
          <w:rFonts w:hint="eastAsia" w:eastAsia="仿宋"/>
          <w:sz w:val="32"/>
          <w:szCs w:val="32"/>
        </w:rPr>
        <w:t>0.16万</w:t>
      </w:r>
      <w:r>
        <w:rPr>
          <w:rFonts w:eastAsia="仿宋"/>
          <w:sz w:val="32"/>
          <w:szCs w:val="32"/>
        </w:rPr>
        <w:t>元。</w:t>
      </w:r>
    </w:p>
    <w:p>
      <w:pPr>
        <w:spacing w:line="600" w:lineRule="exact"/>
        <w:ind w:firstLine="643" w:firstLineChars="200"/>
        <w:rPr>
          <w:rFonts w:eastAsia="仿宋"/>
          <w:sz w:val="32"/>
          <w:szCs w:val="32"/>
        </w:rPr>
      </w:pPr>
      <w:r>
        <w:rPr>
          <w:rFonts w:eastAsia="仿宋"/>
          <w:b/>
          <w:sz w:val="32"/>
          <w:szCs w:val="32"/>
        </w:rPr>
        <w:t>外事接待支出</w:t>
      </w:r>
      <w:r>
        <w:rPr>
          <w:rFonts w:eastAsia="仿宋"/>
          <w:sz w:val="32"/>
          <w:szCs w:val="32"/>
        </w:rPr>
        <w:t>0万元，较上年无变化。</w:t>
      </w:r>
    </w:p>
    <w:p>
      <w:pPr>
        <w:spacing w:line="600" w:lineRule="exact"/>
        <w:ind w:firstLine="640"/>
        <w:rPr>
          <w:rFonts w:eastAsia="仿宋"/>
          <w:sz w:val="32"/>
          <w:szCs w:val="32"/>
        </w:rPr>
      </w:pPr>
      <w:bookmarkStart w:id="49" w:name="_Toc15396610"/>
      <w:bookmarkStart w:id="50" w:name="_Toc15377218"/>
    </w:p>
    <w:p>
      <w:pPr>
        <w:spacing w:line="600" w:lineRule="exact"/>
        <w:ind w:firstLine="640"/>
        <w:outlineLvl w:val="1"/>
        <w:rPr>
          <w:rStyle w:val="25"/>
          <w:rFonts w:ascii="Times New Roman" w:hAnsi="Times New Roman" w:eastAsia="黑体" w:cs="Times New Roman"/>
        </w:rPr>
      </w:pPr>
      <w:bookmarkStart w:id="51" w:name="_Toc7483"/>
      <w:r>
        <w:rPr>
          <w:rFonts w:eastAsia="黑体"/>
          <w:sz w:val="32"/>
          <w:szCs w:val="32"/>
        </w:rPr>
        <w:t>八、</w:t>
      </w:r>
      <w:r>
        <w:rPr>
          <w:rStyle w:val="25"/>
          <w:rFonts w:ascii="Times New Roman" w:hAnsi="Times New Roman" w:eastAsia="黑体" w:cs="Times New Roman"/>
          <w:b w:val="0"/>
        </w:rPr>
        <w:t>政府性基金预算支出决算情况说明</w:t>
      </w:r>
      <w:bookmarkEnd w:id="49"/>
      <w:bookmarkEnd w:id="50"/>
      <w:bookmarkEnd w:id="51"/>
    </w:p>
    <w:p>
      <w:pPr>
        <w:spacing w:line="600" w:lineRule="exact"/>
        <w:ind w:firstLine="640"/>
        <w:rPr>
          <w:rFonts w:eastAsia="仿宋"/>
          <w:sz w:val="32"/>
          <w:szCs w:val="32"/>
        </w:rPr>
      </w:pPr>
      <w:r>
        <w:rPr>
          <w:rFonts w:eastAsia="仿宋"/>
          <w:sz w:val="32"/>
          <w:szCs w:val="32"/>
        </w:rPr>
        <w:t>攀枝花市文化艺术中心2021年无政府性基金预算财政拨款支出。</w:t>
      </w:r>
    </w:p>
    <w:p>
      <w:pPr>
        <w:spacing w:line="600" w:lineRule="exact"/>
        <w:ind w:firstLine="640"/>
        <w:rPr>
          <w:rFonts w:eastAsia="仿宋_GB2312"/>
          <w:sz w:val="32"/>
          <w:szCs w:val="32"/>
        </w:rPr>
      </w:pPr>
    </w:p>
    <w:p>
      <w:pPr>
        <w:spacing w:line="600" w:lineRule="exact"/>
        <w:ind w:firstLine="640" w:firstLineChars="200"/>
        <w:outlineLvl w:val="1"/>
        <w:rPr>
          <w:rStyle w:val="25"/>
          <w:rFonts w:ascii="Times New Roman" w:hAnsi="Times New Roman" w:eastAsia="黑体" w:cs="Times New Roman"/>
          <w:b w:val="0"/>
        </w:rPr>
      </w:pPr>
      <w:bookmarkStart w:id="52" w:name="_Toc15396611"/>
      <w:bookmarkStart w:id="53" w:name="_Toc15377219"/>
      <w:bookmarkStart w:id="54" w:name="_Toc3094"/>
      <w:r>
        <w:rPr>
          <w:rStyle w:val="25"/>
          <w:rFonts w:ascii="Times New Roman" w:hAnsi="Times New Roman" w:eastAsia="黑体" w:cs="Times New Roman"/>
          <w:b w:val="0"/>
        </w:rPr>
        <w:t>九、国有资本经营预算支出决算情况说明</w:t>
      </w:r>
      <w:bookmarkEnd w:id="52"/>
      <w:bookmarkEnd w:id="53"/>
      <w:bookmarkEnd w:id="54"/>
    </w:p>
    <w:p>
      <w:pPr>
        <w:spacing w:line="600" w:lineRule="exact"/>
        <w:ind w:firstLine="640"/>
        <w:rPr>
          <w:rFonts w:eastAsia="仿宋"/>
          <w:sz w:val="32"/>
          <w:szCs w:val="32"/>
        </w:rPr>
      </w:pPr>
      <w:r>
        <w:rPr>
          <w:rFonts w:eastAsia="仿宋"/>
          <w:sz w:val="32"/>
          <w:szCs w:val="32"/>
        </w:rPr>
        <w:t>攀枝花市文化艺术中心2021年无国有资本经营预算财政拨款支出。</w:t>
      </w:r>
    </w:p>
    <w:p>
      <w:pPr>
        <w:spacing w:line="580" w:lineRule="exact"/>
        <w:jc w:val="center"/>
        <w:rPr>
          <w:rFonts w:eastAsia="方正小标宋简体"/>
          <w:sz w:val="44"/>
          <w:szCs w:val="44"/>
        </w:rPr>
      </w:pPr>
    </w:p>
    <w:p>
      <w:pPr>
        <w:spacing w:line="600" w:lineRule="exact"/>
        <w:ind w:firstLine="640" w:firstLineChars="200"/>
        <w:outlineLvl w:val="1"/>
        <w:rPr>
          <w:rStyle w:val="25"/>
          <w:rFonts w:ascii="Times New Roman" w:hAnsi="Times New Roman" w:eastAsia="黑体" w:cs="Times New Roman"/>
          <w:b w:val="0"/>
        </w:rPr>
      </w:pPr>
      <w:bookmarkStart w:id="55" w:name="_Toc23042"/>
      <w:bookmarkStart w:id="56" w:name="_Toc15377221"/>
      <w:bookmarkStart w:id="57" w:name="_Toc15396612"/>
      <w:r>
        <w:rPr>
          <w:rStyle w:val="25"/>
          <w:rFonts w:ascii="Times New Roman" w:hAnsi="Times New Roman" w:eastAsia="黑体" w:cs="Times New Roman"/>
          <w:b w:val="0"/>
        </w:rPr>
        <w:t>十、其他重要事项的情况说明</w:t>
      </w:r>
      <w:bookmarkEnd w:id="55"/>
      <w:bookmarkEnd w:id="56"/>
      <w:bookmarkEnd w:id="57"/>
    </w:p>
    <w:p>
      <w:pPr>
        <w:spacing w:line="600" w:lineRule="exact"/>
        <w:ind w:firstLine="643" w:firstLineChars="200"/>
        <w:rPr>
          <w:rFonts w:eastAsia="仿宋"/>
          <w:sz w:val="32"/>
          <w:szCs w:val="32"/>
        </w:rPr>
      </w:pPr>
      <w:bookmarkStart w:id="58" w:name="_Toc15377222"/>
      <w:r>
        <w:rPr>
          <w:rFonts w:eastAsia="仿宋"/>
          <w:b/>
          <w:sz w:val="32"/>
          <w:szCs w:val="32"/>
        </w:rPr>
        <w:t>（一）机关运行经费支出情况</w:t>
      </w:r>
      <w:bookmarkEnd w:id="58"/>
    </w:p>
    <w:p>
      <w:pPr>
        <w:spacing w:line="600" w:lineRule="exact"/>
        <w:ind w:firstLine="640" w:firstLineChars="200"/>
        <w:rPr>
          <w:rFonts w:eastAsia="仿宋"/>
          <w:sz w:val="32"/>
          <w:szCs w:val="32"/>
        </w:rPr>
      </w:pPr>
      <w:r>
        <w:rPr>
          <w:rFonts w:eastAsia="仿宋"/>
          <w:sz w:val="32"/>
          <w:szCs w:val="32"/>
        </w:rPr>
        <w:t>2021年，市文化艺术中心系差额拨款事业单位，无机关运行经费。</w:t>
      </w:r>
    </w:p>
    <w:p>
      <w:pPr>
        <w:autoSpaceDE w:val="0"/>
        <w:autoSpaceDN w:val="0"/>
        <w:adjustRightInd w:val="0"/>
        <w:spacing w:line="600" w:lineRule="exact"/>
        <w:ind w:firstLine="643" w:firstLineChars="200"/>
        <w:jc w:val="left"/>
        <w:rPr>
          <w:rFonts w:eastAsia="仿宋"/>
          <w:b/>
          <w:sz w:val="32"/>
          <w:szCs w:val="32"/>
        </w:rPr>
      </w:pPr>
      <w:bookmarkStart w:id="59" w:name="_Toc15377223"/>
      <w:r>
        <w:rPr>
          <w:rFonts w:eastAsia="仿宋"/>
          <w:b/>
          <w:sz w:val="32"/>
          <w:szCs w:val="32"/>
        </w:rPr>
        <w:t>（二）政府采购支出情况</w:t>
      </w:r>
      <w:bookmarkEnd w:id="59"/>
    </w:p>
    <w:p>
      <w:pPr>
        <w:spacing w:line="600" w:lineRule="exact"/>
        <w:ind w:firstLine="640" w:firstLineChars="200"/>
        <w:rPr>
          <w:rFonts w:eastAsia="仿宋"/>
          <w:sz w:val="32"/>
          <w:szCs w:val="32"/>
        </w:rPr>
      </w:pPr>
      <w:r>
        <w:rPr>
          <w:rFonts w:eastAsia="仿宋"/>
          <w:sz w:val="32"/>
          <w:szCs w:val="32"/>
        </w:rPr>
        <w:t>2021年，攀枝花市文化艺术中心政府采购支出总额2.49万元，其中：政府采购货物支出2.49万元。主要用于采购办公用品空调2台、台式计算机3台。授予中小企业合同金额2.49万元，占政府采购支出总额的100%，其中：授予小微企业合同金额2.49万元，占政府采购支出总额的100%。</w:t>
      </w:r>
    </w:p>
    <w:p>
      <w:pPr>
        <w:autoSpaceDE w:val="0"/>
        <w:autoSpaceDN w:val="0"/>
        <w:adjustRightInd w:val="0"/>
        <w:spacing w:line="600" w:lineRule="exact"/>
        <w:ind w:firstLine="643" w:firstLineChars="200"/>
        <w:jc w:val="left"/>
        <w:rPr>
          <w:rFonts w:eastAsia="仿宋"/>
          <w:b/>
          <w:sz w:val="32"/>
          <w:szCs w:val="32"/>
        </w:rPr>
      </w:pPr>
      <w:bookmarkStart w:id="60" w:name="_Toc15377224"/>
      <w:r>
        <w:rPr>
          <w:rFonts w:eastAsia="仿宋"/>
          <w:b/>
          <w:sz w:val="32"/>
          <w:szCs w:val="32"/>
        </w:rPr>
        <w:t>（三）国有资产占有使用情况</w:t>
      </w:r>
      <w:bookmarkEnd w:id="60"/>
    </w:p>
    <w:p>
      <w:pPr>
        <w:autoSpaceDE w:val="0"/>
        <w:autoSpaceDN w:val="0"/>
        <w:adjustRightInd w:val="0"/>
        <w:spacing w:line="600" w:lineRule="exact"/>
        <w:ind w:firstLine="640" w:firstLineChars="200"/>
        <w:jc w:val="left"/>
        <w:rPr>
          <w:rFonts w:eastAsia="仿宋"/>
          <w:sz w:val="32"/>
          <w:szCs w:val="32"/>
        </w:rPr>
      </w:pPr>
      <w:r>
        <w:rPr>
          <w:rFonts w:eastAsia="仿宋"/>
          <w:sz w:val="32"/>
          <w:szCs w:val="32"/>
        </w:rPr>
        <w:t>截至2021年12月31日，攀枝花市文化艺术中心共有车辆7辆，其中：主要领导干部用车0辆、机要通信用车0辆、应急保障用车0辆、其他用车7辆，其他用车主要是用于保障单位正常运转及</w:t>
      </w:r>
      <w:r>
        <w:rPr>
          <w:rFonts w:eastAsia="仿宋"/>
          <w:color w:val="000000"/>
          <w:sz w:val="32"/>
          <w:szCs w:val="32"/>
        </w:rPr>
        <w:t>文化下乡、下基层、进厂矿、进学校等文化惠民演出活动，完成60场以上公益性演出市级目标任务。</w:t>
      </w:r>
      <w:r>
        <w:rPr>
          <w:rFonts w:eastAsia="仿宋"/>
          <w:sz w:val="32"/>
          <w:szCs w:val="32"/>
        </w:rPr>
        <w:t>单价50万元以上通用设备0台（套），单价100万元以上专用设备0台（套）。</w:t>
      </w:r>
    </w:p>
    <w:p>
      <w:pPr>
        <w:autoSpaceDE w:val="0"/>
        <w:autoSpaceDN w:val="0"/>
        <w:adjustRightInd w:val="0"/>
        <w:spacing w:line="600" w:lineRule="exact"/>
        <w:ind w:firstLine="643" w:firstLineChars="200"/>
        <w:jc w:val="left"/>
        <w:rPr>
          <w:rFonts w:eastAsia="仿宋"/>
          <w:b/>
          <w:sz w:val="32"/>
          <w:szCs w:val="32"/>
        </w:rPr>
      </w:pPr>
      <w:r>
        <w:rPr>
          <w:rFonts w:eastAsia="仿宋"/>
          <w:b/>
          <w:sz w:val="32"/>
          <w:szCs w:val="32"/>
        </w:rPr>
        <w:t>（四）预算绩效管理情况</w:t>
      </w:r>
    </w:p>
    <w:p>
      <w:pPr>
        <w:spacing w:line="580" w:lineRule="exact"/>
        <w:ind w:firstLine="640" w:firstLineChars="200"/>
        <w:rPr>
          <w:rFonts w:eastAsia="仿宋"/>
          <w:sz w:val="32"/>
          <w:szCs w:val="32"/>
        </w:rPr>
      </w:pPr>
      <w:r>
        <w:rPr>
          <w:rFonts w:eastAsia="仿宋"/>
          <w:sz w:val="32"/>
          <w:szCs w:val="32"/>
        </w:rPr>
        <w:t>根据预算绩效管理要求，本单位在2021年度预算编制阶段，</w:t>
      </w:r>
      <w:r>
        <w:rPr>
          <w:rFonts w:eastAsia="仿宋"/>
          <w:color w:val="000000"/>
          <w:sz w:val="32"/>
          <w:szCs w:val="32"/>
        </w:rPr>
        <w:t>组织对</w:t>
      </w:r>
      <w:r>
        <w:rPr>
          <w:rStyle w:val="14"/>
          <w:rFonts w:eastAsia="仿宋"/>
          <w:b w:val="0"/>
          <w:bCs/>
          <w:color w:val="000000"/>
          <w:sz w:val="32"/>
          <w:szCs w:val="32"/>
        </w:rPr>
        <w:t>市文化艺术中心</w:t>
      </w:r>
      <w:r>
        <w:rPr>
          <w:rFonts w:eastAsia="仿宋"/>
          <w:color w:val="000000"/>
          <w:sz w:val="32"/>
          <w:szCs w:val="32"/>
        </w:rPr>
        <w:t>专项资金项目开展了预算事前绩效评估，对年初部门预算确定的1个项目编制了绩效目标，预算执行过程中，对这个项目开展了绩效监控。本单位按要求对2021年部门整体支出开展绩效自评，从评价情况来看接受评价项目的申报、立项程序完整，预算执行及时，绩效目标</w:t>
      </w:r>
      <w:r>
        <w:rPr>
          <w:rFonts w:hint="eastAsia" w:eastAsia="仿宋"/>
          <w:color w:val="000000"/>
          <w:sz w:val="32"/>
          <w:szCs w:val="32"/>
        </w:rPr>
        <w:t>得到较好的</w:t>
      </w:r>
      <w:r>
        <w:rPr>
          <w:rFonts w:eastAsia="仿宋"/>
          <w:color w:val="000000"/>
          <w:sz w:val="32"/>
          <w:szCs w:val="32"/>
        </w:rPr>
        <w:t>实现，绩效水平得到稳步提升。</w:t>
      </w:r>
      <w:r>
        <w:rPr>
          <w:rFonts w:eastAsia="仿宋"/>
          <w:sz w:val="32"/>
          <w:szCs w:val="32"/>
        </w:rPr>
        <w:t>预算执行过程中，选取4个项目开展绩效监控，年终执行完毕后，对4个项目开展了绩效自评，2021年特定目标类部门预算项目绩效目标自评表见附件（第四部分）。</w:t>
      </w:r>
    </w:p>
    <w:p>
      <w:pPr>
        <w:pStyle w:val="2"/>
        <w:spacing w:before="93"/>
        <w:rPr>
          <w:rFonts w:ascii="Times New Roman"/>
          <w:highlight w:val="yellow"/>
        </w:rPr>
      </w:pPr>
    </w:p>
    <w:p>
      <w:pPr>
        <w:widowControl/>
        <w:jc w:val="left"/>
        <w:rPr>
          <w:rFonts w:eastAsia="仿宋_GB2312"/>
          <w:b/>
          <w:sz w:val="32"/>
          <w:szCs w:val="32"/>
        </w:rPr>
      </w:pPr>
      <w:r>
        <w:rPr>
          <w:rFonts w:eastAsia="仿宋_GB2312"/>
          <w:b/>
          <w:sz w:val="32"/>
          <w:szCs w:val="32"/>
        </w:rPr>
        <w:br w:type="page"/>
      </w:r>
    </w:p>
    <w:p>
      <w:pPr>
        <w:numPr>
          <w:ilvl w:val="0"/>
          <w:numId w:val="3"/>
        </w:numPr>
        <w:spacing w:line="600" w:lineRule="exact"/>
        <w:ind w:firstLine="660" w:firstLineChars="150"/>
        <w:jc w:val="center"/>
        <w:outlineLvl w:val="0"/>
        <w:rPr>
          <w:rStyle w:val="24"/>
          <w:rFonts w:eastAsia="黑体"/>
          <w:b w:val="0"/>
        </w:rPr>
      </w:pPr>
      <w:bookmarkStart w:id="61" w:name="_Toc8369"/>
      <w:bookmarkStart w:id="62" w:name="_Toc15377225"/>
      <w:bookmarkStart w:id="63" w:name="_Toc15396613"/>
      <w:r>
        <w:rPr>
          <w:rFonts w:eastAsia="黑体"/>
          <w:sz w:val="44"/>
          <w:szCs w:val="44"/>
        </w:rPr>
        <w:t>名</w:t>
      </w:r>
      <w:r>
        <w:rPr>
          <w:rStyle w:val="24"/>
          <w:rFonts w:eastAsia="黑体"/>
          <w:b w:val="0"/>
        </w:rPr>
        <w:t>词解释</w:t>
      </w:r>
      <w:bookmarkEnd w:id="61"/>
      <w:bookmarkEnd w:id="62"/>
      <w:bookmarkEnd w:id="63"/>
    </w:p>
    <w:p>
      <w:pPr>
        <w:spacing w:line="600" w:lineRule="exact"/>
        <w:jc w:val="left"/>
        <w:rPr>
          <w:b/>
          <w:sz w:val="44"/>
          <w:szCs w:val="44"/>
        </w:rPr>
      </w:pPr>
    </w:p>
    <w:p>
      <w:pPr>
        <w:pStyle w:val="22"/>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1.财政拨款收入：指单位从同级财政部门取得的财政预算资金。</w:t>
      </w:r>
    </w:p>
    <w:p>
      <w:pPr>
        <w:pStyle w:val="22"/>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2.其他收入：指单位取得的除上述收入以外的各项收入。主要是</w:t>
      </w:r>
      <w:r>
        <w:rPr>
          <w:rFonts w:ascii="Times New Roman" w:hAnsi="Times New Roman" w:cs="Times New Roman"/>
          <w:sz w:val="32"/>
          <w:szCs w:val="32"/>
        </w:rPr>
        <w:t>利息收入、非本级拨款等。</w:t>
      </w:r>
    </w:p>
    <w:p>
      <w:pPr>
        <w:ind w:firstLine="640" w:firstLineChars="200"/>
        <w:rPr>
          <w:rFonts w:eastAsia="仿宋"/>
          <w:sz w:val="32"/>
          <w:szCs w:val="32"/>
        </w:rPr>
      </w:pPr>
      <w:r>
        <w:rPr>
          <w:rFonts w:eastAsia="仿宋"/>
          <w:sz w:val="32"/>
          <w:szCs w:val="32"/>
        </w:rPr>
        <w:t>3.文化体育与传媒（类）文化和旅游（款）艺术表演团体（项）：指</w:t>
      </w:r>
      <w:r>
        <w:rPr>
          <w:rFonts w:hint="eastAsia" w:eastAsia="仿宋"/>
          <w:sz w:val="32"/>
          <w:szCs w:val="32"/>
        </w:rPr>
        <w:t>反映</w:t>
      </w:r>
      <w:r>
        <w:rPr>
          <w:rFonts w:eastAsia="仿宋"/>
          <w:sz w:val="32"/>
          <w:szCs w:val="32"/>
        </w:rPr>
        <w:t>文化及其他部门主管的剧院（团）等艺术表演团体的支出。</w:t>
      </w:r>
    </w:p>
    <w:p>
      <w:pPr>
        <w:ind w:firstLine="640" w:firstLineChars="200"/>
        <w:rPr>
          <w:rFonts w:eastAsia="仿宋"/>
          <w:sz w:val="32"/>
          <w:szCs w:val="32"/>
        </w:rPr>
      </w:pPr>
      <w:r>
        <w:rPr>
          <w:rFonts w:eastAsia="仿宋"/>
          <w:sz w:val="32"/>
          <w:szCs w:val="32"/>
        </w:rPr>
        <w:t>4.文化旅游体育与传媒支出（类）其他文化旅游体育与传媒支出（款）宣传文化发展专项支出（项）：指按照国家有关政策支持宣传文化单位发展的专项支出。</w:t>
      </w:r>
    </w:p>
    <w:p>
      <w:pPr>
        <w:ind w:firstLine="640" w:firstLineChars="200"/>
        <w:rPr>
          <w:rFonts w:eastAsia="仿宋"/>
          <w:sz w:val="32"/>
          <w:szCs w:val="32"/>
        </w:rPr>
      </w:pPr>
      <w:r>
        <w:rPr>
          <w:rFonts w:eastAsia="仿宋"/>
          <w:sz w:val="32"/>
          <w:szCs w:val="32"/>
        </w:rPr>
        <w:t>5.</w:t>
      </w:r>
      <w:r>
        <w:rPr>
          <w:rStyle w:val="14"/>
          <w:rFonts w:eastAsia="仿宋"/>
          <w:b w:val="0"/>
          <w:sz w:val="32"/>
          <w:szCs w:val="32"/>
        </w:rPr>
        <w:t>文化旅游体育与传媒（类）其他文化旅游体育与传媒（款）其他文化旅游体育与传媒支出（项）</w:t>
      </w:r>
      <w:r>
        <w:rPr>
          <w:rStyle w:val="14"/>
          <w:rFonts w:hint="eastAsia" w:eastAsia="仿宋"/>
          <w:b w:val="0"/>
          <w:sz w:val="32"/>
          <w:szCs w:val="32"/>
        </w:rPr>
        <w:t>：</w:t>
      </w:r>
      <w:r>
        <w:rPr>
          <w:rStyle w:val="14"/>
          <w:rFonts w:eastAsia="仿宋"/>
          <w:b w:val="0"/>
          <w:sz w:val="32"/>
          <w:szCs w:val="32"/>
        </w:rPr>
        <w:t>指</w:t>
      </w:r>
      <w:r>
        <w:rPr>
          <w:rStyle w:val="14"/>
          <w:rFonts w:hint="eastAsia" w:eastAsia="仿宋"/>
          <w:b w:val="0"/>
          <w:sz w:val="32"/>
          <w:szCs w:val="32"/>
        </w:rPr>
        <w:t>反映</w:t>
      </w:r>
      <w:r>
        <w:rPr>
          <w:rStyle w:val="14"/>
          <w:rFonts w:eastAsia="仿宋"/>
          <w:b w:val="0"/>
          <w:sz w:val="32"/>
          <w:szCs w:val="32"/>
        </w:rPr>
        <w:t>除上述项目以外其他用于文化旅游体育与传媒方面的支出。</w:t>
      </w:r>
    </w:p>
    <w:p>
      <w:pPr>
        <w:spacing w:line="580" w:lineRule="exact"/>
        <w:ind w:firstLine="640" w:firstLineChars="200"/>
        <w:rPr>
          <w:rFonts w:eastAsia="仿宋"/>
          <w:sz w:val="32"/>
          <w:szCs w:val="32"/>
        </w:rPr>
      </w:pPr>
      <w:r>
        <w:rPr>
          <w:rStyle w:val="14"/>
          <w:rFonts w:eastAsia="仿宋"/>
          <w:b w:val="0"/>
          <w:bCs/>
          <w:color w:val="000000"/>
          <w:sz w:val="32"/>
          <w:szCs w:val="32"/>
        </w:rPr>
        <w:t>6</w:t>
      </w:r>
      <w:r>
        <w:rPr>
          <w:rFonts w:eastAsia="仿宋"/>
          <w:bCs/>
          <w:sz w:val="32"/>
          <w:szCs w:val="32"/>
        </w:rPr>
        <w:t>．</w:t>
      </w:r>
      <w:r>
        <w:rPr>
          <w:rFonts w:eastAsia="仿宋"/>
          <w:sz w:val="32"/>
          <w:szCs w:val="32"/>
        </w:rPr>
        <w:t>社会保障和就业（类）行政事业单位养老支出（款）事业单位离退休（项）：指事业单位开支的离退休经费。</w:t>
      </w:r>
    </w:p>
    <w:p>
      <w:pPr>
        <w:spacing w:line="580" w:lineRule="exact"/>
        <w:ind w:firstLine="640" w:firstLineChars="200"/>
        <w:rPr>
          <w:rFonts w:eastAsia="仿宋"/>
          <w:sz w:val="32"/>
          <w:szCs w:val="32"/>
        </w:rPr>
      </w:pPr>
      <w:r>
        <w:rPr>
          <w:rFonts w:eastAsia="仿宋"/>
          <w:sz w:val="32"/>
          <w:szCs w:val="32"/>
        </w:rPr>
        <w:t>7.社会保障和就业（类）行政事业单位养老支出（款）机关事业单位基本养老保险缴费支出（项）：指机关事业单位实施养老保险制度由单位缴纳的基本养老保险支出。</w:t>
      </w:r>
    </w:p>
    <w:p>
      <w:pPr>
        <w:spacing w:line="580" w:lineRule="exact"/>
        <w:ind w:firstLine="640" w:firstLineChars="200"/>
        <w:rPr>
          <w:rFonts w:eastAsia="仿宋"/>
          <w:sz w:val="32"/>
          <w:szCs w:val="32"/>
        </w:rPr>
      </w:pPr>
      <w:r>
        <w:rPr>
          <w:rFonts w:eastAsia="仿宋"/>
          <w:sz w:val="32"/>
          <w:szCs w:val="32"/>
        </w:rPr>
        <w:t>8.社会保障和就业（类）行政事业单位养老支出（款）</w:t>
      </w:r>
      <w:r>
        <w:rPr>
          <w:rStyle w:val="14"/>
          <w:rFonts w:eastAsia="仿宋"/>
          <w:b w:val="0"/>
          <w:sz w:val="32"/>
          <w:szCs w:val="32"/>
        </w:rPr>
        <w:t>其他行政事业单位养老支出</w:t>
      </w:r>
      <w:r>
        <w:rPr>
          <w:rFonts w:eastAsia="仿宋"/>
          <w:sz w:val="32"/>
          <w:szCs w:val="32"/>
        </w:rPr>
        <w:t>（类）：指上述项目以外其他用于行政事业单位养老保险方面的支出。</w:t>
      </w:r>
    </w:p>
    <w:p>
      <w:pPr>
        <w:spacing w:line="580" w:lineRule="exact"/>
        <w:ind w:firstLine="640" w:firstLineChars="200"/>
        <w:rPr>
          <w:rStyle w:val="14"/>
          <w:rFonts w:eastAsia="仿宋"/>
          <w:b w:val="0"/>
          <w:sz w:val="32"/>
          <w:szCs w:val="32"/>
        </w:rPr>
      </w:pPr>
      <w:r>
        <w:rPr>
          <w:rFonts w:eastAsia="仿宋"/>
          <w:sz w:val="32"/>
          <w:szCs w:val="32"/>
        </w:rPr>
        <w:t>9.</w:t>
      </w:r>
      <w:r>
        <w:rPr>
          <w:rStyle w:val="14"/>
          <w:rFonts w:eastAsia="仿宋"/>
          <w:b w:val="0"/>
          <w:sz w:val="32"/>
          <w:szCs w:val="32"/>
        </w:rPr>
        <w:t>社会保障和就业（类）人力资源和社会保障管理事务（款） 其他人力资源和社会保障管理事务支出（项）：指除上述以外其他人力资源和社会保障管理事务方面的支出。</w:t>
      </w:r>
    </w:p>
    <w:p>
      <w:pPr>
        <w:spacing w:line="580" w:lineRule="exact"/>
        <w:ind w:firstLine="640" w:firstLineChars="200"/>
        <w:rPr>
          <w:rFonts w:eastAsia="仿宋"/>
          <w:sz w:val="32"/>
          <w:szCs w:val="32"/>
        </w:rPr>
      </w:pPr>
      <w:r>
        <w:rPr>
          <w:rStyle w:val="14"/>
          <w:rFonts w:eastAsia="仿宋"/>
          <w:b w:val="0"/>
          <w:sz w:val="32"/>
          <w:szCs w:val="32"/>
        </w:rPr>
        <w:t>10</w:t>
      </w:r>
      <w:r>
        <w:rPr>
          <w:rFonts w:eastAsia="仿宋"/>
          <w:sz w:val="32"/>
          <w:szCs w:val="32"/>
        </w:rPr>
        <w:t>社会保障和就业（类）抚恤（款）死亡抚恤（项）：指病故职工家属的一次性和定期抚恤金以及丧葬补助费。</w:t>
      </w:r>
    </w:p>
    <w:p>
      <w:pPr>
        <w:spacing w:line="580" w:lineRule="exact"/>
        <w:ind w:firstLine="640" w:firstLineChars="200"/>
        <w:rPr>
          <w:rFonts w:eastAsia="仿宋"/>
          <w:sz w:val="32"/>
          <w:szCs w:val="32"/>
        </w:rPr>
      </w:pPr>
      <w:r>
        <w:rPr>
          <w:rFonts w:eastAsia="仿宋"/>
          <w:sz w:val="32"/>
          <w:szCs w:val="32"/>
        </w:rPr>
        <w:t>11</w:t>
      </w:r>
      <w:r>
        <w:rPr>
          <w:rFonts w:eastAsia="仿宋"/>
          <w:bCs/>
          <w:sz w:val="32"/>
          <w:szCs w:val="32"/>
        </w:rPr>
        <w:t>．</w:t>
      </w:r>
      <w:r>
        <w:rPr>
          <w:rFonts w:eastAsia="仿宋"/>
          <w:sz w:val="32"/>
          <w:szCs w:val="32"/>
        </w:rPr>
        <w:t>住房保障支出（类）住房改革支出（款）住房公积金（项）：指按照人力资源和社会保障部、财政部规定的基本工资和津贴补贴以及规定比例为职工缴纳的住房公积金。</w:t>
      </w:r>
    </w:p>
    <w:p>
      <w:pPr>
        <w:spacing w:line="580" w:lineRule="exact"/>
        <w:ind w:firstLine="640" w:firstLineChars="200"/>
        <w:rPr>
          <w:rFonts w:eastAsia="仿宋"/>
          <w:sz w:val="32"/>
          <w:szCs w:val="32"/>
        </w:rPr>
      </w:pPr>
      <w:r>
        <w:rPr>
          <w:rFonts w:eastAsia="仿宋"/>
          <w:sz w:val="32"/>
          <w:szCs w:val="32"/>
        </w:rPr>
        <w:t>12</w:t>
      </w:r>
      <w:r>
        <w:rPr>
          <w:rFonts w:eastAsia="仿宋"/>
          <w:bCs/>
          <w:sz w:val="32"/>
          <w:szCs w:val="32"/>
        </w:rPr>
        <w:t>．</w:t>
      </w:r>
      <w:r>
        <w:rPr>
          <w:rFonts w:eastAsia="仿宋"/>
          <w:sz w:val="32"/>
          <w:szCs w:val="32"/>
        </w:rPr>
        <w:t>基本支出：指为保障机构正常运转、完成日常工作任务而发生的人员支出和公用支出。</w:t>
      </w:r>
    </w:p>
    <w:p>
      <w:pPr>
        <w:spacing w:line="580" w:lineRule="exact"/>
        <w:ind w:firstLine="640" w:firstLineChars="200"/>
        <w:rPr>
          <w:rFonts w:eastAsia="仿宋"/>
          <w:sz w:val="32"/>
          <w:szCs w:val="32"/>
        </w:rPr>
      </w:pPr>
      <w:r>
        <w:rPr>
          <w:rFonts w:eastAsia="仿宋"/>
          <w:sz w:val="32"/>
          <w:szCs w:val="32"/>
        </w:rPr>
        <w:t>13</w:t>
      </w:r>
      <w:r>
        <w:rPr>
          <w:rFonts w:eastAsia="仿宋"/>
          <w:bCs/>
          <w:sz w:val="32"/>
          <w:szCs w:val="32"/>
        </w:rPr>
        <w:t>．</w:t>
      </w:r>
      <w:r>
        <w:rPr>
          <w:rFonts w:eastAsia="仿宋"/>
          <w:sz w:val="32"/>
          <w:szCs w:val="32"/>
        </w:rPr>
        <w:t>项目支出：指在基本支出之外为完成特定行政任务和事业发展目标所发生的支出。</w:t>
      </w:r>
    </w:p>
    <w:p>
      <w:pPr>
        <w:spacing w:line="580" w:lineRule="exact"/>
        <w:ind w:firstLine="640" w:firstLineChars="200"/>
        <w:rPr>
          <w:rFonts w:eastAsia="仿宋"/>
          <w:sz w:val="32"/>
          <w:szCs w:val="32"/>
        </w:rPr>
      </w:pPr>
      <w:r>
        <w:rPr>
          <w:rFonts w:eastAsia="仿宋"/>
          <w:sz w:val="32"/>
          <w:szCs w:val="32"/>
        </w:rPr>
        <w:t>14</w:t>
      </w:r>
      <w:r>
        <w:rPr>
          <w:rFonts w:eastAsia="仿宋"/>
          <w:bCs/>
          <w:sz w:val="32"/>
          <w:szCs w:val="32"/>
        </w:rPr>
        <w:t>．</w:t>
      </w:r>
      <w:r>
        <w:rPr>
          <w:rFonts w:eastAsia="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eastAsia="仿宋_GB2312"/>
          <w:sz w:val="32"/>
          <w:szCs w:val="32"/>
        </w:rPr>
      </w:pPr>
      <w:r>
        <w:rPr>
          <w:rFonts w:eastAsia="仿宋_GB2312"/>
          <w:sz w:val="32"/>
          <w:szCs w:val="32"/>
        </w:rPr>
        <w:t xml:space="preserve"> </w:t>
      </w:r>
    </w:p>
    <w:p>
      <w:pPr>
        <w:pStyle w:val="22"/>
        <w:spacing w:line="560" w:lineRule="exact"/>
        <w:ind w:firstLine="640" w:firstLineChars="200"/>
        <w:rPr>
          <w:rFonts w:ascii="Times New Roman" w:hAnsi="Times New Roman" w:eastAsia="仿宋_GB2312" w:cs="Times New Roman"/>
          <w:color w:val="auto"/>
          <w:sz w:val="32"/>
          <w:szCs w:val="32"/>
        </w:rPr>
      </w:pPr>
    </w:p>
    <w:p>
      <w:pPr>
        <w:ind w:firstLine="643" w:firstLineChars="200"/>
        <w:rPr>
          <w:rFonts w:eastAsia="仿宋"/>
          <w:b/>
          <w:sz w:val="32"/>
          <w:szCs w:val="32"/>
        </w:rPr>
      </w:pPr>
    </w:p>
    <w:p>
      <w:pPr>
        <w:spacing w:line="600" w:lineRule="exact"/>
        <w:ind w:firstLine="2640" w:firstLineChars="600"/>
        <w:outlineLvl w:val="0"/>
        <w:rPr>
          <w:rFonts w:eastAsia="黑体"/>
          <w:sz w:val="44"/>
          <w:szCs w:val="44"/>
        </w:rPr>
      </w:pPr>
      <w:bookmarkStart w:id="64" w:name="_Toc31615"/>
      <w:bookmarkStart w:id="65" w:name="_Toc15396614"/>
      <w:bookmarkStart w:id="66" w:name="_Toc15377226"/>
    </w:p>
    <w:p>
      <w:pPr>
        <w:spacing w:line="600" w:lineRule="exact"/>
        <w:outlineLvl w:val="0"/>
        <w:rPr>
          <w:rFonts w:eastAsia="黑体"/>
          <w:sz w:val="44"/>
          <w:szCs w:val="44"/>
        </w:rPr>
      </w:pPr>
    </w:p>
    <w:p>
      <w:pPr>
        <w:spacing w:line="600" w:lineRule="exact"/>
        <w:ind w:firstLine="2640" w:firstLineChars="600"/>
        <w:outlineLvl w:val="0"/>
        <w:rPr>
          <w:rFonts w:eastAsia="黑体"/>
          <w:sz w:val="44"/>
          <w:szCs w:val="44"/>
        </w:rPr>
      </w:pPr>
    </w:p>
    <w:p>
      <w:pPr>
        <w:spacing w:line="600" w:lineRule="exact"/>
        <w:ind w:firstLine="2640" w:firstLineChars="600"/>
        <w:outlineLvl w:val="0"/>
        <w:rPr>
          <w:rFonts w:eastAsia="黑体"/>
          <w:sz w:val="44"/>
          <w:szCs w:val="44"/>
        </w:rPr>
      </w:pPr>
    </w:p>
    <w:p>
      <w:pPr>
        <w:spacing w:line="600" w:lineRule="exact"/>
        <w:ind w:firstLine="2640" w:firstLineChars="600"/>
        <w:outlineLvl w:val="0"/>
        <w:rPr>
          <w:rFonts w:eastAsia="黑体"/>
          <w:sz w:val="44"/>
          <w:szCs w:val="44"/>
        </w:rPr>
      </w:pPr>
    </w:p>
    <w:p>
      <w:pPr>
        <w:spacing w:line="600" w:lineRule="exact"/>
        <w:ind w:firstLine="3520" w:firstLineChars="800"/>
        <w:outlineLvl w:val="0"/>
        <w:rPr>
          <w:rStyle w:val="24"/>
          <w:rFonts w:eastAsia="黑体"/>
          <w:b w:val="0"/>
        </w:rPr>
      </w:pPr>
      <w:r>
        <w:rPr>
          <w:rFonts w:eastAsia="黑体"/>
          <w:sz w:val="44"/>
          <w:szCs w:val="44"/>
        </w:rPr>
        <w:t>第</w:t>
      </w:r>
      <w:r>
        <w:rPr>
          <w:rStyle w:val="24"/>
          <w:rFonts w:eastAsia="黑体"/>
          <w:b w:val="0"/>
        </w:rPr>
        <w:t>四部分 附件</w:t>
      </w:r>
      <w:bookmarkEnd w:id="64"/>
      <w:bookmarkEnd w:id="65"/>
    </w:p>
    <w:tbl>
      <w:tblPr>
        <w:tblStyle w:val="12"/>
        <w:tblpPr w:leftFromText="180" w:rightFromText="180" w:vertAnchor="text" w:horzAnchor="page" w:tblpX="1345" w:tblpY="588"/>
        <w:tblOverlap w:val="never"/>
        <w:tblW w:w="9751" w:type="dxa"/>
        <w:tblInd w:w="0" w:type="dxa"/>
        <w:tblLayout w:type="fixed"/>
        <w:tblCellMar>
          <w:top w:w="0" w:type="dxa"/>
          <w:left w:w="108" w:type="dxa"/>
          <w:bottom w:w="0" w:type="dxa"/>
          <w:right w:w="108" w:type="dxa"/>
        </w:tblCellMar>
      </w:tblPr>
      <w:tblGrid>
        <w:gridCol w:w="1619"/>
        <w:gridCol w:w="1124"/>
        <w:gridCol w:w="1530"/>
        <w:gridCol w:w="1215"/>
        <w:gridCol w:w="2089"/>
        <w:gridCol w:w="1938"/>
        <w:gridCol w:w="236"/>
      </w:tblGrid>
      <w:tr>
        <w:tblPrEx>
          <w:tblCellMar>
            <w:top w:w="0" w:type="dxa"/>
            <w:left w:w="108" w:type="dxa"/>
            <w:bottom w:w="0" w:type="dxa"/>
            <w:right w:w="108" w:type="dxa"/>
          </w:tblCellMar>
        </w:tblPrEx>
        <w:trPr>
          <w:trHeight w:val="2122" w:hRule="atLeast"/>
        </w:trPr>
        <w:tc>
          <w:tcPr>
            <w:tcW w:w="9517" w:type="dxa"/>
            <w:gridSpan w:val="6"/>
            <w:tcBorders>
              <w:top w:val="nil"/>
              <w:left w:val="nil"/>
              <w:bottom w:val="nil"/>
              <w:right w:val="nil"/>
            </w:tcBorders>
            <w:shd w:val="clear" w:color="auto" w:fill="auto"/>
            <w:vAlign w:val="center"/>
          </w:tcPr>
          <w:p>
            <w:pPr>
              <w:widowControl/>
              <w:ind w:firstLine="1807" w:firstLineChars="500"/>
              <w:jc w:val="center"/>
              <w:textAlignment w:val="center"/>
              <w:rPr>
                <w:b/>
                <w:bCs/>
                <w:sz w:val="36"/>
                <w:szCs w:val="36"/>
              </w:rPr>
            </w:pPr>
            <w:r>
              <w:rPr>
                <w:b/>
                <w:bCs/>
                <w:sz w:val="36"/>
                <w:szCs w:val="36"/>
              </w:rPr>
              <w:t>2021年特定目标类部门预算</w:t>
            </w:r>
          </w:p>
          <w:p>
            <w:pPr>
              <w:widowControl/>
              <w:ind w:firstLine="1084" w:firstLineChars="300"/>
              <w:jc w:val="center"/>
              <w:textAlignment w:val="center"/>
              <w:rPr>
                <w:b/>
                <w:bCs/>
                <w:sz w:val="36"/>
                <w:szCs w:val="36"/>
              </w:rPr>
            </w:pPr>
            <w:r>
              <w:rPr>
                <w:b/>
                <w:bCs/>
                <w:sz w:val="36"/>
                <w:szCs w:val="36"/>
              </w:rPr>
              <w:t>项目绩效目标自评</w:t>
            </w:r>
          </w:p>
          <w:p>
            <w:pPr>
              <w:widowControl/>
              <w:ind w:firstLine="964" w:firstLineChars="300"/>
              <w:jc w:val="center"/>
              <w:textAlignment w:val="center"/>
              <w:rPr>
                <w:rFonts w:eastAsiaTheme="majorEastAsia"/>
              </w:rPr>
            </w:pPr>
            <w:r>
              <w:rPr>
                <w:b/>
                <w:bCs/>
                <w:sz w:val="32"/>
                <w:szCs w:val="32"/>
              </w:rPr>
              <w:t xml:space="preserve">  公用及京剧《浩然成昆》业务经费</w:t>
            </w:r>
          </w:p>
        </w:tc>
        <w:tc>
          <w:tcPr>
            <w:tcW w:w="234" w:type="dxa"/>
            <w:tcBorders>
              <w:top w:val="nil"/>
              <w:left w:val="nil"/>
              <w:bottom w:val="nil"/>
              <w:right w:val="nil"/>
            </w:tcBorders>
            <w:shd w:val="clear" w:color="auto" w:fill="auto"/>
            <w:vAlign w:val="center"/>
          </w:tcPr>
          <w:p>
            <w:pPr>
              <w:widowControl/>
              <w:jc w:val="center"/>
              <w:textAlignment w:val="center"/>
              <w:rPr>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主管部门及代码</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攀枝花市文化广播电视和旅游局</w:t>
            </w:r>
            <w:r>
              <w:rPr>
                <w:rFonts w:hint="eastAsia" w:eastAsia="仿宋_GB2312"/>
                <w:sz w:val="24"/>
              </w:rPr>
              <w:t>－</w:t>
            </w:r>
            <w:r>
              <w:rPr>
                <w:rFonts w:eastAsia="仿宋_GB2312"/>
                <w:sz w:val="24"/>
              </w:rPr>
              <w:t xml:space="preserve"> 205001</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实施单位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攀枝花市文化艺术中心</w:t>
            </w:r>
          </w:p>
        </w:tc>
      </w:tr>
      <w:tr>
        <w:tblPrEx>
          <w:tblCellMar>
            <w:top w:w="0" w:type="dxa"/>
            <w:left w:w="108" w:type="dxa"/>
            <w:bottom w:w="0" w:type="dxa"/>
            <w:right w:w="108" w:type="dxa"/>
          </w:tblCellMar>
        </w:tblPrEx>
        <w:trPr>
          <w:gridAfter w:val="1"/>
          <w:wAfter w:w="234" w:type="dxa"/>
          <w:trHeight w:val="341" w:hRule="atLeast"/>
        </w:trPr>
        <w:tc>
          <w:tcPr>
            <w:tcW w:w="27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项目预算</w:t>
            </w:r>
          </w:p>
          <w:p>
            <w:pPr>
              <w:widowControl/>
              <w:spacing w:line="320" w:lineRule="exact"/>
              <w:jc w:val="center"/>
              <w:textAlignment w:val="center"/>
              <w:rPr>
                <w:rFonts w:eastAsia="仿宋_GB2312"/>
                <w:kern w:val="0"/>
                <w:sz w:val="24"/>
              </w:rPr>
            </w:pPr>
            <w:r>
              <w:rPr>
                <w:rFonts w:eastAsia="仿宋_GB2312"/>
                <w:kern w:val="0"/>
                <w:sz w:val="24"/>
              </w:rPr>
              <w:t>执行情况</w:t>
            </w:r>
          </w:p>
          <w:p>
            <w:pPr>
              <w:widowControl/>
              <w:spacing w:line="320" w:lineRule="exact"/>
              <w:jc w:val="center"/>
              <w:textAlignment w:val="center"/>
              <w:rPr>
                <w:rFonts w:eastAsia="仿宋_GB2312"/>
                <w:sz w:val="24"/>
              </w:rPr>
            </w:pPr>
            <w:r>
              <w:rPr>
                <w:rFonts w:eastAsia="仿宋_GB2312"/>
                <w:kern w:val="0"/>
                <w:sz w:val="24"/>
              </w:rPr>
              <w:t>（万元）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预算数：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100.43</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执行数：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eastAsia="仿宋_GB2312"/>
                <w:sz w:val="24"/>
              </w:rPr>
            </w:pPr>
            <w:r>
              <w:rPr>
                <w:rFonts w:eastAsia="仿宋_GB2312"/>
                <w:sz w:val="24"/>
              </w:rPr>
              <w:t>100.43</w:t>
            </w:r>
          </w:p>
        </w:tc>
      </w:tr>
      <w:tr>
        <w:tblPrEx>
          <w:tblCellMar>
            <w:top w:w="0" w:type="dxa"/>
            <w:left w:w="108" w:type="dxa"/>
            <w:bottom w:w="0" w:type="dxa"/>
            <w:right w:w="108" w:type="dxa"/>
          </w:tblCellMar>
        </w:tblPrEx>
        <w:trPr>
          <w:gridAfter w:val="1"/>
          <w:wAfter w:w="234" w:type="dxa"/>
          <w:trHeight w:val="555" w:hRule="atLeast"/>
        </w:trPr>
        <w:tc>
          <w:tcPr>
            <w:tcW w:w="27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100.43</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100.43</w:t>
            </w:r>
          </w:p>
        </w:tc>
      </w:tr>
      <w:tr>
        <w:tblPrEx>
          <w:tblCellMar>
            <w:top w:w="0" w:type="dxa"/>
            <w:left w:w="108" w:type="dxa"/>
            <w:bottom w:w="0" w:type="dxa"/>
            <w:right w:w="108" w:type="dxa"/>
          </w:tblCellMar>
        </w:tblPrEx>
        <w:trPr>
          <w:gridAfter w:val="1"/>
          <w:wAfter w:w="234" w:type="dxa"/>
          <w:trHeight w:val="341" w:hRule="atLeast"/>
        </w:trPr>
        <w:tc>
          <w:tcPr>
            <w:tcW w:w="27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p>
        </w:tc>
      </w:tr>
      <w:tr>
        <w:tblPrEx>
          <w:tblCellMar>
            <w:top w:w="0" w:type="dxa"/>
            <w:left w:w="108" w:type="dxa"/>
            <w:bottom w:w="0" w:type="dxa"/>
            <w:right w:w="108" w:type="dxa"/>
          </w:tblCellMar>
        </w:tblPrEx>
        <w:trPr>
          <w:gridAfter w:val="1"/>
          <w:wAfter w:w="234" w:type="dxa"/>
          <w:trHeight w:val="217"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年度总体目标</w:t>
            </w:r>
          </w:p>
          <w:p>
            <w:pPr>
              <w:widowControl/>
              <w:spacing w:line="320" w:lineRule="exact"/>
              <w:jc w:val="center"/>
              <w:textAlignment w:val="center"/>
              <w:rPr>
                <w:rFonts w:eastAsia="仿宋_GB2312"/>
                <w:sz w:val="24"/>
              </w:rPr>
            </w:pPr>
            <w:r>
              <w:rPr>
                <w:rFonts w:eastAsia="仿宋_GB2312"/>
                <w:kern w:val="0"/>
                <w:sz w:val="24"/>
              </w:rPr>
              <w:t>完成情况</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预期目标</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目标实际完成情况</w:t>
            </w:r>
          </w:p>
        </w:tc>
      </w:tr>
      <w:tr>
        <w:tblPrEx>
          <w:tblCellMar>
            <w:top w:w="0" w:type="dxa"/>
            <w:left w:w="108" w:type="dxa"/>
            <w:bottom w:w="0" w:type="dxa"/>
            <w:right w:w="108" w:type="dxa"/>
          </w:tblCellMar>
        </w:tblPrEx>
        <w:trPr>
          <w:gridAfter w:val="1"/>
          <w:wAfter w:w="234" w:type="dxa"/>
          <w:trHeight w:val="577"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2021年度公用经费及业务经费</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全面保障了2021年度单位公用经费及业务经费的正常运转。</w:t>
            </w:r>
          </w:p>
        </w:tc>
      </w:tr>
      <w:tr>
        <w:tblPrEx>
          <w:tblCellMar>
            <w:top w:w="0" w:type="dxa"/>
            <w:left w:w="108" w:type="dxa"/>
            <w:bottom w:w="0" w:type="dxa"/>
            <w:right w:w="108" w:type="dxa"/>
          </w:tblCellMar>
        </w:tblPrEx>
        <w:trPr>
          <w:gridAfter w:val="1"/>
          <w:wAfter w:w="234" w:type="dxa"/>
          <w:trHeight w:val="588" w:hRule="atLeast"/>
        </w:trPr>
        <w:tc>
          <w:tcPr>
            <w:tcW w:w="162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年度绩效指标完成情况</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一级</w:t>
            </w:r>
          </w:p>
          <w:p>
            <w:pPr>
              <w:widowControl/>
              <w:spacing w:line="320" w:lineRule="exact"/>
              <w:jc w:val="center"/>
              <w:textAlignment w:val="center"/>
              <w:rPr>
                <w:rFonts w:eastAsia="仿宋_GB2312"/>
                <w:sz w:val="24"/>
              </w:rPr>
            </w:pPr>
            <w:r>
              <w:rPr>
                <w:rFonts w:eastAsia="仿宋_GB2312"/>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二级</w:t>
            </w:r>
          </w:p>
          <w:p>
            <w:pPr>
              <w:widowControl/>
              <w:spacing w:line="320" w:lineRule="exact"/>
              <w:jc w:val="center"/>
              <w:textAlignment w:val="center"/>
              <w:rPr>
                <w:rFonts w:eastAsia="仿宋_GB2312"/>
                <w:sz w:val="24"/>
              </w:rPr>
            </w:pPr>
            <w:r>
              <w:rPr>
                <w:rFonts w:eastAsia="仿宋_GB2312"/>
                <w:kern w:val="0"/>
                <w:sz w:val="24"/>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三级</w:t>
            </w:r>
          </w:p>
          <w:p>
            <w:pPr>
              <w:widowControl/>
              <w:spacing w:line="320" w:lineRule="exact"/>
              <w:jc w:val="center"/>
              <w:textAlignment w:val="center"/>
              <w:rPr>
                <w:rFonts w:eastAsia="仿宋_GB2312"/>
                <w:sz w:val="24"/>
              </w:rPr>
            </w:pPr>
            <w:r>
              <w:rPr>
                <w:rFonts w:eastAsia="仿宋_GB2312"/>
                <w:kern w:val="0"/>
                <w:sz w:val="24"/>
              </w:rPr>
              <w:t>指标</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预期指标值</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_GB2312"/>
                <w:kern w:val="0"/>
                <w:sz w:val="24"/>
              </w:rPr>
            </w:pPr>
            <w:r>
              <w:rPr>
                <w:rFonts w:eastAsia="仿宋_GB2312"/>
                <w:kern w:val="0"/>
                <w:sz w:val="24"/>
              </w:rPr>
              <w:t>完成</w:t>
            </w:r>
          </w:p>
          <w:p>
            <w:pPr>
              <w:widowControl/>
              <w:spacing w:line="320" w:lineRule="exact"/>
              <w:jc w:val="left"/>
              <w:textAlignment w:val="bottom"/>
              <w:rPr>
                <w:rFonts w:eastAsia="仿宋_GB2312"/>
                <w:sz w:val="24"/>
              </w:rPr>
            </w:pPr>
            <w:r>
              <w:rPr>
                <w:rFonts w:eastAsia="仿宋_GB2312"/>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基本运行</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137名在编在岗职工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137名在编在岗职工</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内容</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日常公用经费及业务经费</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b/>
                <w:bCs/>
                <w:sz w:val="24"/>
              </w:rPr>
            </w:pPr>
            <w:r>
              <w:rPr>
                <w:rFonts w:eastAsia="仿宋_GB2312"/>
                <w:sz w:val="24"/>
              </w:rPr>
              <w:t>日常公用经费及业务经费</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按计划进行</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r>
      <w:tr>
        <w:tblPrEx>
          <w:tblCellMar>
            <w:top w:w="0" w:type="dxa"/>
            <w:left w:w="108" w:type="dxa"/>
            <w:bottom w:w="0" w:type="dxa"/>
            <w:right w:w="108" w:type="dxa"/>
          </w:tblCellMar>
        </w:tblPrEx>
        <w:trPr>
          <w:gridAfter w:val="1"/>
          <w:wAfter w:w="234" w:type="dxa"/>
          <w:trHeight w:val="82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支付日常公用经费及业务经费</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hint="eastAsia" w:eastAsia="仿宋_GB2312"/>
                <w:sz w:val="24"/>
              </w:rPr>
              <w:t>100.43</w:t>
            </w:r>
            <w:r>
              <w:rPr>
                <w:rFonts w:eastAsia="仿宋_GB2312"/>
                <w:sz w:val="24"/>
              </w:rPr>
              <w:t>万元</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hint="eastAsia" w:eastAsia="仿宋_GB2312"/>
                <w:sz w:val="24"/>
              </w:rPr>
              <w:t>100.43</w:t>
            </w:r>
            <w:r>
              <w:rPr>
                <w:rFonts w:eastAsia="仿宋_GB2312"/>
                <w:sz w:val="24"/>
              </w:rPr>
              <w:t>万元</w:t>
            </w:r>
          </w:p>
        </w:tc>
      </w:tr>
      <w:tr>
        <w:tblPrEx>
          <w:tblCellMar>
            <w:top w:w="0" w:type="dxa"/>
            <w:left w:w="108" w:type="dxa"/>
            <w:bottom w:w="0" w:type="dxa"/>
            <w:right w:w="108" w:type="dxa"/>
          </w:tblCellMar>
        </w:tblPrEx>
        <w:trPr>
          <w:gridAfter w:val="1"/>
          <w:wAfter w:w="234" w:type="dxa"/>
          <w:trHeight w:val="470"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_GB2312"/>
                <w:kern w:val="0"/>
                <w:sz w:val="24"/>
              </w:rPr>
            </w:pPr>
            <w:r>
              <w:rPr>
                <w:rFonts w:eastAsia="仿宋_GB2312"/>
                <w:kern w:val="0"/>
                <w:sz w:val="24"/>
              </w:rPr>
              <w:t>效益</w:t>
            </w:r>
          </w:p>
          <w:p>
            <w:pPr>
              <w:widowControl/>
              <w:spacing w:line="320" w:lineRule="exact"/>
              <w:jc w:val="left"/>
              <w:textAlignment w:val="bottom"/>
              <w:rPr>
                <w:rFonts w:eastAsia="仿宋_GB2312"/>
                <w:sz w:val="24"/>
              </w:rPr>
            </w:pPr>
            <w:r>
              <w:rPr>
                <w:rFonts w:eastAsia="仿宋_GB2312"/>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经济效益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p>
        </w:tc>
      </w:tr>
      <w:tr>
        <w:tblPrEx>
          <w:tblCellMar>
            <w:top w:w="0" w:type="dxa"/>
            <w:left w:w="108" w:type="dxa"/>
            <w:bottom w:w="0" w:type="dxa"/>
            <w:right w:w="108" w:type="dxa"/>
          </w:tblCellMar>
        </w:tblPrEx>
        <w:trPr>
          <w:gridAfter w:val="1"/>
          <w:wAfter w:w="234" w:type="dxa"/>
          <w:trHeight w:val="100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社会效益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推动文化走向基层</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把文化推向社会、推向基层，让</w:t>
            </w:r>
            <w:r>
              <w:rPr>
                <w:rFonts w:hint="eastAsia" w:eastAsia="仿宋_GB2312"/>
                <w:sz w:val="24"/>
              </w:rPr>
              <w:t>广大人民群众</w:t>
            </w:r>
            <w:r>
              <w:rPr>
                <w:rFonts w:eastAsia="仿宋_GB2312"/>
                <w:sz w:val="24"/>
              </w:rPr>
              <w:t>享受文化，丰富</w:t>
            </w:r>
            <w:r>
              <w:rPr>
                <w:rFonts w:hint="eastAsia" w:eastAsia="仿宋_GB2312"/>
                <w:sz w:val="24"/>
              </w:rPr>
              <w:t>广大人民群众</w:t>
            </w:r>
            <w:r>
              <w:rPr>
                <w:rFonts w:eastAsia="仿宋_GB2312"/>
                <w:sz w:val="24"/>
              </w:rPr>
              <w:t>的精神文化生活。</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把文化推向社会、推向基层，让</w:t>
            </w:r>
            <w:r>
              <w:rPr>
                <w:rFonts w:hint="eastAsia" w:eastAsia="仿宋_GB2312"/>
                <w:sz w:val="24"/>
              </w:rPr>
              <w:t>广大人民群众</w:t>
            </w:r>
            <w:r>
              <w:rPr>
                <w:rFonts w:eastAsia="仿宋_GB2312"/>
                <w:sz w:val="24"/>
              </w:rPr>
              <w:t>享受文化，丰富</w:t>
            </w:r>
            <w:r>
              <w:rPr>
                <w:rFonts w:hint="eastAsia" w:eastAsia="仿宋_GB2312"/>
                <w:sz w:val="24"/>
              </w:rPr>
              <w:t>广大人民群众</w:t>
            </w:r>
            <w:r>
              <w:rPr>
                <w:rFonts w:eastAsia="仿宋_GB2312"/>
                <w:sz w:val="24"/>
              </w:rPr>
              <w:t>的精神文化生活。</w:t>
            </w:r>
          </w:p>
        </w:tc>
      </w:tr>
      <w:tr>
        <w:tblPrEx>
          <w:tblCellMar>
            <w:top w:w="0" w:type="dxa"/>
            <w:left w:w="108" w:type="dxa"/>
            <w:bottom w:w="0" w:type="dxa"/>
            <w:right w:w="108" w:type="dxa"/>
          </w:tblCellMar>
        </w:tblPrEx>
        <w:trPr>
          <w:gridAfter w:val="1"/>
          <w:wAfter w:w="234" w:type="dxa"/>
          <w:trHeight w:val="480"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可持续影响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文化走向基层</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r>
      <w:tr>
        <w:tblPrEx>
          <w:tblCellMar>
            <w:top w:w="0" w:type="dxa"/>
            <w:left w:w="108" w:type="dxa"/>
            <w:bottom w:w="0" w:type="dxa"/>
            <w:right w:w="108" w:type="dxa"/>
          </w:tblCellMar>
        </w:tblPrEx>
        <w:trPr>
          <w:gridAfter w:val="1"/>
          <w:wAfter w:w="234" w:type="dxa"/>
          <w:trHeight w:val="530" w:hRule="atLeast"/>
        </w:trPr>
        <w:tc>
          <w:tcPr>
            <w:tcW w:w="162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w:t>
            </w:r>
          </w:p>
          <w:p>
            <w:pPr>
              <w:widowControl/>
              <w:spacing w:line="320" w:lineRule="exact"/>
              <w:jc w:val="left"/>
              <w:textAlignment w:val="bottom"/>
              <w:rPr>
                <w:rFonts w:eastAsia="仿宋_GB2312"/>
                <w:sz w:val="24"/>
              </w:rPr>
            </w:pPr>
            <w:r>
              <w:rPr>
                <w:rFonts w:eastAsia="仿宋_GB2312"/>
                <w:kern w:val="0"/>
                <w:sz w:val="24"/>
              </w:rPr>
              <w:t>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满意度</w:t>
            </w:r>
          </w:p>
          <w:p>
            <w:pPr>
              <w:widowControl/>
              <w:spacing w:line="320" w:lineRule="exact"/>
              <w:jc w:val="left"/>
              <w:textAlignment w:val="bottom"/>
              <w:rPr>
                <w:rFonts w:eastAsia="仿宋_GB2312"/>
                <w:sz w:val="24"/>
              </w:rPr>
            </w:pPr>
            <w:r>
              <w:rPr>
                <w:rFonts w:eastAsia="仿宋_GB2312"/>
                <w:kern w:val="0"/>
                <w:sz w:val="24"/>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满意度</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r>
    </w:tbl>
    <w:tbl>
      <w:tblPr>
        <w:tblStyle w:val="12"/>
        <w:tblpPr w:leftFromText="180" w:rightFromText="180" w:vertAnchor="text" w:horzAnchor="page" w:tblpX="1485" w:tblpY="805"/>
        <w:tblOverlap w:val="never"/>
        <w:tblW w:w="9577" w:type="dxa"/>
        <w:tblInd w:w="0" w:type="dxa"/>
        <w:tblLayout w:type="fixed"/>
        <w:tblCellMar>
          <w:top w:w="0" w:type="dxa"/>
          <w:left w:w="108" w:type="dxa"/>
          <w:bottom w:w="0" w:type="dxa"/>
          <w:right w:w="108" w:type="dxa"/>
        </w:tblCellMar>
      </w:tblPr>
      <w:tblGrid>
        <w:gridCol w:w="1360"/>
        <w:gridCol w:w="1035"/>
        <w:gridCol w:w="1380"/>
        <w:gridCol w:w="1815"/>
        <w:gridCol w:w="2049"/>
        <w:gridCol w:w="1938"/>
      </w:tblGrid>
      <w:tr>
        <w:tblPrEx>
          <w:tblCellMar>
            <w:top w:w="0" w:type="dxa"/>
            <w:left w:w="108" w:type="dxa"/>
            <w:bottom w:w="0" w:type="dxa"/>
            <w:right w:w="108" w:type="dxa"/>
          </w:tblCellMar>
        </w:tblPrEx>
        <w:trPr>
          <w:trHeight w:val="1743" w:hRule="atLeast"/>
        </w:trPr>
        <w:tc>
          <w:tcPr>
            <w:tcW w:w="9577" w:type="dxa"/>
            <w:gridSpan w:val="6"/>
            <w:tcBorders>
              <w:top w:val="nil"/>
              <w:left w:val="nil"/>
              <w:bottom w:val="nil"/>
              <w:right w:val="nil"/>
            </w:tcBorders>
            <w:shd w:val="clear" w:color="auto" w:fill="auto"/>
            <w:vAlign w:val="center"/>
          </w:tcPr>
          <w:p>
            <w:pPr>
              <w:pStyle w:val="4"/>
              <w:ind w:firstLine="643" w:firstLineChars="200"/>
              <w:rPr>
                <w:rFonts w:ascii="Times New Roman" w:hAnsi="Times New Roman" w:cs="Times New Roman"/>
              </w:rPr>
            </w:pPr>
            <w:bookmarkStart w:id="67" w:name="_Toc15396618"/>
            <w:r>
              <w:rPr>
                <w:rFonts w:ascii="Times New Roman" w:hAnsi="Times New Roman" w:cs="Times New Roman"/>
              </w:rPr>
              <w:t xml:space="preserve"> 2021年中央支持地方公共文化服务体系建设专项资金、</w:t>
            </w:r>
          </w:p>
          <w:p>
            <w:pPr>
              <w:pStyle w:val="4"/>
              <w:ind w:left="2891" w:hanging="2891" w:hangingChars="900"/>
              <w:jc w:val="center"/>
              <w:rPr>
                <w:rFonts w:ascii="Times New Roman" w:hAnsi="Times New Roman" w:cs="Times New Roman"/>
              </w:rPr>
            </w:pPr>
            <w:r>
              <w:rPr>
                <w:rFonts w:ascii="Times New Roman" w:hAnsi="Times New Roman" w:cs="Times New Roman"/>
              </w:rPr>
              <w:t>“戏曲进校园”演出补助经费</w:t>
            </w:r>
          </w:p>
        </w:tc>
      </w:tr>
      <w:tr>
        <w:tblPrEx>
          <w:tblCellMar>
            <w:top w:w="0" w:type="dxa"/>
            <w:left w:w="108" w:type="dxa"/>
            <w:bottom w:w="0" w:type="dxa"/>
            <w:right w:w="108" w:type="dxa"/>
          </w:tblCellMar>
        </w:tblPrEx>
        <w:trPr>
          <w:trHeight w:val="254" w:hRule="atLeast"/>
        </w:trPr>
        <w:tc>
          <w:tcPr>
            <w:tcW w:w="2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主管部门及代码</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攀枝花市文化广播电视和旅游局</w:t>
            </w:r>
            <w:r>
              <w:rPr>
                <w:rFonts w:hint="eastAsia" w:eastAsia="仿宋_GB2312"/>
                <w:sz w:val="24"/>
              </w:rPr>
              <w:t>－</w:t>
            </w:r>
            <w:r>
              <w:rPr>
                <w:rFonts w:eastAsia="仿宋_GB2312"/>
                <w:sz w:val="24"/>
              </w:rPr>
              <w:t xml:space="preserve"> 205001</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实施单位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攀枝花市文化艺术中心</w:t>
            </w:r>
          </w:p>
        </w:tc>
      </w:tr>
      <w:tr>
        <w:tblPrEx>
          <w:tblCellMar>
            <w:top w:w="0" w:type="dxa"/>
            <w:left w:w="108" w:type="dxa"/>
            <w:bottom w:w="0" w:type="dxa"/>
            <w:right w:w="108" w:type="dxa"/>
          </w:tblCellMar>
        </w:tblPrEx>
        <w:trPr>
          <w:trHeight w:val="341" w:hRule="atLeast"/>
        </w:trPr>
        <w:tc>
          <w:tcPr>
            <w:tcW w:w="2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项目预算</w:t>
            </w:r>
          </w:p>
          <w:p>
            <w:pPr>
              <w:widowControl/>
              <w:spacing w:line="320" w:lineRule="exact"/>
              <w:jc w:val="center"/>
              <w:textAlignment w:val="center"/>
              <w:rPr>
                <w:rFonts w:eastAsia="仿宋_GB2312"/>
                <w:kern w:val="0"/>
                <w:sz w:val="24"/>
              </w:rPr>
            </w:pPr>
            <w:r>
              <w:rPr>
                <w:rFonts w:eastAsia="仿宋_GB2312"/>
                <w:kern w:val="0"/>
                <w:sz w:val="24"/>
              </w:rPr>
              <w:t>执行情况</w:t>
            </w:r>
          </w:p>
          <w:p>
            <w:pPr>
              <w:widowControl/>
              <w:spacing w:line="320" w:lineRule="exact"/>
              <w:jc w:val="center"/>
              <w:textAlignment w:val="center"/>
              <w:rPr>
                <w:rFonts w:eastAsia="仿宋_GB2312"/>
                <w:sz w:val="24"/>
              </w:rPr>
            </w:pPr>
            <w:r>
              <w:rPr>
                <w:rFonts w:eastAsia="仿宋_GB2312"/>
                <w:kern w:val="0"/>
                <w:sz w:val="24"/>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预算数：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9.87</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执行数：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eastAsia="仿宋_GB2312"/>
                <w:sz w:val="24"/>
              </w:rPr>
            </w:pPr>
            <w:r>
              <w:rPr>
                <w:rFonts w:eastAsia="仿宋_GB2312"/>
                <w:sz w:val="24"/>
              </w:rPr>
              <w:t>9.87</w:t>
            </w:r>
          </w:p>
        </w:tc>
      </w:tr>
      <w:tr>
        <w:tblPrEx>
          <w:tblCellMar>
            <w:top w:w="0" w:type="dxa"/>
            <w:left w:w="108" w:type="dxa"/>
            <w:bottom w:w="0" w:type="dxa"/>
            <w:right w:w="108" w:type="dxa"/>
          </w:tblCellMar>
        </w:tblPrEx>
        <w:trPr>
          <w:trHeight w:val="555"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3.87</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3.87</w:t>
            </w:r>
          </w:p>
        </w:tc>
      </w:tr>
      <w:tr>
        <w:tblPrEx>
          <w:tblCellMar>
            <w:top w:w="0" w:type="dxa"/>
            <w:left w:w="108" w:type="dxa"/>
            <w:bottom w:w="0" w:type="dxa"/>
            <w:right w:w="108" w:type="dxa"/>
          </w:tblCellMar>
        </w:tblPrEx>
        <w:trPr>
          <w:trHeight w:val="341"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6</w:t>
            </w:r>
          </w:p>
        </w:tc>
      </w:tr>
      <w:tr>
        <w:tblPrEx>
          <w:tblCellMar>
            <w:top w:w="0" w:type="dxa"/>
            <w:left w:w="108" w:type="dxa"/>
            <w:bottom w:w="0" w:type="dxa"/>
            <w:right w:w="108" w:type="dxa"/>
          </w:tblCellMar>
        </w:tblPrEx>
        <w:trPr>
          <w:trHeight w:val="217" w:hRule="atLeast"/>
        </w:trPr>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年度总体目标</w:t>
            </w:r>
          </w:p>
          <w:p>
            <w:pPr>
              <w:widowControl/>
              <w:spacing w:line="320" w:lineRule="exact"/>
              <w:jc w:val="center"/>
              <w:textAlignment w:val="center"/>
              <w:rPr>
                <w:rFonts w:eastAsia="仿宋_GB2312"/>
                <w:sz w:val="24"/>
              </w:rPr>
            </w:pPr>
            <w:r>
              <w:rPr>
                <w:rFonts w:eastAsia="仿宋_GB2312"/>
                <w:kern w:val="0"/>
                <w:sz w:val="24"/>
              </w:rPr>
              <w:t>完成情况</w:t>
            </w: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预期目标</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目标实际完成情况</w:t>
            </w:r>
          </w:p>
        </w:tc>
      </w:tr>
      <w:tr>
        <w:tblPrEx>
          <w:tblCellMar>
            <w:top w:w="0" w:type="dxa"/>
            <w:left w:w="108" w:type="dxa"/>
            <w:bottom w:w="0" w:type="dxa"/>
            <w:right w:w="108" w:type="dxa"/>
          </w:tblCellMar>
        </w:tblPrEx>
        <w:trPr>
          <w:trHeight w:val="797"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开展公益性</w:t>
            </w:r>
            <w:r>
              <w:rPr>
                <w:rFonts w:hint="eastAsia" w:eastAsia="仿宋_GB2312"/>
                <w:sz w:val="24"/>
              </w:rPr>
              <w:t>惠民</w:t>
            </w:r>
            <w:r>
              <w:rPr>
                <w:rFonts w:eastAsia="仿宋_GB2312"/>
                <w:sz w:val="24"/>
              </w:rPr>
              <w:t>演出。</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2021年度完成高雅艺术和戏曲进校园、乡村公益性演出活动61场。</w:t>
            </w:r>
          </w:p>
        </w:tc>
      </w:tr>
      <w:tr>
        <w:tblPrEx>
          <w:tblCellMar>
            <w:top w:w="0" w:type="dxa"/>
            <w:left w:w="108" w:type="dxa"/>
            <w:bottom w:w="0" w:type="dxa"/>
            <w:right w:w="108" w:type="dxa"/>
          </w:tblCellMar>
        </w:tblPrEx>
        <w:trPr>
          <w:trHeight w:val="693" w:hRule="atLeast"/>
        </w:trPr>
        <w:tc>
          <w:tcPr>
            <w:tcW w:w="13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年度绩效指标完成情况</w:t>
            </w:r>
          </w:p>
        </w:tc>
        <w:tc>
          <w:tcPr>
            <w:tcW w:w="103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一级</w:t>
            </w:r>
          </w:p>
          <w:p>
            <w:pPr>
              <w:widowControl/>
              <w:spacing w:line="320" w:lineRule="exact"/>
              <w:jc w:val="center"/>
              <w:textAlignment w:val="center"/>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二级</w:t>
            </w:r>
          </w:p>
          <w:p>
            <w:pPr>
              <w:widowControl/>
              <w:spacing w:line="320" w:lineRule="exact"/>
              <w:jc w:val="center"/>
              <w:textAlignment w:val="center"/>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三级</w:t>
            </w:r>
          </w:p>
          <w:p>
            <w:pPr>
              <w:widowControl/>
              <w:spacing w:line="320" w:lineRule="exact"/>
              <w:jc w:val="center"/>
              <w:textAlignment w:val="center"/>
              <w:rPr>
                <w:rFonts w:eastAsia="仿宋_GB2312"/>
                <w:sz w:val="24"/>
              </w:rPr>
            </w:pPr>
            <w:r>
              <w:rPr>
                <w:rFonts w:eastAsia="仿宋_GB2312"/>
                <w:kern w:val="0"/>
                <w:sz w:val="24"/>
              </w:rPr>
              <w:t>指标</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预期指标值</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实际完成指标值</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_GB2312"/>
                <w:kern w:val="0"/>
                <w:sz w:val="24"/>
              </w:rPr>
            </w:pPr>
            <w:r>
              <w:rPr>
                <w:rFonts w:eastAsia="仿宋_GB2312"/>
                <w:kern w:val="0"/>
                <w:sz w:val="24"/>
              </w:rPr>
              <w:t>完成</w:t>
            </w:r>
          </w:p>
          <w:p>
            <w:pPr>
              <w:widowControl/>
              <w:spacing w:line="320" w:lineRule="exact"/>
              <w:jc w:val="left"/>
              <w:textAlignment w:val="bottom"/>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数量指标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进校园、下乡、下基层演出</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进校园、下乡、下基层演出61场次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进校园、下乡、下基层演出61场次</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质量指标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eastAsia="仿宋_GB2312"/>
                <w:sz w:val="24"/>
              </w:rPr>
            </w:pPr>
            <w:r>
              <w:rPr>
                <w:rFonts w:eastAsia="仿宋_GB2312"/>
                <w:sz w:val="24"/>
              </w:rPr>
              <w:t>内容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戏曲、歌舞、小品、器乐等</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b/>
                <w:bCs/>
                <w:sz w:val="24"/>
              </w:rPr>
            </w:pPr>
            <w:r>
              <w:rPr>
                <w:rFonts w:eastAsia="仿宋_GB2312"/>
                <w:sz w:val="24"/>
              </w:rPr>
              <w:t>戏曲、歌舞、小品、器乐等</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时效指标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按计划进行</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成本指标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生产成本</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9.87万元</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9.87万元</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社会效益</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普及中国传统文化、</w:t>
            </w:r>
            <w:r>
              <w:rPr>
                <w:rFonts w:eastAsia="仿宋_GB2312"/>
                <w:sz w:val="24"/>
              </w:rPr>
              <w:t>推动文化走向基层。</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把文化推向社会、推向基层，让</w:t>
            </w:r>
            <w:r>
              <w:rPr>
                <w:rFonts w:hint="eastAsia" w:eastAsia="仿宋_GB2312"/>
                <w:sz w:val="24"/>
              </w:rPr>
              <w:t>广大人民群众</w:t>
            </w:r>
            <w:r>
              <w:rPr>
                <w:rFonts w:eastAsia="仿宋_GB2312"/>
                <w:sz w:val="24"/>
              </w:rPr>
              <w:t>享受文化，丰富</w:t>
            </w:r>
            <w:r>
              <w:rPr>
                <w:rFonts w:hint="eastAsia" w:eastAsia="仿宋_GB2312"/>
                <w:sz w:val="24"/>
              </w:rPr>
              <w:t>广大人民群众</w:t>
            </w:r>
            <w:r>
              <w:rPr>
                <w:rFonts w:eastAsia="仿宋_GB2312"/>
                <w:sz w:val="24"/>
              </w:rPr>
              <w:t>的精神文化生活。大力宣传中国传统川剧。</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把文化推向社会、推向基层，让</w:t>
            </w:r>
            <w:r>
              <w:rPr>
                <w:rFonts w:hint="eastAsia" w:eastAsia="仿宋_GB2312"/>
                <w:sz w:val="24"/>
              </w:rPr>
              <w:t>广大人民群众</w:t>
            </w:r>
            <w:r>
              <w:rPr>
                <w:rFonts w:eastAsia="仿宋_GB2312"/>
                <w:sz w:val="24"/>
              </w:rPr>
              <w:t>享受文化，丰富</w:t>
            </w:r>
            <w:r>
              <w:rPr>
                <w:rFonts w:hint="eastAsia" w:eastAsia="仿宋_GB2312"/>
                <w:sz w:val="24"/>
              </w:rPr>
              <w:t>广大人民群众</w:t>
            </w:r>
            <w:r>
              <w:rPr>
                <w:rFonts w:eastAsia="仿宋_GB2312"/>
                <w:sz w:val="24"/>
              </w:rPr>
              <w:t>的精神文化生活。大力宣传中国传统川剧。</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可持续影响 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文化走向基层</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r>
      <w:tr>
        <w:tblPrEx>
          <w:tblCellMar>
            <w:top w:w="0" w:type="dxa"/>
            <w:left w:w="108" w:type="dxa"/>
            <w:bottom w:w="0" w:type="dxa"/>
            <w:right w:w="108" w:type="dxa"/>
          </w:tblCellMar>
        </w:tblPrEx>
        <w:trPr>
          <w:trHeight w:val="530" w:hRule="atLeast"/>
        </w:trPr>
        <w:tc>
          <w:tcPr>
            <w:tcW w:w="136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w:t>
            </w:r>
          </w:p>
          <w:p>
            <w:pPr>
              <w:widowControl/>
              <w:spacing w:line="320" w:lineRule="exact"/>
              <w:jc w:val="left"/>
              <w:textAlignment w:val="bottom"/>
              <w:rPr>
                <w:rFonts w:eastAsia="仿宋_GB2312"/>
                <w:sz w:val="24"/>
              </w:rPr>
            </w:pPr>
            <w:r>
              <w:rPr>
                <w:rFonts w:eastAsia="仿宋_GB2312"/>
                <w:kern w:val="0"/>
                <w:sz w:val="24"/>
              </w:rPr>
              <w:t>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满意度</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满意度</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r>
      <w:tr>
        <w:tblPrEx>
          <w:tblCellMar>
            <w:top w:w="0" w:type="dxa"/>
            <w:left w:w="108" w:type="dxa"/>
            <w:bottom w:w="0" w:type="dxa"/>
            <w:right w:w="108" w:type="dxa"/>
          </w:tblCellMar>
        </w:tblPrEx>
        <w:trPr>
          <w:trHeight w:val="1743" w:hRule="atLeast"/>
        </w:trPr>
        <w:tc>
          <w:tcPr>
            <w:tcW w:w="9577" w:type="dxa"/>
            <w:gridSpan w:val="6"/>
            <w:tcBorders>
              <w:top w:val="nil"/>
              <w:left w:val="nil"/>
              <w:bottom w:val="nil"/>
              <w:right w:val="nil"/>
            </w:tcBorders>
            <w:shd w:val="clear" w:color="auto" w:fill="auto"/>
            <w:vAlign w:val="center"/>
          </w:tcPr>
          <w:p>
            <w:pPr>
              <w:pStyle w:val="4"/>
              <w:ind w:left="2891" w:hanging="2891" w:hangingChars="900"/>
              <w:jc w:val="center"/>
              <w:rPr>
                <w:rFonts w:ascii="Times New Roman" w:hAnsi="Times New Roman" w:cs="Times New Roman"/>
              </w:rPr>
            </w:pPr>
            <w:r>
              <w:rPr>
                <w:rFonts w:ascii="Times New Roman" w:hAnsi="Times New Roman" w:cs="Times New Roman"/>
              </w:rPr>
              <w:t>建党100周年活动经费</w:t>
            </w:r>
          </w:p>
        </w:tc>
      </w:tr>
      <w:tr>
        <w:tblPrEx>
          <w:tblCellMar>
            <w:top w:w="0" w:type="dxa"/>
            <w:left w:w="108" w:type="dxa"/>
            <w:bottom w:w="0" w:type="dxa"/>
            <w:right w:w="108" w:type="dxa"/>
          </w:tblCellMar>
        </w:tblPrEx>
        <w:trPr>
          <w:trHeight w:val="254" w:hRule="atLeast"/>
        </w:trPr>
        <w:tc>
          <w:tcPr>
            <w:tcW w:w="2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主管部门及代码</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攀枝花市文化广播电视和旅游局</w:t>
            </w:r>
            <w:r>
              <w:rPr>
                <w:rFonts w:hint="eastAsia" w:eastAsia="仿宋_GB2312"/>
                <w:sz w:val="24"/>
              </w:rPr>
              <w:t>－</w:t>
            </w:r>
            <w:r>
              <w:rPr>
                <w:rFonts w:eastAsia="仿宋_GB2312"/>
                <w:sz w:val="24"/>
              </w:rPr>
              <w:t xml:space="preserve"> 205001</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实施单位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攀枝花市文化艺术中心</w:t>
            </w:r>
          </w:p>
        </w:tc>
      </w:tr>
      <w:tr>
        <w:tblPrEx>
          <w:tblCellMar>
            <w:top w:w="0" w:type="dxa"/>
            <w:left w:w="108" w:type="dxa"/>
            <w:bottom w:w="0" w:type="dxa"/>
            <w:right w:w="108" w:type="dxa"/>
          </w:tblCellMar>
        </w:tblPrEx>
        <w:trPr>
          <w:trHeight w:val="341" w:hRule="atLeast"/>
        </w:trPr>
        <w:tc>
          <w:tcPr>
            <w:tcW w:w="2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项目预算</w:t>
            </w:r>
          </w:p>
          <w:p>
            <w:pPr>
              <w:widowControl/>
              <w:spacing w:line="320" w:lineRule="exact"/>
              <w:jc w:val="center"/>
              <w:textAlignment w:val="center"/>
              <w:rPr>
                <w:rFonts w:eastAsia="仿宋_GB2312"/>
                <w:kern w:val="0"/>
                <w:sz w:val="24"/>
              </w:rPr>
            </w:pPr>
            <w:r>
              <w:rPr>
                <w:rFonts w:eastAsia="仿宋_GB2312"/>
                <w:kern w:val="0"/>
                <w:sz w:val="24"/>
              </w:rPr>
              <w:t>执行情况</w:t>
            </w:r>
          </w:p>
          <w:p>
            <w:pPr>
              <w:widowControl/>
              <w:spacing w:line="320" w:lineRule="exact"/>
              <w:jc w:val="center"/>
              <w:textAlignment w:val="center"/>
              <w:rPr>
                <w:rFonts w:eastAsia="仿宋_GB2312"/>
                <w:sz w:val="24"/>
              </w:rPr>
            </w:pPr>
            <w:r>
              <w:rPr>
                <w:rFonts w:eastAsia="仿宋_GB2312"/>
                <w:kern w:val="0"/>
                <w:sz w:val="24"/>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预算数：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18</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执行数：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18</w:t>
            </w:r>
          </w:p>
        </w:tc>
      </w:tr>
      <w:tr>
        <w:tblPrEx>
          <w:tblCellMar>
            <w:top w:w="0" w:type="dxa"/>
            <w:left w:w="108" w:type="dxa"/>
            <w:bottom w:w="0" w:type="dxa"/>
            <w:right w:w="108" w:type="dxa"/>
          </w:tblCellMar>
        </w:tblPrEx>
        <w:trPr>
          <w:trHeight w:val="555"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18</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18</w:t>
            </w:r>
          </w:p>
        </w:tc>
      </w:tr>
      <w:tr>
        <w:tblPrEx>
          <w:tblCellMar>
            <w:top w:w="0" w:type="dxa"/>
            <w:left w:w="108" w:type="dxa"/>
            <w:bottom w:w="0" w:type="dxa"/>
            <w:right w:w="108" w:type="dxa"/>
          </w:tblCellMar>
        </w:tblPrEx>
        <w:trPr>
          <w:trHeight w:val="341"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p>
        </w:tc>
      </w:tr>
      <w:tr>
        <w:tblPrEx>
          <w:tblCellMar>
            <w:top w:w="0" w:type="dxa"/>
            <w:left w:w="108" w:type="dxa"/>
            <w:bottom w:w="0" w:type="dxa"/>
            <w:right w:w="108" w:type="dxa"/>
          </w:tblCellMar>
        </w:tblPrEx>
        <w:trPr>
          <w:trHeight w:val="217" w:hRule="atLeast"/>
        </w:trPr>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年度总体目标</w:t>
            </w:r>
          </w:p>
          <w:p>
            <w:pPr>
              <w:widowControl/>
              <w:spacing w:line="320" w:lineRule="exact"/>
              <w:jc w:val="center"/>
              <w:textAlignment w:val="center"/>
              <w:rPr>
                <w:rFonts w:eastAsia="仿宋_GB2312"/>
                <w:sz w:val="24"/>
              </w:rPr>
            </w:pPr>
            <w:r>
              <w:rPr>
                <w:rFonts w:eastAsia="仿宋_GB2312"/>
                <w:kern w:val="0"/>
                <w:sz w:val="24"/>
              </w:rPr>
              <w:t>完成情况</w:t>
            </w: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预期目标</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目标实际完成情况</w:t>
            </w:r>
          </w:p>
        </w:tc>
      </w:tr>
      <w:tr>
        <w:tblPrEx>
          <w:tblCellMar>
            <w:top w:w="0" w:type="dxa"/>
            <w:left w:w="108" w:type="dxa"/>
            <w:bottom w:w="0" w:type="dxa"/>
            <w:right w:w="108" w:type="dxa"/>
          </w:tblCellMar>
        </w:tblPrEx>
        <w:trPr>
          <w:trHeight w:val="797"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为庆祝建党100周年，京剧《浩然成昆》汇报</w:t>
            </w:r>
            <w:r>
              <w:rPr>
                <w:rFonts w:hint="eastAsia" w:eastAsia="仿宋_GB2312"/>
                <w:sz w:val="24"/>
              </w:rPr>
              <w:t>演出</w:t>
            </w:r>
            <w:r>
              <w:rPr>
                <w:rFonts w:eastAsia="仿宋_GB2312"/>
                <w:sz w:val="24"/>
              </w:rPr>
              <w:t>。</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为庆祝建党100周年，京剧《浩然成昆》，圆满完成汇报演出5场次。</w:t>
            </w:r>
          </w:p>
        </w:tc>
      </w:tr>
      <w:tr>
        <w:tblPrEx>
          <w:tblCellMar>
            <w:top w:w="0" w:type="dxa"/>
            <w:left w:w="108" w:type="dxa"/>
            <w:bottom w:w="0" w:type="dxa"/>
            <w:right w:w="108" w:type="dxa"/>
          </w:tblCellMar>
        </w:tblPrEx>
        <w:trPr>
          <w:trHeight w:val="693" w:hRule="atLeast"/>
        </w:trPr>
        <w:tc>
          <w:tcPr>
            <w:tcW w:w="13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年度绩效指标完成情况</w:t>
            </w:r>
          </w:p>
        </w:tc>
        <w:tc>
          <w:tcPr>
            <w:tcW w:w="103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一级</w:t>
            </w:r>
          </w:p>
          <w:p>
            <w:pPr>
              <w:widowControl/>
              <w:spacing w:line="320" w:lineRule="exact"/>
              <w:jc w:val="center"/>
              <w:textAlignment w:val="center"/>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二级</w:t>
            </w:r>
          </w:p>
          <w:p>
            <w:pPr>
              <w:widowControl/>
              <w:spacing w:line="320" w:lineRule="exact"/>
              <w:jc w:val="center"/>
              <w:textAlignment w:val="center"/>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三级</w:t>
            </w:r>
          </w:p>
          <w:p>
            <w:pPr>
              <w:widowControl/>
              <w:spacing w:line="320" w:lineRule="exact"/>
              <w:jc w:val="center"/>
              <w:textAlignment w:val="center"/>
              <w:rPr>
                <w:rFonts w:eastAsia="仿宋_GB2312"/>
                <w:sz w:val="24"/>
              </w:rPr>
            </w:pPr>
            <w:r>
              <w:rPr>
                <w:rFonts w:eastAsia="仿宋_GB2312"/>
                <w:kern w:val="0"/>
                <w:sz w:val="24"/>
              </w:rPr>
              <w:t>指标</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预期指标值</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实际完成指标值</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_GB2312"/>
                <w:kern w:val="0"/>
                <w:sz w:val="24"/>
              </w:rPr>
            </w:pPr>
            <w:r>
              <w:rPr>
                <w:rFonts w:eastAsia="仿宋_GB2312"/>
                <w:kern w:val="0"/>
                <w:sz w:val="24"/>
              </w:rPr>
              <w:t>完成</w:t>
            </w:r>
          </w:p>
          <w:p>
            <w:pPr>
              <w:widowControl/>
              <w:spacing w:line="320" w:lineRule="exact"/>
              <w:jc w:val="left"/>
              <w:textAlignment w:val="bottom"/>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数量指标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完成场次</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成都、攀枝花共5场次。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成都、攀枝花共5场次。</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质量指标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eastAsia="仿宋_GB2312"/>
                <w:sz w:val="24"/>
              </w:rPr>
            </w:pPr>
            <w:r>
              <w:rPr>
                <w:rFonts w:eastAsia="仿宋_GB2312"/>
                <w:sz w:val="24"/>
              </w:rPr>
              <w:t>内容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大型现代京剧</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b/>
                <w:bCs/>
                <w:sz w:val="24"/>
              </w:rPr>
            </w:pPr>
            <w:r>
              <w:rPr>
                <w:rFonts w:eastAsia="仿宋_GB2312"/>
                <w:sz w:val="24"/>
              </w:rPr>
              <w:t>大型现代京剧</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时效指标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按计划进行</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成本指标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生产成本</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18万元</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18万元</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社会效益</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弘扬“三线精神”、倡导社会主义核心价值观</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以成昆铁路建设为题材，歌颂伟大的祖国建设者；通过该剧的打磨、提高和巡演，宣传攀枝花，讲好攀枝花故事。</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以成昆铁路建设为题材，歌颂伟大的祖国建设者；通过该剧的打磨、提高和巡演，宣传攀枝花，讲好攀枝花故事。</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可持续影响 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项目经我们初步评估，具有极强的可操作性，投入低，社会效益好</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r>
      <w:tr>
        <w:tblPrEx>
          <w:tblCellMar>
            <w:top w:w="0" w:type="dxa"/>
            <w:left w:w="108" w:type="dxa"/>
            <w:bottom w:w="0" w:type="dxa"/>
            <w:right w:w="108" w:type="dxa"/>
          </w:tblCellMar>
        </w:tblPrEx>
        <w:trPr>
          <w:trHeight w:val="530" w:hRule="atLeast"/>
        </w:trPr>
        <w:tc>
          <w:tcPr>
            <w:tcW w:w="136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w:t>
            </w:r>
          </w:p>
          <w:p>
            <w:pPr>
              <w:widowControl/>
              <w:spacing w:line="320" w:lineRule="exact"/>
              <w:jc w:val="left"/>
              <w:textAlignment w:val="bottom"/>
              <w:rPr>
                <w:rFonts w:eastAsia="仿宋_GB2312"/>
                <w:sz w:val="24"/>
              </w:rPr>
            </w:pPr>
            <w:r>
              <w:rPr>
                <w:rFonts w:eastAsia="仿宋_GB2312"/>
                <w:kern w:val="0"/>
                <w:sz w:val="24"/>
              </w:rPr>
              <w:t>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满意度</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观众满意度</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r>
      <w:tr>
        <w:tblPrEx>
          <w:tblCellMar>
            <w:top w:w="0" w:type="dxa"/>
            <w:left w:w="108" w:type="dxa"/>
            <w:bottom w:w="0" w:type="dxa"/>
            <w:right w:w="108" w:type="dxa"/>
          </w:tblCellMar>
        </w:tblPrEx>
        <w:trPr>
          <w:trHeight w:val="1743" w:hRule="atLeast"/>
        </w:trPr>
        <w:tc>
          <w:tcPr>
            <w:tcW w:w="9577" w:type="dxa"/>
            <w:gridSpan w:val="6"/>
            <w:tcBorders>
              <w:top w:val="nil"/>
              <w:left w:val="nil"/>
              <w:bottom w:val="nil"/>
              <w:right w:val="nil"/>
            </w:tcBorders>
            <w:shd w:val="clear" w:color="auto" w:fill="auto"/>
            <w:vAlign w:val="center"/>
          </w:tcPr>
          <w:p>
            <w:pPr>
              <w:pStyle w:val="4"/>
              <w:ind w:firstLine="643" w:firstLineChars="200"/>
              <w:rPr>
                <w:rFonts w:ascii="Times New Roman" w:hAnsi="Times New Roman" w:cs="Times New Roman"/>
              </w:rPr>
            </w:pPr>
            <w:r>
              <w:rPr>
                <w:rFonts w:ascii="Times New Roman" w:hAnsi="Times New Roman" w:cs="Times New Roman"/>
              </w:rPr>
              <w:t>四川省剧目工作室《浩然成昆》四川艺术基金2021年度</w:t>
            </w:r>
          </w:p>
          <w:p>
            <w:pPr>
              <w:pStyle w:val="4"/>
              <w:ind w:firstLine="1285" w:firstLineChars="400"/>
              <w:rPr>
                <w:rFonts w:ascii="Times New Roman" w:hAnsi="Times New Roman" w:cs="Times New Roman"/>
              </w:rPr>
            </w:pPr>
            <w:r>
              <w:rPr>
                <w:rFonts w:ascii="Times New Roman" w:hAnsi="Times New Roman" w:cs="Times New Roman"/>
              </w:rPr>
              <w:t>经费资助、省戏曲家协会对京剧《浩然成昆》补助</w:t>
            </w:r>
          </w:p>
          <w:p>
            <w:pPr>
              <w:pStyle w:val="4"/>
              <w:ind w:firstLine="2249" w:firstLineChars="700"/>
              <w:rPr>
                <w:rFonts w:ascii="Times New Roman" w:hAnsi="Times New Roman" w:cs="Times New Roman"/>
              </w:rPr>
            </w:pPr>
            <w:r>
              <w:rPr>
                <w:rFonts w:ascii="Times New Roman" w:hAnsi="Times New Roman" w:cs="Times New Roman"/>
              </w:rPr>
              <w:t>经费、</w:t>
            </w:r>
            <w:r>
              <w:rPr>
                <w:rFonts w:hint="eastAsia" w:ascii="Times New Roman" w:hAnsi="Times New Roman" w:cs="Times New Roman"/>
              </w:rPr>
              <w:t>市委宣传部</w:t>
            </w:r>
            <w:r>
              <w:rPr>
                <w:rFonts w:ascii="Times New Roman" w:hAnsi="Times New Roman" w:cs="Times New Roman"/>
              </w:rPr>
              <w:t>文艺创作扶持资金</w:t>
            </w:r>
          </w:p>
        </w:tc>
      </w:tr>
      <w:tr>
        <w:tblPrEx>
          <w:tblCellMar>
            <w:top w:w="0" w:type="dxa"/>
            <w:left w:w="108" w:type="dxa"/>
            <w:bottom w:w="0" w:type="dxa"/>
            <w:right w:w="108" w:type="dxa"/>
          </w:tblCellMar>
        </w:tblPrEx>
        <w:trPr>
          <w:trHeight w:val="254" w:hRule="atLeast"/>
        </w:trPr>
        <w:tc>
          <w:tcPr>
            <w:tcW w:w="2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主管部门及代码</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r>
              <w:rPr>
                <w:rFonts w:eastAsia="仿宋_GB2312"/>
                <w:sz w:val="24"/>
              </w:rPr>
              <w:t>攀枝花市文化广播电视和旅游局</w:t>
            </w:r>
            <w:r>
              <w:rPr>
                <w:rFonts w:hint="eastAsia" w:eastAsia="仿宋_GB2312"/>
                <w:sz w:val="24"/>
              </w:rPr>
              <w:t>－</w:t>
            </w:r>
            <w:r>
              <w:rPr>
                <w:rFonts w:eastAsia="仿宋_GB2312"/>
                <w:sz w:val="24"/>
              </w:rPr>
              <w:t xml:space="preserve"> 205001</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实施单位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攀枝花市文化艺术中心</w:t>
            </w:r>
          </w:p>
        </w:tc>
      </w:tr>
      <w:tr>
        <w:tblPrEx>
          <w:tblCellMar>
            <w:top w:w="0" w:type="dxa"/>
            <w:left w:w="108" w:type="dxa"/>
            <w:bottom w:w="0" w:type="dxa"/>
            <w:right w:w="108" w:type="dxa"/>
          </w:tblCellMar>
        </w:tblPrEx>
        <w:trPr>
          <w:trHeight w:val="341" w:hRule="atLeast"/>
        </w:trPr>
        <w:tc>
          <w:tcPr>
            <w:tcW w:w="2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项目预算</w:t>
            </w:r>
          </w:p>
          <w:p>
            <w:pPr>
              <w:widowControl/>
              <w:spacing w:line="320" w:lineRule="exact"/>
              <w:jc w:val="center"/>
              <w:textAlignment w:val="center"/>
              <w:rPr>
                <w:rFonts w:eastAsia="仿宋_GB2312"/>
                <w:kern w:val="0"/>
                <w:sz w:val="24"/>
              </w:rPr>
            </w:pPr>
            <w:r>
              <w:rPr>
                <w:rFonts w:eastAsia="仿宋_GB2312"/>
                <w:kern w:val="0"/>
                <w:sz w:val="24"/>
              </w:rPr>
              <w:t>执行情况</w:t>
            </w:r>
          </w:p>
          <w:p>
            <w:pPr>
              <w:widowControl/>
              <w:spacing w:line="320" w:lineRule="exact"/>
              <w:jc w:val="center"/>
              <w:textAlignment w:val="center"/>
              <w:rPr>
                <w:rFonts w:eastAsia="仿宋_GB2312"/>
                <w:sz w:val="24"/>
              </w:rPr>
            </w:pPr>
            <w:r>
              <w:rPr>
                <w:rFonts w:eastAsia="仿宋_GB2312"/>
                <w:kern w:val="0"/>
                <w:sz w:val="24"/>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预算数：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56.74</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 xml:space="preserve"> 执行数：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56.74</w:t>
            </w:r>
          </w:p>
        </w:tc>
      </w:tr>
      <w:tr>
        <w:tblPrEx>
          <w:tblCellMar>
            <w:top w:w="0" w:type="dxa"/>
            <w:left w:w="108" w:type="dxa"/>
            <w:bottom w:w="0" w:type="dxa"/>
            <w:right w:w="108" w:type="dxa"/>
          </w:tblCellMar>
        </w:tblPrEx>
        <w:trPr>
          <w:trHeight w:val="555"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kern w:val="0"/>
                <w:sz w:val="24"/>
              </w:rPr>
            </w:pPr>
            <w:r>
              <w:rPr>
                <w:rFonts w:eastAsia="仿宋_GB2312"/>
                <w:kern w:val="0"/>
                <w:sz w:val="24"/>
              </w:rPr>
              <w:t>其中：</w:t>
            </w:r>
          </w:p>
          <w:p>
            <w:pPr>
              <w:widowControl/>
              <w:spacing w:line="320" w:lineRule="exact"/>
              <w:jc w:val="left"/>
              <w:textAlignment w:val="center"/>
              <w:rPr>
                <w:rFonts w:eastAsia="仿宋_GB2312"/>
                <w:sz w:val="24"/>
              </w:rPr>
            </w:pPr>
            <w:r>
              <w:rPr>
                <w:rFonts w:eastAsia="仿宋_GB2312"/>
                <w:kern w:val="0"/>
                <w:sz w:val="24"/>
              </w:rPr>
              <w:t>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_GB2312"/>
                <w:sz w:val="24"/>
              </w:rPr>
            </w:pPr>
          </w:p>
        </w:tc>
      </w:tr>
      <w:tr>
        <w:tblPrEx>
          <w:tblCellMar>
            <w:top w:w="0" w:type="dxa"/>
            <w:left w:w="108" w:type="dxa"/>
            <w:bottom w:w="0" w:type="dxa"/>
            <w:right w:w="108" w:type="dxa"/>
          </w:tblCellMar>
        </w:tblPrEx>
        <w:trPr>
          <w:trHeight w:val="341" w:hRule="atLeast"/>
        </w:trPr>
        <w:tc>
          <w:tcPr>
            <w:tcW w:w="2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sz w:val="24"/>
              </w:rPr>
              <w:t>56.74</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_GB2312"/>
                <w:sz w:val="24"/>
              </w:rPr>
            </w:pPr>
            <w:r>
              <w:rPr>
                <w:rFonts w:eastAsia="仿宋_GB2312"/>
                <w:kern w:val="0"/>
                <w:sz w:val="24"/>
              </w:rPr>
              <w:t>其他资金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sz w:val="24"/>
              </w:rPr>
              <w:t>56.74</w:t>
            </w:r>
          </w:p>
        </w:tc>
      </w:tr>
      <w:tr>
        <w:tblPrEx>
          <w:tblCellMar>
            <w:top w:w="0" w:type="dxa"/>
            <w:left w:w="108" w:type="dxa"/>
            <w:bottom w:w="0" w:type="dxa"/>
            <w:right w:w="108" w:type="dxa"/>
          </w:tblCellMar>
        </w:tblPrEx>
        <w:trPr>
          <w:trHeight w:val="217" w:hRule="atLeast"/>
        </w:trPr>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年度总体目标</w:t>
            </w:r>
          </w:p>
          <w:p>
            <w:pPr>
              <w:widowControl/>
              <w:spacing w:line="320" w:lineRule="exact"/>
              <w:jc w:val="center"/>
              <w:textAlignment w:val="center"/>
              <w:rPr>
                <w:rFonts w:eastAsia="仿宋_GB2312"/>
                <w:sz w:val="24"/>
              </w:rPr>
            </w:pPr>
            <w:r>
              <w:rPr>
                <w:rFonts w:eastAsia="仿宋_GB2312"/>
                <w:kern w:val="0"/>
                <w:sz w:val="24"/>
              </w:rPr>
              <w:t>完成情况</w:t>
            </w: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预期目标</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目标实际完成情况</w:t>
            </w:r>
          </w:p>
        </w:tc>
      </w:tr>
      <w:tr>
        <w:tblPrEx>
          <w:tblCellMar>
            <w:top w:w="0" w:type="dxa"/>
            <w:left w:w="108" w:type="dxa"/>
            <w:bottom w:w="0" w:type="dxa"/>
            <w:right w:w="108" w:type="dxa"/>
          </w:tblCellMar>
        </w:tblPrEx>
        <w:trPr>
          <w:trHeight w:val="797"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_GB2312"/>
                <w:sz w:val="24"/>
              </w:rPr>
            </w:pP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完成大型现代京剧《浩然成昆》打磨、提高、巡演。</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_GB2312"/>
                <w:sz w:val="24"/>
              </w:rPr>
            </w:pPr>
            <w:r>
              <w:rPr>
                <w:rFonts w:eastAsia="仿宋_GB2312"/>
                <w:sz w:val="24"/>
              </w:rPr>
              <w:t>完成了大型现代京剧《浩然成昆》打磨、提高、巡演5场次。并完成四川艺术基金经费资助结项工作。</w:t>
            </w:r>
          </w:p>
        </w:tc>
      </w:tr>
      <w:tr>
        <w:tblPrEx>
          <w:tblCellMar>
            <w:top w:w="0" w:type="dxa"/>
            <w:left w:w="108" w:type="dxa"/>
            <w:bottom w:w="0" w:type="dxa"/>
            <w:right w:w="108" w:type="dxa"/>
          </w:tblCellMar>
        </w:tblPrEx>
        <w:trPr>
          <w:trHeight w:val="693" w:hRule="atLeast"/>
        </w:trPr>
        <w:tc>
          <w:tcPr>
            <w:tcW w:w="13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年度绩效指标完成情况</w:t>
            </w:r>
          </w:p>
        </w:tc>
        <w:tc>
          <w:tcPr>
            <w:tcW w:w="103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一级</w:t>
            </w:r>
          </w:p>
          <w:p>
            <w:pPr>
              <w:widowControl/>
              <w:spacing w:line="320" w:lineRule="exact"/>
              <w:jc w:val="center"/>
              <w:textAlignment w:val="center"/>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二级</w:t>
            </w:r>
          </w:p>
          <w:p>
            <w:pPr>
              <w:widowControl/>
              <w:spacing w:line="320" w:lineRule="exact"/>
              <w:jc w:val="center"/>
              <w:textAlignment w:val="center"/>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kern w:val="0"/>
                <w:sz w:val="24"/>
              </w:rPr>
            </w:pPr>
            <w:r>
              <w:rPr>
                <w:rFonts w:eastAsia="仿宋_GB2312"/>
                <w:kern w:val="0"/>
                <w:sz w:val="24"/>
              </w:rPr>
              <w:t>三级</w:t>
            </w:r>
          </w:p>
          <w:p>
            <w:pPr>
              <w:widowControl/>
              <w:spacing w:line="320" w:lineRule="exact"/>
              <w:jc w:val="center"/>
              <w:textAlignment w:val="center"/>
              <w:rPr>
                <w:rFonts w:eastAsia="仿宋_GB2312"/>
                <w:sz w:val="24"/>
              </w:rPr>
            </w:pPr>
            <w:r>
              <w:rPr>
                <w:rFonts w:eastAsia="仿宋_GB2312"/>
                <w:kern w:val="0"/>
                <w:sz w:val="24"/>
              </w:rPr>
              <w:t>指标</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预期指标值</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_GB2312"/>
                <w:sz w:val="24"/>
              </w:rPr>
            </w:pPr>
            <w:r>
              <w:rPr>
                <w:rFonts w:eastAsia="仿宋_GB2312"/>
                <w:kern w:val="0"/>
                <w:sz w:val="24"/>
              </w:rPr>
              <w:t>实际完成指标值</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_GB2312"/>
                <w:kern w:val="0"/>
                <w:sz w:val="24"/>
              </w:rPr>
            </w:pPr>
            <w:r>
              <w:rPr>
                <w:rFonts w:eastAsia="仿宋_GB2312"/>
                <w:kern w:val="0"/>
                <w:sz w:val="24"/>
              </w:rPr>
              <w:t>完成</w:t>
            </w:r>
          </w:p>
          <w:p>
            <w:pPr>
              <w:widowControl/>
              <w:spacing w:line="320" w:lineRule="exact"/>
              <w:jc w:val="left"/>
              <w:textAlignment w:val="bottom"/>
              <w:rPr>
                <w:rFonts w:eastAsia="仿宋_GB2312"/>
                <w:sz w:val="24"/>
              </w:rPr>
            </w:pPr>
            <w:r>
              <w:rPr>
                <w:rFonts w:eastAsia="仿宋_GB2312"/>
                <w:kern w:val="0"/>
                <w:sz w:val="24"/>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数量指标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演出场次</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成都、攀枝花共5场次。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成都、攀枝花共5场次。</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质量指标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eastAsia="仿宋_GB2312"/>
                <w:sz w:val="24"/>
              </w:rPr>
            </w:pPr>
            <w:r>
              <w:rPr>
                <w:rFonts w:eastAsia="仿宋_GB2312"/>
                <w:sz w:val="24"/>
              </w:rPr>
              <w:t>内容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大型现代京剧</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b/>
                <w:bCs/>
                <w:sz w:val="24"/>
              </w:rPr>
            </w:pPr>
            <w:r>
              <w:rPr>
                <w:rFonts w:eastAsia="仿宋_GB2312"/>
                <w:sz w:val="24"/>
              </w:rPr>
              <w:t>大型现代京剧</w:t>
            </w:r>
          </w:p>
        </w:tc>
      </w:tr>
      <w:tr>
        <w:tblPrEx>
          <w:tblCellMar>
            <w:top w:w="0" w:type="dxa"/>
            <w:left w:w="108" w:type="dxa"/>
            <w:bottom w:w="0" w:type="dxa"/>
            <w:right w:w="108" w:type="dxa"/>
          </w:tblCellMar>
        </w:tblPrEx>
        <w:trPr>
          <w:trHeight w:val="415"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时效指标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按计划进行</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2021年12月31日</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成本指标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生产成本</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56.74</w:t>
            </w:r>
            <w:r>
              <w:rPr>
                <w:rFonts w:hint="eastAsia" w:eastAsia="仿宋_GB2312"/>
                <w:sz w:val="24"/>
              </w:rPr>
              <w:t>万元</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56.74万元</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社会效益</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弘扬“三线精神”、倡导社会主义核心价值观</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以成昆铁路建设为题材，歌颂伟大的祖国建设者；通过该剧的打磨、提高和巡演，宣传攀枝花，讲好攀枝花故事。</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以成昆铁路建设为题材，歌颂伟大的祖国建设者；通过该剧的打磨、提高和巡演，宣传攀枝花，讲好攀枝花故事。</w:t>
            </w:r>
          </w:p>
        </w:tc>
      </w:tr>
      <w:tr>
        <w:tblPrEx>
          <w:tblCellMar>
            <w:top w:w="0" w:type="dxa"/>
            <w:left w:w="108" w:type="dxa"/>
            <w:bottom w:w="0" w:type="dxa"/>
            <w:right w:w="108" w:type="dxa"/>
          </w:tblCellMar>
        </w:tblPrEx>
        <w:trPr>
          <w:trHeight w:val="480" w:hRule="atLeast"/>
        </w:trPr>
        <w:tc>
          <w:tcPr>
            <w:tcW w:w="136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_GB2312"/>
                <w:sz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kern w:val="0"/>
                <w:sz w:val="24"/>
              </w:rPr>
              <w:t>可持续影响 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项目经我们初步评估，具有极强的可操作性，投入低，社会效益好</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长期</w:t>
            </w:r>
          </w:p>
        </w:tc>
      </w:tr>
      <w:tr>
        <w:tblPrEx>
          <w:tblCellMar>
            <w:top w:w="0" w:type="dxa"/>
            <w:left w:w="108" w:type="dxa"/>
            <w:bottom w:w="0" w:type="dxa"/>
            <w:right w:w="108" w:type="dxa"/>
          </w:tblCellMar>
        </w:tblPrEx>
        <w:trPr>
          <w:trHeight w:val="530" w:hRule="atLeast"/>
        </w:trPr>
        <w:tc>
          <w:tcPr>
            <w:tcW w:w="136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_GB2312"/>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w:t>
            </w:r>
          </w:p>
          <w:p>
            <w:pPr>
              <w:widowControl/>
              <w:spacing w:line="320" w:lineRule="exact"/>
              <w:jc w:val="left"/>
              <w:textAlignment w:val="bottom"/>
              <w:rPr>
                <w:rFonts w:eastAsia="仿宋_GB2312"/>
                <w:sz w:val="24"/>
              </w:rPr>
            </w:pPr>
            <w:r>
              <w:rPr>
                <w:rFonts w:eastAsia="仿宋_GB2312"/>
                <w:kern w:val="0"/>
                <w:sz w:val="24"/>
              </w:rPr>
              <w:t>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kern w:val="0"/>
                <w:sz w:val="24"/>
              </w:rPr>
            </w:pPr>
            <w:r>
              <w:rPr>
                <w:rFonts w:eastAsia="仿宋_GB2312"/>
                <w:kern w:val="0"/>
                <w:sz w:val="24"/>
              </w:rPr>
              <w:t>满意度</w:t>
            </w:r>
          </w:p>
          <w:p>
            <w:pPr>
              <w:widowControl/>
              <w:spacing w:line="320" w:lineRule="exact"/>
              <w:jc w:val="left"/>
              <w:textAlignment w:val="bottom"/>
              <w:rPr>
                <w:rFonts w:eastAsia="仿宋_GB2312"/>
                <w:sz w:val="24"/>
              </w:rPr>
            </w:pPr>
            <w:r>
              <w:rPr>
                <w:rFonts w:eastAsia="仿宋_GB2312"/>
                <w:kern w:val="0"/>
                <w:sz w:val="24"/>
              </w:rPr>
              <w:t>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满意度</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_GB2312"/>
                <w:sz w:val="24"/>
              </w:rPr>
            </w:pPr>
            <w:r>
              <w:rPr>
                <w:rFonts w:eastAsia="仿宋_GB2312"/>
                <w:sz w:val="24"/>
              </w:rPr>
              <w:t>≥95%</w:t>
            </w:r>
          </w:p>
        </w:tc>
      </w:tr>
    </w:tbl>
    <w:p>
      <w:pPr>
        <w:spacing w:line="600" w:lineRule="exact"/>
        <w:ind w:firstLine="3080" w:firstLineChars="700"/>
        <w:outlineLvl w:val="0"/>
        <w:rPr>
          <w:rFonts w:eastAsia="仿宋"/>
        </w:rPr>
      </w:pPr>
      <w:bookmarkStart w:id="68" w:name="_Toc24057"/>
      <w:r>
        <w:rPr>
          <w:rFonts w:eastAsia="黑体"/>
          <w:sz w:val="44"/>
          <w:szCs w:val="44"/>
        </w:rPr>
        <w:t>第</w:t>
      </w:r>
      <w:r>
        <w:rPr>
          <w:rStyle w:val="24"/>
          <w:rFonts w:eastAsia="黑体"/>
          <w:b w:val="0"/>
        </w:rPr>
        <w:t>五部分 附表</w:t>
      </w:r>
      <w:bookmarkEnd w:id="66"/>
      <w:bookmarkEnd w:id="67"/>
      <w:bookmarkEnd w:id="68"/>
      <w:bookmarkStart w:id="69" w:name="_Toc15396619"/>
    </w:p>
    <w:p>
      <w:pPr>
        <w:pStyle w:val="4"/>
        <w:rPr>
          <w:rFonts w:ascii="Times New Roman" w:hAnsi="Times New Roman" w:eastAsia="仿宋" w:cs="Times New Roman"/>
        </w:rPr>
      </w:pPr>
      <w:bookmarkStart w:id="70" w:name="_Toc8077"/>
      <w:r>
        <w:rPr>
          <w:rFonts w:ascii="Times New Roman" w:hAnsi="Times New Roman" w:eastAsia="仿宋" w:cs="Times New Roman"/>
          <w:b w:val="0"/>
        </w:rPr>
        <w:t>一、收</w:t>
      </w:r>
      <w:r>
        <w:rPr>
          <w:rStyle w:val="25"/>
          <w:rFonts w:ascii="Times New Roman" w:hAnsi="Times New Roman" w:eastAsia="仿宋" w:cs="Times New Roman"/>
          <w:b w:val="0"/>
          <w:bCs w:val="0"/>
        </w:rPr>
        <w:t>入支出决算总表</w:t>
      </w:r>
      <w:bookmarkEnd w:id="69"/>
      <w:bookmarkEnd w:id="70"/>
    </w:p>
    <w:p>
      <w:pPr>
        <w:pStyle w:val="4"/>
        <w:rPr>
          <w:rFonts w:ascii="Times New Roman" w:hAnsi="Times New Roman" w:eastAsia="仿宋" w:cs="Times New Roman"/>
        </w:rPr>
      </w:pPr>
      <w:bookmarkStart w:id="71" w:name="_Toc15396620"/>
      <w:bookmarkStart w:id="72" w:name="_Toc6843"/>
      <w:r>
        <w:rPr>
          <w:rFonts w:ascii="Times New Roman" w:hAnsi="Times New Roman" w:eastAsia="仿宋" w:cs="Times New Roman"/>
          <w:b w:val="0"/>
        </w:rPr>
        <w:t>二、收</w:t>
      </w:r>
      <w:r>
        <w:rPr>
          <w:rStyle w:val="25"/>
          <w:rFonts w:ascii="Times New Roman" w:hAnsi="Times New Roman" w:eastAsia="仿宋" w:cs="Times New Roman"/>
          <w:b w:val="0"/>
          <w:bCs w:val="0"/>
        </w:rPr>
        <w:t>入决算表</w:t>
      </w:r>
      <w:bookmarkEnd w:id="71"/>
      <w:bookmarkEnd w:id="72"/>
    </w:p>
    <w:p>
      <w:pPr>
        <w:pStyle w:val="4"/>
        <w:rPr>
          <w:rFonts w:ascii="Times New Roman" w:hAnsi="Times New Roman" w:eastAsia="仿宋" w:cs="Times New Roman"/>
        </w:rPr>
      </w:pPr>
      <w:bookmarkStart w:id="73" w:name="_Toc15396621"/>
      <w:bookmarkStart w:id="74" w:name="_Toc14498"/>
      <w:r>
        <w:rPr>
          <w:rStyle w:val="25"/>
          <w:rFonts w:ascii="Times New Roman" w:hAnsi="Times New Roman" w:eastAsia="仿宋" w:cs="Times New Roman"/>
          <w:b w:val="0"/>
          <w:bCs w:val="0"/>
        </w:rPr>
        <w:t>三、</w:t>
      </w:r>
      <w:r>
        <w:rPr>
          <w:rFonts w:ascii="Times New Roman" w:hAnsi="Times New Roman" w:eastAsia="仿宋" w:cs="Times New Roman"/>
          <w:b w:val="0"/>
        </w:rPr>
        <w:t>支</w:t>
      </w:r>
      <w:r>
        <w:rPr>
          <w:rStyle w:val="25"/>
          <w:rFonts w:ascii="Times New Roman" w:hAnsi="Times New Roman" w:eastAsia="仿宋" w:cs="Times New Roman"/>
          <w:b w:val="0"/>
          <w:bCs w:val="0"/>
        </w:rPr>
        <w:t>出决算表</w:t>
      </w:r>
      <w:bookmarkEnd w:id="73"/>
      <w:bookmarkEnd w:id="74"/>
    </w:p>
    <w:p>
      <w:pPr>
        <w:pStyle w:val="4"/>
        <w:rPr>
          <w:rFonts w:ascii="Times New Roman" w:hAnsi="Times New Roman" w:eastAsia="仿宋" w:cs="Times New Roman"/>
          <w:b w:val="0"/>
        </w:rPr>
      </w:pPr>
      <w:bookmarkStart w:id="75" w:name="_Toc774"/>
      <w:bookmarkStart w:id="76" w:name="_Toc15396622"/>
      <w:r>
        <w:rPr>
          <w:rStyle w:val="25"/>
          <w:rFonts w:ascii="Times New Roman" w:hAnsi="Times New Roman" w:eastAsia="仿宋" w:cs="Times New Roman"/>
          <w:b w:val="0"/>
          <w:bCs w:val="0"/>
        </w:rPr>
        <w:t>四、</w:t>
      </w:r>
      <w:r>
        <w:rPr>
          <w:rFonts w:ascii="Times New Roman" w:hAnsi="Times New Roman" w:eastAsia="仿宋" w:cs="Times New Roman"/>
          <w:b w:val="0"/>
        </w:rPr>
        <w:t>财</w:t>
      </w:r>
      <w:r>
        <w:rPr>
          <w:rStyle w:val="25"/>
          <w:rFonts w:ascii="Times New Roman" w:hAnsi="Times New Roman" w:eastAsia="仿宋" w:cs="Times New Roman"/>
          <w:b w:val="0"/>
          <w:bCs w:val="0"/>
        </w:rPr>
        <w:t>政拨款收入支出决算总表</w:t>
      </w:r>
      <w:bookmarkEnd w:id="75"/>
      <w:bookmarkEnd w:id="76"/>
    </w:p>
    <w:p>
      <w:pPr>
        <w:pStyle w:val="4"/>
        <w:rPr>
          <w:rStyle w:val="25"/>
          <w:rFonts w:ascii="Times New Roman" w:hAnsi="Times New Roman" w:eastAsia="仿宋" w:cs="Times New Roman"/>
          <w:b w:val="0"/>
          <w:bCs w:val="0"/>
        </w:rPr>
      </w:pPr>
      <w:bookmarkStart w:id="77" w:name="_Toc15396623"/>
      <w:bookmarkStart w:id="78" w:name="_Toc60"/>
      <w:r>
        <w:rPr>
          <w:rStyle w:val="25"/>
          <w:rFonts w:ascii="Times New Roman" w:hAnsi="Times New Roman" w:eastAsia="仿宋" w:cs="Times New Roman"/>
          <w:b w:val="0"/>
          <w:bCs w:val="0"/>
        </w:rPr>
        <w:t>五、</w:t>
      </w:r>
      <w:r>
        <w:rPr>
          <w:rFonts w:ascii="Times New Roman" w:hAnsi="Times New Roman" w:eastAsia="仿宋" w:cs="Times New Roman"/>
          <w:b w:val="0"/>
        </w:rPr>
        <w:t>财</w:t>
      </w:r>
      <w:r>
        <w:rPr>
          <w:rStyle w:val="25"/>
          <w:rFonts w:ascii="Times New Roman" w:hAnsi="Times New Roman" w:eastAsia="仿宋" w:cs="Times New Roman"/>
          <w:b w:val="0"/>
          <w:bCs w:val="0"/>
        </w:rPr>
        <w:t>政拨款支出决算明细表</w:t>
      </w:r>
      <w:bookmarkEnd w:id="77"/>
      <w:bookmarkEnd w:id="78"/>
      <w:bookmarkStart w:id="79" w:name="_Toc15396624"/>
    </w:p>
    <w:p>
      <w:pPr>
        <w:pStyle w:val="4"/>
        <w:rPr>
          <w:rFonts w:ascii="Times New Roman" w:hAnsi="Times New Roman" w:eastAsia="仿宋" w:cs="Times New Roman"/>
        </w:rPr>
      </w:pPr>
      <w:bookmarkStart w:id="80" w:name="_Toc22889"/>
      <w:r>
        <w:rPr>
          <w:rStyle w:val="25"/>
          <w:rFonts w:ascii="Times New Roman" w:hAnsi="Times New Roman" w:eastAsia="仿宋" w:cs="Times New Roman"/>
          <w:b w:val="0"/>
          <w:bCs w:val="0"/>
        </w:rPr>
        <w:t>六、</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般公共预算财政拨款支出决算表</w:t>
      </w:r>
      <w:bookmarkEnd w:id="79"/>
      <w:bookmarkEnd w:id="80"/>
    </w:p>
    <w:p>
      <w:pPr>
        <w:pStyle w:val="4"/>
        <w:rPr>
          <w:rFonts w:ascii="Times New Roman" w:hAnsi="Times New Roman" w:eastAsia="仿宋" w:cs="Times New Roman"/>
        </w:rPr>
      </w:pPr>
      <w:bookmarkStart w:id="81" w:name="_Toc27047"/>
      <w:bookmarkStart w:id="82" w:name="_Toc15396625"/>
      <w:r>
        <w:rPr>
          <w:rStyle w:val="25"/>
          <w:rFonts w:ascii="Times New Roman" w:hAnsi="Times New Roman" w:eastAsia="仿宋" w:cs="Times New Roman"/>
          <w:b w:val="0"/>
          <w:bCs w:val="0"/>
        </w:rPr>
        <w:t>七、</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般公共预算财政拨款支出决算明细表</w:t>
      </w:r>
      <w:bookmarkEnd w:id="81"/>
      <w:bookmarkEnd w:id="82"/>
    </w:p>
    <w:p>
      <w:pPr>
        <w:pStyle w:val="4"/>
        <w:rPr>
          <w:rFonts w:ascii="Times New Roman" w:hAnsi="Times New Roman" w:eastAsia="仿宋" w:cs="Times New Roman"/>
        </w:rPr>
      </w:pPr>
      <w:bookmarkStart w:id="83" w:name="_Toc31498"/>
      <w:bookmarkStart w:id="84" w:name="_Toc15396626"/>
      <w:r>
        <w:rPr>
          <w:rStyle w:val="25"/>
          <w:rFonts w:ascii="Times New Roman" w:hAnsi="Times New Roman" w:eastAsia="仿宋" w:cs="Times New Roman"/>
          <w:b w:val="0"/>
          <w:bCs w:val="0"/>
        </w:rPr>
        <w:t>八、</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般公共预算财政拨款基本支出决算表</w:t>
      </w:r>
      <w:bookmarkEnd w:id="83"/>
      <w:bookmarkEnd w:id="84"/>
    </w:p>
    <w:p>
      <w:pPr>
        <w:pStyle w:val="4"/>
        <w:rPr>
          <w:rFonts w:ascii="Times New Roman" w:hAnsi="Times New Roman" w:eastAsia="仿宋" w:cs="Times New Roman"/>
        </w:rPr>
      </w:pPr>
      <w:bookmarkStart w:id="85" w:name="_Toc15396627"/>
      <w:bookmarkStart w:id="86" w:name="_Toc1412"/>
      <w:r>
        <w:rPr>
          <w:rStyle w:val="25"/>
          <w:rFonts w:ascii="Times New Roman" w:hAnsi="Times New Roman" w:eastAsia="仿宋" w:cs="Times New Roman"/>
          <w:b w:val="0"/>
          <w:bCs w:val="0"/>
        </w:rPr>
        <w:t>九、</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般公共预算财政拨款项目支出决算表</w:t>
      </w:r>
      <w:bookmarkEnd w:id="85"/>
      <w:bookmarkEnd w:id="86"/>
    </w:p>
    <w:p>
      <w:pPr>
        <w:pStyle w:val="4"/>
        <w:rPr>
          <w:rFonts w:ascii="Times New Roman" w:hAnsi="Times New Roman" w:eastAsia="仿宋" w:cs="Times New Roman"/>
        </w:rPr>
      </w:pPr>
      <w:bookmarkStart w:id="87" w:name="_Toc13378"/>
      <w:bookmarkStart w:id="88" w:name="_Toc15396628"/>
      <w:r>
        <w:rPr>
          <w:rStyle w:val="25"/>
          <w:rFonts w:ascii="Times New Roman" w:hAnsi="Times New Roman" w:eastAsia="仿宋" w:cs="Times New Roman"/>
          <w:b w:val="0"/>
          <w:bCs w:val="0"/>
        </w:rPr>
        <w:t>十、</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般公共预算财政拨款“三公”经费支出决算表</w:t>
      </w:r>
      <w:bookmarkEnd w:id="87"/>
      <w:bookmarkEnd w:id="88"/>
    </w:p>
    <w:p>
      <w:pPr>
        <w:pStyle w:val="4"/>
        <w:rPr>
          <w:rFonts w:ascii="Times New Roman" w:hAnsi="Times New Roman" w:eastAsia="仿宋" w:cs="Times New Roman"/>
        </w:rPr>
      </w:pPr>
      <w:bookmarkStart w:id="89" w:name="_Toc15396629"/>
      <w:bookmarkStart w:id="90" w:name="_Toc13492"/>
      <w:r>
        <w:rPr>
          <w:rStyle w:val="25"/>
          <w:rFonts w:ascii="Times New Roman" w:hAnsi="Times New Roman" w:eastAsia="仿宋" w:cs="Times New Roman"/>
          <w:b w:val="0"/>
          <w:bCs w:val="0"/>
        </w:rPr>
        <w:t>十一、</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府性基金预算财政拨款收入支出决算表</w:t>
      </w:r>
      <w:bookmarkEnd w:id="89"/>
      <w:bookmarkEnd w:id="90"/>
      <w:r>
        <w:rPr>
          <w:rStyle w:val="25"/>
          <w:rFonts w:hint="eastAsia" w:ascii="Times New Roman" w:hAnsi="Times New Roman" w:eastAsia="仿宋" w:cs="Times New Roman"/>
          <w:b w:val="0"/>
          <w:bCs w:val="0"/>
        </w:rPr>
        <w:t>（此表无数据）</w:t>
      </w:r>
    </w:p>
    <w:p>
      <w:pPr>
        <w:pStyle w:val="4"/>
        <w:rPr>
          <w:rFonts w:ascii="Times New Roman" w:hAnsi="Times New Roman" w:eastAsia="仿宋" w:cs="Times New Roman"/>
        </w:rPr>
      </w:pPr>
      <w:bookmarkStart w:id="91" w:name="_Toc15396630"/>
      <w:bookmarkStart w:id="92" w:name="_Toc29713"/>
      <w:r>
        <w:rPr>
          <w:rStyle w:val="25"/>
          <w:rFonts w:ascii="Times New Roman" w:hAnsi="Times New Roman" w:eastAsia="仿宋" w:cs="Times New Roman"/>
          <w:b w:val="0"/>
          <w:bCs w:val="0"/>
        </w:rPr>
        <w:t>十二、</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府性基金预算财政拨款“三公”经费支出决算表</w:t>
      </w:r>
      <w:bookmarkEnd w:id="91"/>
      <w:bookmarkEnd w:id="92"/>
      <w:r>
        <w:rPr>
          <w:rStyle w:val="25"/>
          <w:rFonts w:hint="eastAsia" w:ascii="Times New Roman" w:hAnsi="Times New Roman" w:eastAsia="仿宋" w:cs="Times New Roman"/>
          <w:b w:val="0"/>
          <w:bCs w:val="0"/>
        </w:rPr>
        <w:t>（此表无数据）</w:t>
      </w:r>
    </w:p>
    <w:p>
      <w:pPr>
        <w:pStyle w:val="4"/>
        <w:rPr>
          <w:rStyle w:val="25"/>
          <w:rFonts w:ascii="Times New Roman" w:hAnsi="Times New Roman" w:eastAsia="仿宋" w:cs="Times New Roman"/>
          <w:b w:val="0"/>
          <w:bCs w:val="0"/>
        </w:rPr>
      </w:pPr>
      <w:bookmarkStart w:id="93" w:name="_Toc32723"/>
      <w:bookmarkStart w:id="94" w:name="_Toc15396631"/>
      <w:r>
        <w:rPr>
          <w:rStyle w:val="25"/>
          <w:rFonts w:ascii="Times New Roman" w:hAnsi="Times New Roman" w:eastAsia="仿宋" w:cs="Times New Roman"/>
          <w:b w:val="0"/>
          <w:bCs w:val="0"/>
        </w:rPr>
        <w:t>十三、</w:t>
      </w:r>
      <w:r>
        <w:rPr>
          <w:rFonts w:ascii="Times New Roman" w:hAnsi="Times New Roman" w:eastAsia="仿宋" w:cs="Times New Roman"/>
          <w:b w:val="0"/>
        </w:rPr>
        <w:t>国</w:t>
      </w:r>
      <w:r>
        <w:rPr>
          <w:rStyle w:val="25"/>
          <w:rFonts w:ascii="Times New Roman" w:hAnsi="Times New Roman" w:eastAsia="仿宋" w:cs="Times New Roman"/>
          <w:b w:val="0"/>
          <w:bCs w:val="0"/>
        </w:rPr>
        <w:t>有资本经营预算财政拨款收入支出决算表</w:t>
      </w:r>
      <w:bookmarkEnd w:id="93"/>
      <w:bookmarkEnd w:id="94"/>
      <w:r>
        <w:rPr>
          <w:rStyle w:val="25"/>
          <w:rFonts w:hint="eastAsia" w:ascii="Times New Roman" w:hAnsi="Times New Roman" w:eastAsia="仿宋" w:cs="Times New Roman"/>
          <w:b w:val="0"/>
          <w:bCs w:val="0"/>
        </w:rPr>
        <w:t>（此表无数据）</w:t>
      </w:r>
    </w:p>
    <w:p>
      <w:pPr>
        <w:outlineLvl w:val="1"/>
        <w:rPr>
          <w:rFonts w:eastAsia="仿宋"/>
        </w:rPr>
      </w:pPr>
      <w:bookmarkStart w:id="95" w:name="_Toc6961"/>
      <w:r>
        <w:rPr>
          <w:rStyle w:val="25"/>
          <w:rFonts w:ascii="Times New Roman" w:hAnsi="Times New Roman" w:eastAsia="仿宋" w:cs="Times New Roman"/>
          <w:b w:val="0"/>
          <w:bCs w:val="0"/>
        </w:rPr>
        <w:t>十四、国有资本经营预算财政拨款支出决算表</w:t>
      </w:r>
      <w:bookmarkEnd w:id="95"/>
      <w:r>
        <w:rPr>
          <w:rStyle w:val="25"/>
          <w:rFonts w:hint="eastAsia" w:ascii="Times New Roman" w:hAnsi="Times New Roman" w:eastAsia="仿宋" w:cs="Times New Roman"/>
          <w:b w:val="0"/>
          <w:bCs w:val="0"/>
        </w:rPr>
        <w:t>（此表无数据）</w:t>
      </w:r>
    </w:p>
    <w:sectPr>
      <w:footerReference r:id="rId6" w:type="first"/>
      <w:footerReference r:id="rId5" w:type="default"/>
      <w:pgSz w:w="11906" w:h="16838"/>
      <w:pgMar w:top="533" w:right="1236" w:bottom="590" w:left="1066" w:header="851" w:footer="992"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SimSun-ExtB"/>
    <w:panose1 w:val="02010609060101010101"/>
    <w:charset w:val="86"/>
    <w:family w:val="auto"/>
    <w:pitch w:val="default"/>
    <w:sig w:usb0="800002BF" w:usb1="38CF7CFA" w:usb2="00000016" w:usb3="00000000" w:csb0="00040001" w:csb1="00000000"/>
    <w:embedRegular r:id="rId1" w:fontKey="{E75FA40A-3553-4B54-861A-FEAE6C3111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2BEC82C-DE8B-4B72-A993-DF97D1B0F706}"/>
  </w:font>
  <w:font w:name="仿宋">
    <w:panose1 w:val="02010609060101010101"/>
    <w:charset w:val="86"/>
    <w:family w:val="modern"/>
    <w:pitch w:val="default"/>
    <w:sig w:usb0="800002BF" w:usb1="38CF7CFA" w:usb2="00000016" w:usb3="00000000" w:csb0="00040001" w:csb1="00000000"/>
    <w:embedRegular r:id="rId3" w:fontKey="{D048BC42-0C06-4272-A775-76C3F079192A}"/>
  </w:font>
  <w:font w:name="方正小标宋简体">
    <w:panose1 w:val="02010601030101010101"/>
    <w:charset w:val="86"/>
    <w:family w:val="script"/>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4"/>
                </w:pPr>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4B2BF5FA"/>
    <w:multiLevelType w:val="singleLevel"/>
    <w:tmpl w:val="4B2BF5FA"/>
    <w:lvl w:ilvl="0" w:tentative="0">
      <w:start w:val="1"/>
      <w:numFmt w:val="chineseCounting"/>
      <w:suff w:val="nothing"/>
      <w:lvlText w:val="%1、"/>
      <w:lvlJc w:val="left"/>
      <w:rPr>
        <w:rFonts w:hint="eastAsia"/>
      </w:rPr>
    </w:lvl>
  </w:abstractNum>
  <w:abstractNum w:abstractNumId="2">
    <w:nsid w:val="78589AFC"/>
    <w:multiLevelType w:val="singleLevel"/>
    <w:tmpl w:val="78589AFC"/>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mOTI3YTc4NDYwNTNlOTE3YjdkYWU4ZDk5YTU5Nj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A7D8E"/>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94E6F"/>
    <w:rsid w:val="005B5C64"/>
    <w:rsid w:val="005C5337"/>
    <w:rsid w:val="005C6BD0"/>
    <w:rsid w:val="005D1C8B"/>
    <w:rsid w:val="005D468D"/>
    <w:rsid w:val="005D5CED"/>
    <w:rsid w:val="005E4E16"/>
    <w:rsid w:val="005F1A4C"/>
    <w:rsid w:val="005F1BD4"/>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16C"/>
    <w:rsid w:val="008253BB"/>
    <w:rsid w:val="0083706E"/>
    <w:rsid w:val="008408F6"/>
    <w:rsid w:val="008423A5"/>
    <w:rsid w:val="00850625"/>
    <w:rsid w:val="00853718"/>
    <w:rsid w:val="00855221"/>
    <w:rsid w:val="00860645"/>
    <w:rsid w:val="00871F71"/>
    <w:rsid w:val="00872FD8"/>
    <w:rsid w:val="00885AF4"/>
    <w:rsid w:val="008939CD"/>
    <w:rsid w:val="008A167E"/>
    <w:rsid w:val="008A3441"/>
    <w:rsid w:val="008B768C"/>
    <w:rsid w:val="008C4DB1"/>
    <w:rsid w:val="008C4EAF"/>
    <w:rsid w:val="008C5176"/>
    <w:rsid w:val="008C7FD0"/>
    <w:rsid w:val="008E1DE7"/>
    <w:rsid w:val="008E4703"/>
    <w:rsid w:val="008E707C"/>
    <w:rsid w:val="00900B08"/>
    <w:rsid w:val="00902155"/>
    <w:rsid w:val="00902FA3"/>
    <w:rsid w:val="00923564"/>
    <w:rsid w:val="0092392E"/>
    <w:rsid w:val="009271D0"/>
    <w:rsid w:val="009315F9"/>
    <w:rsid w:val="00933499"/>
    <w:rsid w:val="00935C98"/>
    <w:rsid w:val="00946945"/>
    <w:rsid w:val="00951248"/>
    <w:rsid w:val="0095152F"/>
    <w:rsid w:val="00954C49"/>
    <w:rsid w:val="00955E37"/>
    <w:rsid w:val="0097099F"/>
    <w:rsid w:val="00971997"/>
    <w:rsid w:val="00971FFC"/>
    <w:rsid w:val="0098660A"/>
    <w:rsid w:val="009931C3"/>
    <w:rsid w:val="009B1421"/>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1488"/>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72C0"/>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42089"/>
    <w:rsid w:val="01E56BC2"/>
    <w:rsid w:val="02171912"/>
    <w:rsid w:val="022B1FDA"/>
    <w:rsid w:val="024A4653"/>
    <w:rsid w:val="03A067CC"/>
    <w:rsid w:val="044E50E7"/>
    <w:rsid w:val="04955DFD"/>
    <w:rsid w:val="050D2A9B"/>
    <w:rsid w:val="0525057A"/>
    <w:rsid w:val="06097334"/>
    <w:rsid w:val="061445FB"/>
    <w:rsid w:val="07FE43C6"/>
    <w:rsid w:val="08646002"/>
    <w:rsid w:val="086504F8"/>
    <w:rsid w:val="093418DA"/>
    <w:rsid w:val="0936095B"/>
    <w:rsid w:val="09897638"/>
    <w:rsid w:val="09BD6ACF"/>
    <w:rsid w:val="09C01289"/>
    <w:rsid w:val="0A2032A3"/>
    <w:rsid w:val="0B8A37D8"/>
    <w:rsid w:val="0D1A5445"/>
    <w:rsid w:val="0D524F98"/>
    <w:rsid w:val="0E285773"/>
    <w:rsid w:val="0E587F2D"/>
    <w:rsid w:val="0E8973CD"/>
    <w:rsid w:val="0F024CF3"/>
    <w:rsid w:val="0FBF0602"/>
    <w:rsid w:val="10AB744C"/>
    <w:rsid w:val="10C055FF"/>
    <w:rsid w:val="118107EC"/>
    <w:rsid w:val="11DD6519"/>
    <w:rsid w:val="123D301B"/>
    <w:rsid w:val="13CB36BD"/>
    <w:rsid w:val="15BA5BBA"/>
    <w:rsid w:val="16BB723D"/>
    <w:rsid w:val="175B34AA"/>
    <w:rsid w:val="175C045F"/>
    <w:rsid w:val="17DA5E80"/>
    <w:rsid w:val="18015F3F"/>
    <w:rsid w:val="180775E4"/>
    <w:rsid w:val="18234908"/>
    <w:rsid w:val="19285014"/>
    <w:rsid w:val="192D5B09"/>
    <w:rsid w:val="1A184EC1"/>
    <w:rsid w:val="1AF64C25"/>
    <w:rsid w:val="1B5E5F16"/>
    <w:rsid w:val="1BB0212E"/>
    <w:rsid w:val="1BE8440E"/>
    <w:rsid w:val="1BE877C1"/>
    <w:rsid w:val="1D155CEE"/>
    <w:rsid w:val="20145C76"/>
    <w:rsid w:val="20F57F95"/>
    <w:rsid w:val="211B76E4"/>
    <w:rsid w:val="217715FD"/>
    <w:rsid w:val="225C3AC8"/>
    <w:rsid w:val="225F17FB"/>
    <w:rsid w:val="240371BF"/>
    <w:rsid w:val="249A12FC"/>
    <w:rsid w:val="253141E4"/>
    <w:rsid w:val="254C6F21"/>
    <w:rsid w:val="25C741E6"/>
    <w:rsid w:val="269B3BE3"/>
    <w:rsid w:val="27432782"/>
    <w:rsid w:val="275B212C"/>
    <w:rsid w:val="27842671"/>
    <w:rsid w:val="28256665"/>
    <w:rsid w:val="287B1D47"/>
    <w:rsid w:val="29CE2A83"/>
    <w:rsid w:val="29FD04D3"/>
    <w:rsid w:val="2ABE7A3E"/>
    <w:rsid w:val="2AFB1285"/>
    <w:rsid w:val="2B000733"/>
    <w:rsid w:val="2CA51FB9"/>
    <w:rsid w:val="2EFA178C"/>
    <w:rsid w:val="2EFD5EAF"/>
    <w:rsid w:val="2F6C3D48"/>
    <w:rsid w:val="2F891C98"/>
    <w:rsid w:val="30395C43"/>
    <w:rsid w:val="30B46D73"/>
    <w:rsid w:val="31564831"/>
    <w:rsid w:val="319F7F4E"/>
    <w:rsid w:val="31A33CBC"/>
    <w:rsid w:val="32C57C62"/>
    <w:rsid w:val="3331665F"/>
    <w:rsid w:val="336A4DB2"/>
    <w:rsid w:val="337737FC"/>
    <w:rsid w:val="35C52D97"/>
    <w:rsid w:val="36781D51"/>
    <w:rsid w:val="37D06A9A"/>
    <w:rsid w:val="37FA1CEF"/>
    <w:rsid w:val="3851339C"/>
    <w:rsid w:val="388D44EE"/>
    <w:rsid w:val="38CB30C3"/>
    <w:rsid w:val="39AE70AB"/>
    <w:rsid w:val="3C0C0783"/>
    <w:rsid w:val="3C326FAE"/>
    <w:rsid w:val="3CE222D8"/>
    <w:rsid w:val="3F9F3A96"/>
    <w:rsid w:val="41486730"/>
    <w:rsid w:val="4153125A"/>
    <w:rsid w:val="42717C84"/>
    <w:rsid w:val="429D3257"/>
    <w:rsid w:val="42A559F3"/>
    <w:rsid w:val="433D4DDA"/>
    <w:rsid w:val="43BC47A0"/>
    <w:rsid w:val="47666BD1"/>
    <w:rsid w:val="493C27E9"/>
    <w:rsid w:val="494B23BD"/>
    <w:rsid w:val="496F39ED"/>
    <w:rsid w:val="49FF41D3"/>
    <w:rsid w:val="4BE0572F"/>
    <w:rsid w:val="4BE068DB"/>
    <w:rsid w:val="4BF6002B"/>
    <w:rsid w:val="4C622843"/>
    <w:rsid w:val="4D0718E7"/>
    <w:rsid w:val="4D49099D"/>
    <w:rsid w:val="4D5C182F"/>
    <w:rsid w:val="4ECE2238"/>
    <w:rsid w:val="4ED02EF6"/>
    <w:rsid w:val="504E2EBD"/>
    <w:rsid w:val="50AC44E3"/>
    <w:rsid w:val="50EB662A"/>
    <w:rsid w:val="50EF2881"/>
    <w:rsid w:val="51A40510"/>
    <w:rsid w:val="51DB4B86"/>
    <w:rsid w:val="53130506"/>
    <w:rsid w:val="54930CE4"/>
    <w:rsid w:val="55333C3E"/>
    <w:rsid w:val="554337F5"/>
    <w:rsid w:val="57882E88"/>
    <w:rsid w:val="57964FFF"/>
    <w:rsid w:val="58097C85"/>
    <w:rsid w:val="5840635E"/>
    <w:rsid w:val="5A293649"/>
    <w:rsid w:val="5A7F31BF"/>
    <w:rsid w:val="5BC577B1"/>
    <w:rsid w:val="5C7834CB"/>
    <w:rsid w:val="5DF815A2"/>
    <w:rsid w:val="5EF2245B"/>
    <w:rsid w:val="5F195A39"/>
    <w:rsid w:val="604702E9"/>
    <w:rsid w:val="6122292E"/>
    <w:rsid w:val="615B2D44"/>
    <w:rsid w:val="61997478"/>
    <w:rsid w:val="638B084B"/>
    <w:rsid w:val="63AF4D0A"/>
    <w:rsid w:val="64CA39A1"/>
    <w:rsid w:val="65054E60"/>
    <w:rsid w:val="653C64CF"/>
    <w:rsid w:val="667D56E0"/>
    <w:rsid w:val="67DE65EB"/>
    <w:rsid w:val="6855412E"/>
    <w:rsid w:val="69782556"/>
    <w:rsid w:val="6A707EAE"/>
    <w:rsid w:val="6B7738F2"/>
    <w:rsid w:val="6B8C10E6"/>
    <w:rsid w:val="6C4A05C8"/>
    <w:rsid w:val="6D033E17"/>
    <w:rsid w:val="6F7A633A"/>
    <w:rsid w:val="70C46568"/>
    <w:rsid w:val="71990CA6"/>
    <w:rsid w:val="7273241F"/>
    <w:rsid w:val="72734D90"/>
    <w:rsid w:val="72BD3684"/>
    <w:rsid w:val="72C94629"/>
    <w:rsid w:val="7301673F"/>
    <w:rsid w:val="73695978"/>
    <w:rsid w:val="73AC74F3"/>
    <w:rsid w:val="754F6DB6"/>
    <w:rsid w:val="76DD70B4"/>
    <w:rsid w:val="77AC5211"/>
    <w:rsid w:val="793848CC"/>
    <w:rsid w:val="79842FA8"/>
    <w:rsid w:val="79E7B28D"/>
    <w:rsid w:val="7A4561A6"/>
    <w:rsid w:val="7AA86A41"/>
    <w:rsid w:val="7B5C26F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021&#24180;&#20915;&#31639;&#22270;&#34920;-&#26412;&#3242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0915;&#31639;&#20844;&#24320;\2021&#24180;&#20915;&#31639;&#22270;&#34920;-&#26412;&#32423;(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title>
    <c:autoTitleDeleted val="0"/>
    <c:plotArea>
      <c:layout/>
      <c:barChart>
        <c:barDir val="col"/>
        <c:grouping val="clustered"/>
        <c:varyColors val="0"/>
        <c:ser>
          <c:idx val="0"/>
          <c:order val="0"/>
          <c:tx>
            <c:strRef>
              <c:f>'[2021年决算图表-本级(1).xlsx]收支决算总计'!$A$2</c:f>
              <c:strCache>
                <c:ptCount val="1"/>
                <c:pt idx="0">
                  <c:v>全年收入总计</c:v>
                </c:pt>
              </c:strCache>
            </c:strRef>
          </c:tx>
          <c:invertIfNegative val="0"/>
          <c:dLbls>
            <c:delete val="1"/>
          </c:dLbls>
          <c:cat>
            <c:strRef>
              <c:f>'[2021年决算图表-本级(1).xlsx]收支决算总计'!$B$1:$E$1</c:f>
              <c:strCache>
                <c:ptCount val="4"/>
                <c:pt idx="0">
                  <c:v>2020年</c:v>
                </c:pt>
                <c:pt idx="1">
                  <c:v>2021年</c:v>
                </c:pt>
                <c:pt idx="2">
                  <c:v>同比增减额</c:v>
                </c:pt>
                <c:pt idx="3">
                  <c:v>同比增减率</c:v>
                </c:pt>
              </c:strCache>
            </c:strRef>
          </c:cat>
          <c:val>
            <c:numRef>
              <c:f>'[2021年决算图表-本级(1).xlsx]收支决算总计'!$B$2:$E$2</c:f>
              <c:numCache>
                <c:formatCode>#,##0.00</c:formatCode>
                <c:ptCount val="4"/>
                <c:pt idx="0">
                  <c:v>2505.8</c:v>
                </c:pt>
                <c:pt idx="1">
                  <c:v>2322.78</c:v>
                </c:pt>
                <c:pt idx="2" c:formatCode="0.00_ ">
                  <c:v>-183.02</c:v>
                </c:pt>
                <c:pt idx="3" c:formatCode="0.00%">
                  <c:v>-0.0730385505626945</c:v>
                </c:pt>
              </c:numCache>
            </c:numRef>
          </c:val>
        </c:ser>
        <c:ser>
          <c:idx val="1"/>
          <c:order val="1"/>
          <c:tx>
            <c:strRef>
              <c:f>'[2021年决算图表-本级(1).xlsx]收支决算总计'!$A$3</c:f>
              <c:strCache>
                <c:ptCount val="1"/>
                <c:pt idx="0">
                  <c:v>全年支出总计</c:v>
                </c:pt>
              </c:strCache>
            </c:strRef>
          </c:tx>
          <c:invertIfNegative val="0"/>
          <c:dLbls>
            <c:delete val="1"/>
          </c:dLbls>
          <c:cat>
            <c:strRef>
              <c:f>'[2021年决算图表-本级(1).xlsx]收支决算总计'!$B$1:$E$1</c:f>
              <c:strCache>
                <c:ptCount val="4"/>
                <c:pt idx="0">
                  <c:v>2020年</c:v>
                </c:pt>
                <c:pt idx="1">
                  <c:v>2021年</c:v>
                </c:pt>
                <c:pt idx="2">
                  <c:v>同比增减额</c:v>
                </c:pt>
                <c:pt idx="3">
                  <c:v>同比增减率</c:v>
                </c:pt>
              </c:strCache>
            </c:strRef>
          </c:cat>
          <c:val>
            <c:numRef>
              <c:f>'[2021年决算图表-本级(1).xlsx]收支决算总计'!$B$3:$E$3</c:f>
              <c:numCache>
                <c:formatCode>#,##0.00</c:formatCode>
                <c:ptCount val="4"/>
                <c:pt idx="0">
                  <c:v>2505.8</c:v>
                </c:pt>
                <c:pt idx="1">
                  <c:v>2322.78</c:v>
                </c:pt>
                <c:pt idx="2" c:formatCode="0.00_ ">
                  <c:v>-183.02</c:v>
                </c:pt>
                <c:pt idx="3" c:formatCode="0.00%">
                  <c:v>-0.0730385505626945</c:v>
                </c:pt>
              </c:numCache>
            </c:numRef>
          </c:val>
        </c:ser>
        <c:dLbls>
          <c:showLegendKey val="0"/>
          <c:showVal val="0"/>
          <c:showCatName val="0"/>
          <c:showSerName val="0"/>
          <c:showPercent val="0"/>
          <c:showBubbleSize val="0"/>
        </c:dLbls>
        <c:gapWidth val="150"/>
        <c:axId val="142724096"/>
        <c:axId val="142734080"/>
      </c:barChart>
      <c:catAx>
        <c:axId val="14272409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734080"/>
        <c:crosses val="autoZero"/>
        <c:auto val="1"/>
        <c:lblAlgn val="ctr"/>
        <c:lblOffset val="100"/>
        <c:noMultiLvlLbl val="0"/>
      </c:catAx>
      <c:valAx>
        <c:axId val="14273408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72409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endParaRPr lang="zh-CN" altLang="en-US"/>
          </a:p>
        </c:rich>
      </c:tx>
      <c:layout/>
      <c:overlay val="0"/>
    </c:title>
    <c:autoTitleDeleted val="0"/>
    <c:view3D>
      <c:rotX val="75"/>
      <c:rotY val="0"/>
      <c:depthPercent val="100"/>
      <c:rAngAx val="0"/>
      <c:perspective val="30"/>
    </c:view3D>
    <c:floor>
      <c:thickness val="0"/>
    </c:floor>
    <c:sideWall>
      <c:thickness val="0"/>
    </c:sideWall>
    <c:backWall>
      <c:thickness val="0"/>
    </c:backWall>
    <c:plotArea>
      <c:layout>
        <c:manualLayout>
          <c:layoutTarget val="inner"/>
          <c:xMode val="edge"/>
          <c:yMode val="edge"/>
          <c:x val="0.0847222222222224"/>
          <c:y val="0.254050743657043"/>
          <c:w val="0.813888888888889"/>
          <c:h val="0.641898512685915"/>
        </c:manualLayout>
      </c:layout>
      <c:pie3DChart>
        <c:varyColors val="1"/>
        <c:ser>
          <c:idx val="0"/>
          <c:order val="0"/>
          <c:explosion val="0"/>
          <c:dPt>
            <c:idx val="0"/>
            <c:bubble3D val="0"/>
          </c:dPt>
          <c:dPt>
            <c:idx val="1"/>
            <c:bubble3D val="0"/>
          </c:dPt>
          <c:dPt>
            <c:idx val="2"/>
            <c:bubble3D val="0"/>
          </c:dPt>
          <c:dLbls>
            <c:dLbl>
              <c:idx val="0"/>
              <c:layout>
                <c:manualLayout>
                  <c:x val="-0.0137020732818307"/>
                  <c:y val="-0.1675733209208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
</a:t>
                    </a:r>
                    <a:r>
                      <a:rPr lang="en-US" altLang="zh-CN"/>
                      <a:t>97.3%</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4722878390201"/>
                  <c:y val="0.081309419655876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政府性基金预算财政拨款收入</a:t>
                    </a:r>
                    <a:r>
                      <a:rPr lang="en-US" altLang="zh-CN"/>
                      <a:t>0.34%</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6110017497813"/>
                  <c:y val="0.035468431029454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
</a:t>
                    </a:r>
                    <a:r>
                      <a:rPr lang="en-US" altLang="zh-CN"/>
                      <a:t>2.70%</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'[2021年决算图表-本级(1).xlsx]收入决算结构'!$A$1:$A$3</c:f>
              <c:strCache>
                <c:ptCount val="3"/>
                <c:pt idx="0">
                  <c:v>一般公共预算财政拨款收入</c:v>
                </c:pt>
                <c:pt idx="2">
                  <c:v>其他收入</c:v>
                </c:pt>
              </c:strCache>
            </c:strRef>
          </c:cat>
          <c:val>
            <c:numRef>
              <c:f>'[2021年决算图表-本级(1).xlsx]收入决算结构'!$B$1:$B$3</c:f>
              <c:numCache>
                <c:formatCode>0.00%</c:formatCode>
                <c:ptCount val="3"/>
                <c:pt idx="0">
                  <c:v>0.972989262866049</c:v>
                </c:pt>
                <c:pt idx="2">
                  <c:v>0.0270107371339514</c:v>
                </c:pt>
              </c:numCache>
            </c:numRef>
          </c:val>
        </c:ser>
        <c:ser>
          <c:idx val="1"/>
          <c:order val="1"/>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'[2021年决算图表-本级(1).xlsx]收入决算结构'!$A$1:$A$3</c:f>
              <c:strCache>
                <c:ptCount val="3"/>
                <c:pt idx="0">
                  <c:v>一般公共预算财政拨款收入</c:v>
                </c:pt>
                <c:pt idx="2">
                  <c:v>其他收入</c:v>
                </c:pt>
              </c:strCache>
            </c:strRef>
          </c:cat>
          <c:val>
            <c:numRef>
              <c:f>'[2021年决算图表-本级(1).xlsx]收入决算结构'!$C$1:$C$3</c:f>
              <c:numCache>
                <c:formatCode>_(* #,##0.00_);_(* \(#,##0.00\);_(* "-"??_);_(@_)</c:formatCode>
                <c:ptCount val="3"/>
                <c:pt idx="0">
                  <c:v>2260.04</c:v>
                </c:pt>
                <c:pt idx="2">
                  <c:v>62.74</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
</a:t>
                    </a:r>
                    <a:r>
                      <a:rPr lang="en-US" altLang="zh-CN"/>
                      <a:t>92.03%</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
</a:t>
                    </a:r>
                    <a:r>
                      <a:rPr lang="en-US" altLang="zh-CN"/>
                      <a:t>7.97%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'[2021年决算图表-本级(1).xlsx]支出决算结构'!$A$1:$A$2</c:f>
              <c:strCache>
                <c:ptCount val="2"/>
                <c:pt idx="0">
                  <c:v>基本支出</c:v>
                </c:pt>
                <c:pt idx="1">
                  <c:v>项目支出</c:v>
                </c:pt>
              </c:strCache>
            </c:strRef>
          </c:cat>
          <c:val>
            <c:numRef>
              <c:f>'[2021年决算图表-本级(1).xlsx]支出决算结构'!$B$1:$B$2</c:f>
              <c:numCache>
                <c:formatCode>0.00%</c:formatCode>
                <c:ptCount val="2"/>
                <c:pt idx="0">
                  <c:v>0.920336837754759</c:v>
                </c:pt>
                <c:pt idx="1">
                  <c:v>0.0796631622452406</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overlay val="0"/>
    </c:title>
    <c:autoTitleDeleted val="0"/>
    <c:plotArea>
      <c:layout/>
      <c:barChart>
        <c:barDir val="col"/>
        <c:grouping val="clustered"/>
        <c:varyColors val="0"/>
        <c:ser>
          <c:idx val="0"/>
          <c:order val="0"/>
          <c:tx>
            <c:strRef>
              <c:f>'[2021年决算图表-本级(1).xlsx]财政拨款收、支决算总计变动'!$A$2</c:f>
              <c:strCache>
                <c:ptCount val="1"/>
                <c:pt idx="0">
                  <c:v>财政拨款收入总计</c:v>
                </c:pt>
              </c:strCache>
            </c:strRef>
          </c:tx>
          <c:invertIfNegative val="0"/>
          <c:dLbls>
            <c:delete val="1"/>
          </c:dLbls>
          <c:cat>
            <c:strRef>
              <c:f>'[2021年决算图表-本级(1).xlsx]财政拨款收、支决算总计变动'!$B$1:$E$1</c:f>
              <c:strCache>
                <c:ptCount val="4"/>
                <c:pt idx="0">
                  <c:v>2020年</c:v>
                </c:pt>
                <c:pt idx="1">
                  <c:v>2021年</c:v>
                </c:pt>
                <c:pt idx="2">
                  <c:v>同比增减额</c:v>
                </c:pt>
                <c:pt idx="3">
                  <c:v>同比增减率</c:v>
                </c:pt>
              </c:strCache>
            </c:strRef>
          </c:cat>
          <c:val>
            <c:numRef>
              <c:f>'[2021年决算图表-本级(1).xlsx]财政拨款收、支决算总计变动'!$B$2:$E$2</c:f>
              <c:numCache>
                <c:formatCode>_(* #,##0.00_);_(* \(#,##0.00\);_(* "-"??_);_(@_)</c:formatCode>
                <c:ptCount val="4"/>
                <c:pt idx="0">
                  <c:v>2341.7</c:v>
                </c:pt>
                <c:pt idx="1">
                  <c:v>2260.04</c:v>
                </c:pt>
                <c:pt idx="2" c:formatCode="0.00_ ">
                  <c:v>-81.6599999999999</c:v>
                </c:pt>
                <c:pt idx="3" c:formatCode="0.00%">
                  <c:v>-0.0348721014647478</c:v>
                </c:pt>
              </c:numCache>
            </c:numRef>
          </c:val>
        </c:ser>
        <c:ser>
          <c:idx val="1"/>
          <c:order val="1"/>
          <c:tx>
            <c:strRef>
              <c:f>'[2021年决算图表-本级(1).xlsx]财政拨款收、支决算总计变动'!$A$3</c:f>
              <c:strCache>
                <c:ptCount val="1"/>
                <c:pt idx="0">
                  <c:v>财政拨款支出总计</c:v>
                </c:pt>
              </c:strCache>
            </c:strRef>
          </c:tx>
          <c:invertIfNegative val="0"/>
          <c:dLbls>
            <c:delete val="1"/>
          </c:dLbls>
          <c:cat>
            <c:strRef>
              <c:f>'[2021年决算图表-本级(1).xlsx]财政拨款收、支决算总计变动'!$B$1:$E$1</c:f>
              <c:strCache>
                <c:ptCount val="4"/>
                <c:pt idx="0">
                  <c:v>2020年</c:v>
                </c:pt>
                <c:pt idx="1">
                  <c:v>2021年</c:v>
                </c:pt>
                <c:pt idx="2">
                  <c:v>同比增减额</c:v>
                </c:pt>
                <c:pt idx="3">
                  <c:v>同比增减率</c:v>
                </c:pt>
              </c:strCache>
            </c:strRef>
          </c:cat>
          <c:val>
            <c:numRef>
              <c:f>'[2021年决算图表-本级(1).xlsx]财政拨款收、支决算总计变动'!$B$3:$E$3</c:f>
              <c:numCache>
                <c:formatCode>_(* #,##0.00_);_(* \(#,##0.00\);_(* "-"??_);_(@_)</c:formatCode>
                <c:ptCount val="4"/>
                <c:pt idx="0">
                  <c:v>2341.7</c:v>
                </c:pt>
                <c:pt idx="1">
                  <c:v>2260.04</c:v>
                </c:pt>
                <c:pt idx="2" c:formatCode="0.00_ ">
                  <c:v>-81.6599999999999</c:v>
                </c:pt>
                <c:pt idx="3" c:formatCode="0.00%">
                  <c:v>-0.0348721014647478</c:v>
                </c:pt>
              </c:numCache>
            </c:numRef>
          </c:val>
        </c:ser>
        <c:dLbls>
          <c:showLegendKey val="0"/>
          <c:showVal val="0"/>
          <c:showCatName val="0"/>
          <c:showSerName val="0"/>
          <c:showPercent val="0"/>
          <c:showBubbleSize val="0"/>
        </c:dLbls>
        <c:gapWidth val="150"/>
        <c:axId val="143074432"/>
        <c:axId val="143075968"/>
      </c:barChart>
      <c:catAx>
        <c:axId val="1430744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075968"/>
        <c:crosses val="autoZero"/>
        <c:auto val="1"/>
        <c:lblAlgn val="ctr"/>
        <c:lblOffset val="100"/>
        <c:noMultiLvlLbl val="0"/>
      </c:catAx>
      <c:valAx>
        <c:axId val="143075968"/>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07443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endParaRPr lang="zh-CN" altLang="en-US" sz="1400" baseline="0"/>
          </a:p>
        </c:rich>
      </c:tx>
      <c:layout/>
      <c:overlay val="0"/>
    </c:title>
    <c:autoTitleDeleted val="0"/>
    <c:plotArea>
      <c:layout>
        <c:manualLayout>
          <c:layoutTarget val="inner"/>
          <c:xMode val="edge"/>
          <c:yMode val="edge"/>
          <c:x val="0.0444444444444445"/>
          <c:y val="0.217227482640619"/>
          <c:w val="0.93888888888889"/>
          <c:h val="0.771533273530683"/>
        </c:manualLayout>
      </c:layout>
      <c:barChart>
        <c:barDir val="col"/>
        <c:grouping val="clustered"/>
        <c:varyColors val="0"/>
        <c:ser>
          <c:idx val="0"/>
          <c:order val="0"/>
          <c:tx>
            <c:strRef>
              <c:f>'[2021年决算图表-本级(1).xlsx]一般公共预算财政拨款支出'!$A$2</c:f>
              <c:strCache>
                <c:ptCount val="1"/>
                <c:pt idx="0">
                  <c:v>一般公共预算财政拨款支出</c:v>
                </c:pt>
              </c:strCache>
            </c:strRef>
          </c:tx>
          <c:invertIfNegative val="0"/>
          <c:dLbls>
            <c:dLbl>
              <c:idx val="2"/>
              <c:layout>
                <c:manualLayout>
                  <c:x val="-0.008333333333333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6089238845137"/>
                  <c:y val="-0.054851656201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'[2021年决算图表-本级(1).xlsx]一般公共预算财政拨款支出'!$B$1:$E$1</c:f>
              <c:strCache>
                <c:ptCount val="4"/>
                <c:pt idx="0">
                  <c:v>2020年</c:v>
                </c:pt>
                <c:pt idx="1">
                  <c:v>2021年</c:v>
                </c:pt>
                <c:pt idx="2">
                  <c:v>同比增加</c:v>
                </c:pt>
                <c:pt idx="3">
                  <c:v>同比增加</c:v>
                </c:pt>
              </c:strCache>
            </c:strRef>
          </c:cat>
          <c:val>
            <c:numRef>
              <c:f>'[2021年决算图表-本级(1).xlsx]一般公共预算财政拨款支出'!$B$2:$E$2</c:f>
              <c:numCache>
                <c:formatCode>_(* #,##0.00_);_(* \(#,##0.00\);_(* "-"??_);_(@_)</c:formatCode>
                <c:ptCount val="4"/>
                <c:pt idx="0">
                  <c:v>531.71</c:v>
                </c:pt>
                <c:pt idx="1">
                  <c:v>2260.04</c:v>
                </c:pt>
                <c:pt idx="2" c:formatCode="0.00_ ">
                  <c:v>1728.33</c:v>
                </c:pt>
                <c:pt idx="3" c:formatCode="0.00%">
                  <c:v>3.250512497414</c:v>
                </c:pt>
              </c:numCache>
            </c:numRef>
          </c:val>
        </c:ser>
        <c:ser>
          <c:idx val="1"/>
          <c:order val="1"/>
          <c:tx>
            <c:strRef>
              <c:f>'[2021年决算图表-本级(1).xlsx]一般公共预算财政拨款支出'!$A$3</c:f>
              <c:strCache>
                <c:ptCount val="1"/>
                <c:pt idx="0">
                  <c:v>全年支出</c:v>
                </c:pt>
              </c:strCache>
            </c:strRef>
          </c:tx>
          <c:invertIfNegative val="0"/>
          <c:dLbls>
            <c:dLbl>
              <c:idx val="1"/>
              <c:layout>
                <c:manualLayout>
                  <c:x val="0.0229166666666667"/>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111111111111"/>
                  <c:y val="0.008439483039303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712962962962"/>
                  <c:y val="-0.0495770623608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'[2021年决算图表-本级(1).xlsx]一般公共预算财政拨款支出'!$B$1:$E$1</c:f>
              <c:strCache>
                <c:ptCount val="4"/>
                <c:pt idx="0">
                  <c:v>2020年</c:v>
                </c:pt>
                <c:pt idx="1">
                  <c:v>2021年</c:v>
                </c:pt>
                <c:pt idx="2">
                  <c:v>同比增加</c:v>
                </c:pt>
                <c:pt idx="3">
                  <c:v>同比增加</c:v>
                </c:pt>
              </c:strCache>
            </c:strRef>
          </c:cat>
          <c:val>
            <c:numRef>
              <c:f>'[2021年决算图表-本级(1).xlsx]一般公共预算财政拨款支出'!$B$3:$E$3</c:f>
              <c:numCache>
                <c:formatCode>_(* #,##0.00_);_(* \(#,##0.00\);_(* "-"??_);_(@_)</c:formatCode>
                <c:ptCount val="4"/>
                <c:pt idx="0">
                  <c:v>2341.7</c:v>
                </c:pt>
                <c:pt idx="1">
                  <c:v>2260.04</c:v>
                </c:pt>
                <c:pt idx="2" c:formatCode="0.00_ ">
                  <c:v>-81.6599999999999</c:v>
                </c:pt>
                <c:pt idx="3" c:formatCode="0.00%">
                  <c:v>-0.0348721014647478</c:v>
                </c:pt>
              </c:numCache>
            </c:numRef>
          </c:val>
        </c:ser>
        <c:dLbls>
          <c:showLegendKey val="0"/>
          <c:showVal val="1"/>
          <c:showCatName val="0"/>
          <c:showSerName val="0"/>
          <c:showPercent val="0"/>
          <c:showBubbleSize val="0"/>
        </c:dLbls>
        <c:gapWidth val="150"/>
        <c:overlap val="-25"/>
        <c:axId val="143116544"/>
        <c:axId val="143126528"/>
      </c:barChart>
      <c:catAx>
        <c:axId val="14311654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26528"/>
        <c:crosses val="autoZero"/>
        <c:auto val="1"/>
        <c:lblAlgn val="ctr"/>
        <c:lblOffset val="100"/>
        <c:noMultiLvlLbl val="0"/>
      </c:catAx>
      <c:valAx>
        <c:axId val="143126528"/>
        <c:scaling>
          <c:orientation val="minMax"/>
        </c:scaling>
        <c:delete val="1"/>
        <c:axPos val="l"/>
        <c:numFmt formatCode="_(* #,##0.00_);_(* \(#,##0.00\);_(* &quot;-&quot;??_);_(@_)"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1654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一般公共预算财政拨款支出决算结构</a:t>
            </a:r>
            <a:endParaRPr lang="zh-CN" altLang="en-US" sz="1000" baseline="0"/>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156956474190726"/>
                  <c:y val="0.06134259259259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一般公共服务支出</a:t>
                    </a:r>
                    <a:r>
                      <a:rPr lang="en-US" altLang="zh-CN"/>
                      <a:t>2.07%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文化旅游体育与传媒支出</a:t>
                    </a:r>
                    <a:r>
                      <a:rPr lang="en-US" altLang="zh-CN"/>
                      <a:t>84.35%</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7222222222222"/>
                      <c:h val="0.180555555555556"/>
                    </c:manualLayout>
                  </c15:layout>
                </c:ext>
              </c:extLst>
            </c:dLbl>
            <c:dLbl>
              <c:idx val="2"/>
              <c:layout>
                <c:manualLayout>
                  <c:x val="-0.169291557305337"/>
                  <c:y val="0.2156536162146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a:t>
                    </a:r>
                    <a:r>
                      <a:rPr lang="en-US" altLang="zh-CN"/>
                      <a:t>15.53%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6666666666667"/>
                      <c:h val="0.180555555555556"/>
                    </c:manualLayout>
                  </c15:layout>
                </c:ext>
              </c:extLst>
            </c:dLbl>
            <c:dLbl>
              <c:idx val="3"/>
              <c:layout>
                <c:manualLayout>
                  <c:x val="-0.0792479511056977"/>
                  <c:y val="0.040813486798769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a:t>
                    </a:r>
                    <a:r>
                      <a:rPr lang="en-US" altLang="zh-CN"/>
                      <a:t>0.12%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9722222222222"/>
                      <c:h val="0.125"/>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'[2021年决算图表-本级(1).xlsx]一般公共预算财政拨款支出决算结构'!$A$1:$A$4</c:f>
              <c:strCache>
                <c:ptCount val="4"/>
                <c:pt idx="1">
                  <c:v>文化旅游体育与传媒支出</c:v>
                </c:pt>
                <c:pt idx="2">
                  <c:v>社会保障和就业支出</c:v>
                </c:pt>
                <c:pt idx="3">
                  <c:v>住房保障支出</c:v>
                </c:pt>
              </c:strCache>
            </c:strRef>
          </c:cat>
          <c:val>
            <c:numRef>
              <c:f>'[2021年决算图表-本级(1).xlsx]一般公共预算财政拨款支出决算结构'!$B$1:$B$4</c:f>
              <c:numCache>
                <c:formatCode>General</c:formatCode>
                <c:ptCount val="4"/>
                <c:pt idx="1" c:formatCode="0.00%">
                  <c:v>0.8435</c:v>
                </c:pt>
                <c:pt idx="2" c:formatCode="0.00%">
                  <c:v>0.1552</c:v>
                </c:pt>
                <c:pt idx="3" c:formatCode="0.00%">
                  <c:v>0.0011</c:v>
                </c:pt>
              </c:numCache>
            </c:numRef>
          </c:val>
        </c:ser>
        <c:ser>
          <c:idx val="1"/>
          <c:order val="1"/>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'[2021年决算图表-本级(1).xlsx]一般公共预算财政拨款支出决算结构'!$A$1:$A$4</c:f>
              <c:strCache>
                <c:ptCount val="4"/>
                <c:pt idx="1">
                  <c:v>文化旅游体育与传媒支出</c:v>
                </c:pt>
                <c:pt idx="2">
                  <c:v>社会保障和就业支出</c:v>
                </c:pt>
                <c:pt idx="3">
                  <c:v>住房保障支出</c:v>
                </c:pt>
              </c:strCache>
            </c:strRef>
          </c:cat>
          <c:val>
            <c:numRef>
              <c:f>'[2021年决算图表-本级(1).xlsx]一般公共预算财政拨款支出决算结构'!$C$1:$C$4</c:f>
              <c:numCache>
                <c:formatCode>General</c:formatCode>
                <c:ptCount val="4"/>
                <c:pt idx="1" c:formatCode="_(* #,##0.00_);_(* \(#,##0.00\);_(* &quot;-&quot;??_);_(@_)">
                  <c:v>1906.4</c:v>
                </c:pt>
                <c:pt idx="2" c:formatCode="_(* #,##0.00_);_(* \(#,##0.00\);_(* &quot;-&quot;??_);_(@_)">
                  <c:v>350.84</c:v>
                </c:pt>
                <c:pt idx="3" c:formatCode="_(* #,##0.00_);_(* \(#,##0.00\);_(* &quot;-&quot;??_);_(@_)">
                  <c:v>2.8</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68888888888889"/>
          <c:y val="0.240166666666667"/>
          <c:w val="0.826222222222222"/>
          <c:h val="0.660407407407407"/>
        </c:manualLayout>
      </c:layout>
      <c:pie3DChart>
        <c:varyColors val="1"/>
        <c:ser>
          <c:idx val="0"/>
          <c:order val="0"/>
          <c:explosion val="25"/>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公务用车购置及运行维护费支出</a:t>
                    </a:r>
                    <a:r>
                      <a:rPr lang="en-US" altLang="zh-CN"/>
                      <a:t>96.11%</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75"/>
                      <c:h val="0.180555555555556"/>
                    </c:manualLayout>
                  </c15:layout>
                </c:ext>
              </c:extLst>
            </c:dLbl>
            <c:dLbl>
              <c:idx val="1"/>
              <c:layout>
                <c:manualLayout>
                  <c:x val="-0.0821265428141778"/>
                  <c:y val="-0.00092920676582090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a:t>
                    </a:r>
                    <a:r>
                      <a:rPr lang="en-US" altLang="zh-CN"/>
                      <a:t>3.89%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625"/>
                      <c:h val="0.18055555555555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'[2021年决算图表-本级(1).xlsx]“三公”经费财政拨款支出结构'!$A$1:$A$2</c:f>
              <c:strCache>
                <c:ptCount val="2"/>
                <c:pt idx="0">
                  <c:v>公务用车购置及运行维护费支出</c:v>
                </c:pt>
                <c:pt idx="1">
                  <c:v>公务接待费支出</c:v>
                </c:pt>
              </c:strCache>
            </c:strRef>
          </c:cat>
          <c:val>
            <c:numRef>
              <c:f>'[2021年决算图表-本级(1).xlsx]“三公”经费财政拨款支出结构'!$B$1:$B$2</c:f>
              <c:numCache>
                <c:formatCode>0.00%</c:formatCode>
                <c:ptCount val="2"/>
                <c:pt idx="0">
                  <c:v>0.9611</c:v>
                </c:pt>
                <c:pt idx="1">
                  <c:v>0.0389</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63597-3F4F-4B5A-BECA-6C6FA2F5D74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8068</Words>
  <Characters>8858</Characters>
  <Lines>78</Lines>
  <Paragraphs>22</Paragraphs>
  <TotalTime>5</TotalTime>
  <ScaleCrop>false</ScaleCrop>
  <LinksUpToDate>false</LinksUpToDate>
  <CharactersWithSpaces>8995</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徐燕</cp:lastModifiedBy>
  <cp:lastPrinted>2022-08-06T02:23:00Z</cp:lastPrinted>
  <dcterms:modified xsi:type="dcterms:W3CDTF">2023-10-13T09:21:03Z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6008C61FF3474CDABA04C1C6A6829FF5</vt:lpwstr>
  </property>
</Properties>
</file>