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sz w:val="44"/>
          <w:szCs w:val="44"/>
        </w:rPr>
      </w:pPr>
    </w:p>
    <w:p>
      <w:pPr>
        <w:spacing w:line="600" w:lineRule="exact"/>
        <w:jc w:val="center"/>
        <w:rPr>
          <w:rFonts w:eastAsia="方正小标宋简体"/>
          <w:sz w:val="44"/>
          <w:szCs w:val="44"/>
        </w:rPr>
      </w:pPr>
    </w:p>
    <w:p>
      <w:pPr>
        <w:spacing w:line="600" w:lineRule="exact"/>
        <w:jc w:val="center"/>
        <w:rPr>
          <w:rFonts w:eastAsia="方正小标宋简体"/>
          <w:sz w:val="44"/>
          <w:szCs w:val="44"/>
        </w:rPr>
      </w:pPr>
    </w:p>
    <w:p>
      <w:pPr>
        <w:spacing w:line="600" w:lineRule="exact"/>
        <w:jc w:val="center"/>
        <w:rPr>
          <w:rFonts w:eastAsia="方正小标宋简体"/>
          <w:sz w:val="44"/>
          <w:szCs w:val="44"/>
        </w:rPr>
      </w:pPr>
    </w:p>
    <w:p>
      <w:pPr>
        <w:spacing w:line="600" w:lineRule="exact"/>
        <w:jc w:val="center"/>
        <w:rPr>
          <w:rFonts w:eastAsia="方正小标宋简体"/>
          <w:sz w:val="44"/>
          <w:szCs w:val="44"/>
        </w:rPr>
      </w:pPr>
    </w:p>
    <w:p>
      <w:pPr>
        <w:spacing w:line="600" w:lineRule="exact"/>
        <w:jc w:val="center"/>
        <w:rPr>
          <w:rFonts w:eastAsia="方正小标宋简体"/>
          <w:sz w:val="44"/>
          <w:szCs w:val="44"/>
        </w:rPr>
      </w:pPr>
    </w:p>
    <w:p>
      <w:pPr>
        <w:spacing w:line="600" w:lineRule="exact"/>
        <w:jc w:val="center"/>
        <w:rPr>
          <w:rFonts w:eastAsia="方正小标宋简体"/>
          <w:sz w:val="44"/>
          <w:szCs w:val="44"/>
        </w:rPr>
      </w:pPr>
    </w:p>
    <w:p>
      <w:pPr>
        <w:spacing w:line="600" w:lineRule="exact"/>
        <w:jc w:val="center"/>
        <w:rPr>
          <w:rFonts w:eastAsia="方正小标宋简体"/>
          <w:sz w:val="44"/>
          <w:szCs w:val="44"/>
        </w:rPr>
      </w:pPr>
    </w:p>
    <w:p>
      <w:pPr>
        <w:spacing w:line="600" w:lineRule="exact"/>
        <w:jc w:val="center"/>
        <w:rPr>
          <w:rFonts w:eastAsia="方正小标宋简体"/>
          <w:sz w:val="44"/>
          <w:szCs w:val="44"/>
        </w:rPr>
      </w:pPr>
    </w:p>
    <w:p>
      <w:pPr>
        <w:spacing w:line="600" w:lineRule="exact"/>
        <w:jc w:val="center"/>
        <w:rPr>
          <w:rFonts w:eastAsia="方正小标宋简体"/>
          <w:sz w:val="44"/>
          <w:szCs w:val="44"/>
        </w:rPr>
      </w:pPr>
    </w:p>
    <w:p>
      <w:pPr>
        <w:spacing w:line="1000" w:lineRule="exact"/>
        <w:jc w:val="center"/>
        <w:rPr>
          <w:rFonts w:eastAsia="方正小标宋简体"/>
          <w:sz w:val="72"/>
          <w:szCs w:val="72"/>
        </w:rPr>
      </w:pPr>
      <w:r>
        <w:rPr>
          <w:rFonts w:hint="eastAsia" w:eastAsia="方正小标宋简体"/>
          <w:sz w:val="72"/>
          <w:szCs w:val="72"/>
        </w:rPr>
        <w:t>攀枝花市文化馆</w:t>
      </w:r>
    </w:p>
    <w:p>
      <w:pPr>
        <w:spacing w:line="1000" w:lineRule="exact"/>
        <w:jc w:val="center"/>
        <w:rPr>
          <w:rFonts w:eastAsia="方正小标宋简体"/>
          <w:sz w:val="72"/>
          <w:szCs w:val="72"/>
          <w:u w:val="single"/>
        </w:rPr>
        <w:sectPr>
          <w:footerReference r:id="rId3" w:type="even"/>
          <w:pgSz w:w="11906" w:h="16838"/>
          <w:pgMar w:top="1247" w:right="1542" w:bottom="1247" w:left="2098" w:header="851" w:footer="992" w:gutter="0"/>
          <w:pgNumType w:fmt="numberInDash" w:start="1"/>
          <w:cols w:space="720" w:num="1"/>
          <w:docGrid w:type="lines" w:linePitch="435" w:charSpace="0"/>
        </w:sectPr>
      </w:pPr>
      <w:r>
        <w:rPr>
          <w:rFonts w:eastAsia="方正小标宋简体"/>
          <w:sz w:val="72"/>
          <w:szCs w:val="72"/>
        </w:rPr>
        <w:t>2022年</w:t>
      </w:r>
      <w:r>
        <w:rPr>
          <w:rFonts w:hint="eastAsia" w:eastAsia="方正小标宋简体"/>
          <w:sz w:val="72"/>
          <w:szCs w:val="72"/>
        </w:rPr>
        <w:t>单位</w:t>
      </w:r>
      <w:r>
        <w:rPr>
          <w:rFonts w:eastAsia="方正小标宋简体"/>
          <w:sz w:val="72"/>
          <w:szCs w:val="72"/>
        </w:rPr>
        <w:t>预算</w:t>
      </w:r>
      <w:r>
        <w:rPr>
          <w:rFonts w:hint="eastAsia" w:eastAsia="方正小标宋简体"/>
          <w:sz w:val="72"/>
          <w:szCs w:val="72"/>
        </w:rPr>
        <w:t>编制说明</w:t>
      </w:r>
    </w:p>
    <w:p>
      <w:pPr>
        <w:spacing w:line="400" w:lineRule="exact"/>
        <w:jc w:val="center"/>
        <w:rPr>
          <w:rFonts w:eastAsia="黑体"/>
        </w:rPr>
      </w:pPr>
      <w:r>
        <w:rPr>
          <w:rFonts w:hint="eastAsia" w:eastAsia="黑体"/>
        </w:rPr>
        <w:t>目录</w:t>
      </w:r>
    </w:p>
    <w:p>
      <w:pPr>
        <w:spacing w:line="400" w:lineRule="exact"/>
        <w:ind w:firstLine="640" w:firstLineChars="200"/>
        <w:jc w:val="center"/>
        <w:rPr>
          <w:rFonts w:eastAsia="黑体"/>
        </w:rPr>
      </w:pPr>
    </w:p>
    <w:p>
      <w:pPr>
        <w:spacing w:line="520" w:lineRule="exact"/>
        <w:rPr>
          <w:rFonts w:eastAsia="黑体"/>
        </w:rPr>
      </w:pPr>
      <w:r>
        <w:rPr>
          <w:rFonts w:eastAsia="楷体_GB2312"/>
        </w:rPr>
        <w:t>一、基本职能及主要工作</w:t>
      </w:r>
      <w:r>
        <w:rPr>
          <w:rFonts w:hint="eastAsia" w:eastAsia="黑体"/>
        </w:rPr>
        <w:t>.........................................................2</w:t>
      </w:r>
    </w:p>
    <w:p>
      <w:pPr>
        <w:spacing w:line="520" w:lineRule="exact"/>
        <w:rPr>
          <w:rFonts w:eastAsia="黑体"/>
        </w:rPr>
      </w:pPr>
      <w:r>
        <w:t>（一）</w:t>
      </w:r>
      <w:r>
        <w:rPr>
          <w:rFonts w:hint="eastAsia"/>
        </w:rPr>
        <w:t>市文化馆</w:t>
      </w:r>
      <w:r>
        <w:t>职能简介</w:t>
      </w:r>
      <w:r>
        <w:rPr>
          <w:rFonts w:hint="eastAsia" w:eastAsia="黑体"/>
        </w:rPr>
        <w:t>.........................................................2</w:t>
      </w:r>
    </w:p>
    <w:p>
      <w:pPr>
        <w:spacing w:line="520" w:lineRule="exact"/>
        <w:rPr>
          <w:rFonts w:eastAsia="黑体"/>
        </w:rPr>
      </w:pPr>
      <w:r>
        <w:t>（二）</w:t>
      </w:r>
      <w:r>
        <w:rPr>
          <w:rFonts w:hint="eastAsia"/>
        </w:rPr>
        <w:t>市文化馆</w:t>
      </w:r>
      <w:r>
        <w:t>2022年重点工作</w:t>
      </w:r>
      <w:r>
        <w:rPr>
          <w:rFonts w:hint="eastAsia" w:eastAsia="黑体"/>
        </w:rPr>
        <w:t>...........................................2</w:t>
      </w:r>
    </w:p>
    <w:p>
      <w:pPr>
        <w:spacing w:line="560" w:lineRule="exact"/>
        <w:rPr>
          <w:rFonts w:eastAsia="黑体"/>
        </w:rPr>
      </w:pPr>
      <w:r>
        <w:rPr>
          <w:rFonts w:hint="eastAsia" w:eastAsia="楷体_GB2312"/>
        </w:rPr>
        <w:t>二、机构设置情况</w:t>
      </w:r>
      <w:r>
        <w:rPr>
          <w:rFonts w:hint="eastAsia" w:eastAsia="黑体"/>
        </w:rPr>
        <w:t>.....................................................................3</w:t>
      </w:r>
    </w:p>
    <w:p>
      <w:pPr>
        <w:spacing w:line="520" w:lineRule="exact"/>
        <w:rPr>
          <w:rFonts w:eastAsia="黑体"/>
        </w:rPr>
      </w:pPr>
      <w:r>
        <w:rPr>
          <w:rFonts w:hint="eastAsia" w:eastAsia="楷体_GB2312"/>
        </w:rPr>
        <w:t>三</w:t>
      </w:r>
      <w:r>
        <w:rPr>
          <w:rFonts w:eastAsia="楷体_GB2312"/>
        </w:rPr>
        <w:t>、收支预算情况说明</w:t>
      </w:r>
      <w:r>
        <w:rPr>
          <w:rFonts w:hint="eastAsia" w:eastAsia="黑体"/>
        </w:rPr>
        <w:t>..............................................................3</w:t>
      </w:r>
    </w:p>
    <w:p>
      <w:pPr>
        <w:spacing w:line="520" w:lineRule="exact"/>
        <w:rPr>
          <w:rFonts w:eastAsia="黑体"/>
        </w:rPr>
      </w:pPr>
      <w:r>
        <w:t>（一）收入预算情况</w:t>
      </w:r>
      <w:r>
        <w:rPr>
          <w:rFonts w:hint="eastAsia" w:eastAsia="黑体"/>
        </w:rPr>
        <w:t>...................................................................4</w:t>
      </w:r>
    </w:p>
    <w:p>
      <w:pPr>
        <w:spacing w:line="520" w:lineRule="exact"/>
        <w:rPr>
          <w:rFonts w:eastAsia="黑体"/>
          <w:b/>
          <w:bCs/>
        </w:rPr>
      </w:pPr>
      <w:r>
        <w:t>（二）支出预算情况</w:t>
      </w:r>
      <w:r>
        <w:rPr>
          <w:rFonts w:hint="eastAsia" w:eastAsia="黑体"/>
        </w:rPr>
        <w:t>...................................................................4</w:t>
      </w:r>
    </w:p>
    <w:p>
      <w:pPr>
        <w:spacing w:line="520" w:lineRule="exact"/>
        <w:rPr>
          <w:rFonts w:eastAsia="黑体"/>
        </w:rPr>
      </w:pPr>
      <w:r>
        <w:rPr>
          <w:rFonts w:hint="eastAsia" w:eastAsia="楷体_GB2312"/>
        </w:rPr>
        <w:t>四</w:t>
      </w:r>
      <w:r>
        <w:rPr>
          <w:rFonts w:eastAsia="楷体_GB2312"/>
        </w:rPr>
        <w:t>、财政拨款收支预算情况说明</w:t>
      </w:r>
      <w:r>
        <w:rPr>
          <w:rFonts w:hint="eastAsia" w:eastAsia="黑体"/>
        </w:rPr>
        <w:t>.............................................4</w:t>
      </w:r>
    </w:p>
    <w:p>
      <w:pPr>
        <w:spacing w:line="520" w:lineRule="exact"/>
        <w:rPr>
          <w:rFonts w:eastAsia="黑体"/>
        </w:rPr>
      </w:pPr>
      <w:r>
        <w:rPr>
          <w:rFonts w:hint="eastAsia" w:eastAsia="楷体_GB2312"/>
        </w:rPr>
        <w:t>五</w:t>
      </w:r>
      <w:r>
        <w:rPr>
          <w:rFonts w:eastAsia="楷体_GB2312"/>
        </w:rPr>
        <w:t>、一般公共预算当年拨款情况说明</w:t>
      </w:r>
      <w:r>
        <w:rPr>
          <w:rFonts w:hint="eastAsia" w:eastAsia="黑体"/>
        </w:rPr>
        <w:t>......................................5</w:t>
      </w:r>
    </w:p>
    <w:p>
      <w:pPr>
        <w:spacing w:line="600" w:lineRule="exact"/>
        <w:jc w:val="left"/>
        <w:rPr>
          <w:rFonts w:eastAsia="黑体"/>
        </w:rPr>
      </w:pPr>
      <w:r>
        <w:t>（一）一般公共预算当年拨款规模变化情况</w:t>
      </w:r>
      <w:r>
        <w:rPr>
          <w:rFonts w:hint="eastAsia" w:eastAsia="黑体"/>
        </w:rPr>
        <w:t>.........................5</w:t>
      </w:r>
    </w:p>
    <w:p>
      <w:pPr>
        <w:spacing w:line="520" w:lineRule="exact"/>
      </w:pPr>
      <w:r>
        <w:t>（二）一般公共预算当年拨款结构情况</w:t>
      </w:r>
      <w:r>
        <w:rPr>
          <w:rFonts w:hint="eastAsia" w:eastAsia="黑体"/>
        </w:rPr>
        <w:t>..................................5</w:t>
      </w:r>
    </w:p>
    <w:p>
      <w:pPr>
        <w:spacing w:line="520" w:lineRule="exact"/>
        <w:rPr>
          <w:rFonts w:eastAsia="黑体"/>
        </w:rPr>
      </w:pPr>
      <w:r>
        <w:t>（三）一般公共预算当年拨款具体使用情况</w:t>
      </w:r>
      <w:r>
        <w:rPr>
          <w:rFonts w:hint="eastAsia" w:eastAsia="黑体"/>
        </w:rPr>
        <w:t>..........................5</w:t>
      </w:r>
    </w:p>
    <w:p>
      <w:pPr>
        <w:spacing w:line="520" w:lineRule="exact"/>
        <w:rPr>
          <w:rFonts w:eastAsia="黑体"/>
        </w:rPr>
      </w:pPr>
      <w:r>
        <w:rPr>
          <w:rFonts w:hint="eastAsia" w:eastAsia="楷体_GB2312"/>
        </w:rPr>
        <w:t>六</w:t>
      </w:r>
      <w:r>
        <w:rPr>
          <w:rFonts w:eastAsia="楷体_GB2312"/>
        </w:rPr>
        <w:t>、一般公共预算基本支出情况说明</w:t>
      </w:r>
      <w:r>
        <w:rPr>
          <w:rFonts w:hint="eastAsia" w:eastAsia="黑体"/>
        </w:rPr>
        <w:t>......................................6</w:t>
      </w:r>
    </w:p>
    <w:p>
      <w:pPr>
        <w:spacing w:line="520" w:lineRule="exact"/>
        <w:rPr>
          <w:rFonts w:eastAsia="黑体"/>
        </w:rPr>
      </w:pPr>
      <w:r>
        <w:rPr>
          <w:rFonts w:hint="eastAsia" w:eastAsia="楷体_GB2312"/>
        </w:rPr>
        <w:t>七</w:t>
      </w:r>
      <w:r>
        <w:rPr>
          <w:rFonts w:eastAsia="楷体_GB2312"/>
        </w:rPr>
        <w:t>、“三公”经费财政拨款预算安排情况说明</w:t>
      </w:r>
      <w:r>
        <w:rPr>
          <w:rFonts w:hint="eastAsia" w:eastAsia="黑体"/>
        </w:rPr>
        <w:t>...........................6</w:t>
      </w:r>
    </w:p>
    <w:p>
      <w:pPr>
        <w:spacing w:line="520" w:lineRule="exact"/>
        <w:rPr>
          <w:rFonts w:eastAsia="黑体"/>
        </w:rPr>
      </w:pPr>
      <w:r>
        <w:rPr>
          <w:rFonts w:hint="eastAsia" w:eastAsia="楷体_GB2312"/>
        </w:rPr>
        <w:t>八</w:t>
      </w:r>
      <w:r>
        <w:rPr>
          <w:rFonts w:eastAsia="楷体_GB2312"/>
        </w:rPr>
        <w:t>、政府性基金预算支出情况说明</w:t>
      </w:r>
      <w:r>
        <w:rPr>
          <w:rFonts w:hint="eastAsia" w:eastAsia="黑体"/>
        </w:rPr>
        <w:t>.........................................7</w:t>
      </w:r>
    </w:p>
    <w:p>
      <w:pPr>
        <w:spacing w:line="520" w:lineRule="exact"/>
        <w:rPr>
          <w:rFonts w:eastAsia="黑体"/>
        </w:rPr>
      </w:pPr>
      <w:r>
        <w:rPr>
          <w:rFonts w:hint="eastAsia" w:eastAsia="楷体_GB2312"/>
        </w:rPr>
        <w:t>九</w:t>
      </w:r>
      <w:r>
        <w:rPr>
          <w:rFonts w:eastAsia="楷体_GB2312"/>
        </w:rPr>
        <w:t>、国有资本经营预算情况说明</w:t>
      </w:r>
      <w:r>
        <w:rPr>
          <w:rFonts w:hint="eastAsia" w:eastAsia="黑体"/>
        </w:rPr>
        <w:t>.............................................7</w:t>
      </w:r>
    </w:p>
    <w:p>
      <w:pPr>
        <w:spacing w:line="520" w:lineRule="exact"/>
        <w:rPr>
          <w:rFonts w:eastAsia="黑体"/>
        </w:rPr>
      </w:pPr>
      <w:r>
        <w:rPr>
          <w:rFonts w:hint="eastAsia" w:eastAsia="楷体_GB2312"/>
        </w:rPr>
        <w:t>十</w:t>
      </w:r>
      <w:r>
        <w:rPr>
          <w:rFonts w:eastAsia="楷体_GB2312"/>
        </w:rPr>
        <w:t>、其他重要事项的情况说明</w:t>
      </w:r>
      <w:r>
        <w:rPr>
          <w:rFonts w:hint="eastAsia" w:eastAsia="黑体"/>
        </w:rPr>
        <w:t>..................................................8</w:t>
      </w:r>
    </w:p>
    <w:p>
      <w:pPr>
        <w:spacing w:line="520" w:lineRule="exact"/>
        <w:rPr>
          <w:rFonts w:eastAsia="黑体"/>
        </w:rPr>
      </w:pPr>
      <w:r>
        <w:t>（一）机关运行经费</w:t>
      </w:r>
      <w:r>
        <w:rPr>
          <w:rFonts w:hint="eastAsia" w:eastAsia="黑体"/>
        </w:rPr>
        <w:t>..................................................................8</w:t>
      </w:r>
    </w:p>
    <w:p>
      <w:pPr>
        <w:spacing w:line="520" w:lineRule="exact"/>
        <w:rPr>
          <w:rFonts w:eastAsia="黑体"/>
        </w:rPr>
      </w:pPr>
      <w:r>
        <w:t>（二）政府采购情况</w:t>
      </w:r>
      <w:r>
        <w:rPr>
          <w:rFonts w:hint="eastAsia" w:eastAsia="黑体"/>
        </w:rPr>
        <w:t>...................................................................8</w:t>
      </w:r>
    </w:p>
    <w:p>
      <w:pPr>
        <w:spacing w:line="520" w:lineRule="exact"/>
        <w:rPr>
          <w:rFonts w:eastAsia="黑体"/>
        </w:rPr>
      </w:pPr>
      <w:r>
        <w:t>（三）国有资产占有使用情况</w:t>
      </w:r>
      <w:r>
        <w:rPr>
          <w:rFonts w:hint="eastAsia" w:eastAsia="黑体"/>
        </w:rPr>
        <w:t>...................................................8</w:t>
      </w:r>
    </w:p>
    <w:p>
      <w:pPr>
        <w:spacing w:line="520" w:lineRule="exact"/>
        <w:rPr>
          <w:rFonts w:eastAsia="黑体"/>
        </w:rPr>
      </w:pPr>
      <w:r>
        <w:t>（四）绩效目标设置情况</w:t>
      </w:r>
      <w:r>
        <w:rPr>
          <w:rFonts w:hint="eastAsia" w:eastAsia="黑体"/>
        </w:rPr>
        <w:t>..........................................................8</w:t>
      </w:r>
    </w:p>
    <w:p>
      <w:pPr>
        <w:spacing w:line="520" w:lineRule="exact"/>
        <w:rPr>
          <w:rFonts w:eastAsia="黑体"/>
        </w:rPr>
      </w:pPr>
      <w:r>
        <w:rPr>
          <w:rFonts w:eastAsia="楷体_GB2312"/>
        </w:rPr>
        <w:t>十</w:t>
      </w:r>
      <w:r>
        <w:rPr>
          <w:rFonts w:hint="eastAsia" w:eastAsia="楷体_GB2312"/>
        </w:rPr>
        <w:t>一</w:t>
      </w:r>
      <w:r>
        <w:rPr>
          <w:rFonts w:eastAsia="楷体_GB2312"/>
        </w:rPr>
        <w:t>、名词解释</w:t>
      </w:r>
      <w:r>
        <w:rPr>
          <w:rFonts w:hint="eastAsia" w:eastAsia="黑体"/>
        </w:rPr>
        <w:t>...........................................................................8</w:t>
      </w:r>
    </w:p>
    <w:p>
      <w:pPr>
        <w:spacing w:line="520" w:lineRule="exact"/>
        <w:rPr>
          <w:rFonts w:eastAsia="黑体"/>
        </w:rPr>
      </w:pPr>
      <w:r>
        <w:rPr>
          <w:rFonts w:hint="eastAsia" w:eastAsia="楷体_GB2312"/>
        </w:rPr>
        <w:t>附件</w:t>
      </w:r>
      <w:r>
        <w:rPr>
          <w:rFonts w:hint="eastAsia" w:eastAsia="黑体"/>
        </w:rPr>
        <w:t>...........................................................................................10</w:t>
      </w:r>
    </w:p>
    <w:p>
      <w:pPr>
        <w:spacing w:line="600" w:lineRule="exact"/>
        <w:ind w:firstLine="640" w:firstLineChars="200"/>
        <w:rPr>
          <w:rFonts w:eastAsia="黑体"/>
        </w:rPr>
      </w:pPr>
      <w:r>
        <w:rPr>
          <w:rFonts w:eastAsia="黑体"/>
        </w:rPr>
        <w:br w:type="page"/>
      </w:r>
      <w:r>
        <w:rPr>
          <w:rFonts w:eastAsia="黑体"/>
        </w:rPr>
        <w:t>一、基本职能及主要工作</w:t>
      </w:r>
    </w:p>
    <w:p>
      <w:pPr>
        <w:pStyle w:val="2"/>
        <w:adjustRightInd w:val="0"/>
        <w:spacing w:beforeLines="0" w:line="600" w:lineRule="exact"/>
        <w:ind w:firstLine="672" w:firstLineChars="210"/>
        <w:rPr>
          <w:rFonts w:ascii="Times New Roman" w:eastAsia="楷体_GB2312"/>
          <w:b/>
          <w:sz w:val="32"/>
        </w:rPr>
      </w:pPr>
      <w:r>
        <w:rPr>
          <w:rFonts w:ascii="Times New Roman" w:eastAsia="楷体_GB2312"/>
          <w:b/>
          <w:sz w:val="32"/>
        </w:rPr>
        <w:t>（一）市文</w:t>
      </w:r>
      <w:r>
        <w:rPr>
          <w:rFonts w:hint="eastAsia" w:ascii="Times New Roman" w:eastAsia="楷体_GB2312"/>
          <w:b/>
          <w:sz w:val="32"/>
        </w:rPr>
        <w:t>化馆</w:t>
      </w:r>
      <w:r>
        <w:rPr>
          <w:rFonts w:ascii="Times New Roman" w:eastAsia="楷体_GB2312"/>
          <w:b/>
          <w:sz w:val="32"/>
        </w:rPr>
        <w:t>职能简介。</w:t>
      </w:r>
    </w:p>
    <w:p>
      <w:pPr>
        <w:pStyle w:val="2"/>
        <w:spacing w:before="130" w:line="600" w:lineRule="exact"/>
        <w:ind w:firstLine="672" w:firstLineChars="210"/>
        <w:rPr>
          <w:rFonts w:ascii="Times New Roman"/>
          <w:sz w:val="32"/>
        </w:rPr>
      </w:pPr>
      <w:r>
        <w:rPr>
          <w:rFonts w:ascii="Times New Roman"/>
          <w:sz w:val="32"/>
        </w:rPr>
        <w:t>其主要责任和任务：组织群众文化活动，繁荣群众文化事业。文化宣传、文艺活动组织、文艺演出组织、相关培训、业余创作团体管理，业余文艺创作组织、县</w:t>
      </w:r>
      <w:r>
        <w:rPr>
          <w:rFonts w:hint="eastAsia" w:ascii="Times New Roman"/>
          <w:sz w:val="32"/>
        </w:rPr>
        <w:t>（</w:t>
      </w:r>
      <w:r>
        <w:rPr>
          <w:rFonts w:ascii="Times New Roman"/>
          <w:sz w:val="32"/>
        </w:rPr>
        <w:t>区</w:t>
      </w:r>
      <w:r>
        <w:rPr>
          <w:rFonts w:hint="eastAsia" w:ascii="Times New Roman"/>
          <w:sz w:val="32"/>
        </w:rPr>
        <w:t>）、</w:t>
      </w:r>
      <w:r>
        <w:rPr>
          <w:rFonts w:ascii="Times New Roman"/>
          <w:sz w:val="32"/>
        </w:rPr>
        <w:t>乡级文化馆（站、室）业务指导、群众文艺理论研究、文化交流、民族</w:t>
      </w:r>
      <w:r>
        <w:rPr>
          <w:rFonts w:hint="eastAsia" w:ascii="Times New Roman"/>
          <w:sz w:val="32"/>
        </w:rPr>
        <w:t>（</w:t>
      </w:r>
      <w:r>
        <w:rPr>
          <w:rFonts w:ascii="Times New Roman"/>
          <w:sz w:val="32"/>
        </w:rPr>
        <w:t>民间</w:t>
      </w:r>
      <w:r>
        <w:rPr>
          <w:rFonts w:hint="eastAsia" w:ascii="Times New Roman"/>
          <w:sz w:val="32"/>
        </w:rPr>
        <w:t>）</w:t>
      </w:r>
      <w:r>
        <w:rPr>
          <w:rFonts w:ascii="Times New Roman"/>
          <w:sz w:val="32"/>
        </w:rPr>
        <w:t>文化艺术遗产收集整理与保护、相关文化产业经营。</w:t>
      </w:r>
    </w:p>
    <w:p>
      <w:pPr>
        <w:pStyle w:val="2"/>
        <w:adjustRightInd w:val="0"/>
        <w:spacing w:beforeLines="0" w:line="600" w:lineRule="exact"/>
        <w:ind w:firstLine="672" w:firstLineChars="210"/>
        <w:rPr>
          <w:rFonts w:ascii="Times New Roman" w:eastAsia="楷体_GB2312"/>
          <w:b/>
          <w:sz w:val="32"/>
        </w:rPr>
      </w:pPr>
      <w:r>
        <w:rPr>
          <w:rFonts w:hint="eastAsia" w:ascii="Times New Roman" w:eastAsia="楷体_GB2312"/>
          <w:b/>
          <w:sz w:val="32"/>
        </w:rPr>
        <w:t>（二）市文化馆</w:t>
      </w:r>
      <w:r>
        <w:rPr>
          <w:rFonts w:ascii="Times New Roman" w:eastAsia="楷体_GB2312"/>
          <w:b/>
          <w:sz w:val="32"/>
        </w:rPr>
        <w:t>2022年重点工作。</w:t>
      </w:r>
    </w:p>
    <w:p>
      <w:pPr>
        <w:spacing w:line="600" w:lineRule="exact"/>
        <w:ind w:firstLine="640" w:firstLineChars="200"/>
      </w:pPr>
      <w:r>
        <w:t>1</w:t>
      </w:r>
      <w:r>
        <w:rPr>
          <w:rFonts w:hint="eastAsia"/>
        </w:rPr>
        <w:t>．</w:t>
      </w:r>
      <w:r>
        <w:t>进一步加强政治理论学习。坚持以习近平新时代中国特色社会主义思想为指导，深入学习贯彻党的十九届六中全会精神，全面落实市委、市政府和市文化广播电视和旅游局的部署要求，增强“四个意识”，坚定“四个自信”，做到“两个维护”。</w:t>
      </w:r>
    </w:p>
    <w:p>
      <w:pPr>
        <w:spacing w:line="600" w:lineRule="exact"/>
        <w:ind w:firstLine="640" w:firstLineChars="200"/>
      </w:pPr>
      <w:r>
        <w:t>2</w:t>
      </w:r>
      <w:r>
        <w:rPr>
          <w:rFonts w:hint="eastAsia"/>
        </w:rPr>
        <w:t>．</w:t>
      </w:r>
      <w:r>
        <w:t>加大文化艺术创作力度。以调研观摩、交流学习为契机，强化文化艺术创作，打造精品力作。</w:t>
      </w:r>
    </w:p>
    <w:p>
      <w:pPr>
        <w:spacing w:line="600" w:lineRule="exact"/>
        <w:ind w:firstLine="640" w:firstLineChars="200"/>
      </w:pPr>
      <w:r>
        <w:t>3</w:t>
      </w:r>
      <w:r>
        <w:rPr>
          <w:rFonts w:hint="eastAsia"/>
        </w:rPr>
        <w:t>．</w:t>
      </w:r>
      <w:r>
        <w:t>加强文化队伍建设管理。持续加强文化志愿服务团队管理，做好文旅志愿服务团队的演出活动资料收集，抓实文化专干培训工作，提升服务效能。</w:t>
      </w:r>
    </w:p>
    <w:p>
      <w:pPr>
        <w:spacing w:line="600" w:lineRule="exact"/>
        <w:ind w:firstLine="640" w:firstLineChars="200"/>
      </w:pPr>
      <w:r>
        <w:t>4</w:t>
      </w:r>
      <w:r>
        <w:rPr>
          <w:rFonts w:hint="eastAsia"/>
        </w:rPr>
        <w:t>．</w:t>
      </w:r>
      <w:r>
        <w:t>整合资源创新培训方式。持续开展</w:t>
      </w:r>
      <w:r>
        <w:rPr>
          <w:rFonts w:hint="eastAsia"/>
        </w:rPr>
        <w:t>“</w:t>
      </w:r>
      <w:r>
        <w:t>线下公益培训班</w:t>
      </w:r>
      <w:r>
        <w:rPr>
          <w:rFonts w:hint="eastAsia"/>
        </w:rPr>
        <w:t>”</w:t>
      </w:r>
      <w:r>
        <w:t>工作，积极探索</w:t>
      </w:r>
      <w:r>
        <w:rPr>
          <w:rFonts w:hint="eastAsia"/>
        </w:rPr>
        <w:t>“</w:t>
      </w:r>
      <w:r>
        <w:t>培训+非遗</w:t>
      </w:r>
      <w:r>
        <w:rPr>
          <w:rFonts w:hint="eastAsia"/>
        </w:rPr>
        <w:t>”“</w:t>
      </w:r>
      <w:r>
        <w:t>培训+数字</w:t>
      </w:r>
      <w:r>
        <w:rPr>
          <w:rFonts w:hint="eastAsia"/>
        </w:rPr>
        <w:t>”</w:t>
      </w:r>
      <w:r>
        <w:t>等模式，发挥文化馆总分馆作用，多形式、多渠道拓展培训内容。</w:t>
      </w:r>
    </w:p>
    <w:p>
      <w:pPr>
        <w:pStyle w:val="2"/>
        <w:spacing w:before="130" w:line="600" w:lineRule="exact"/>
        <w:ind w:firstLine="672" w:firstLineChars="210"/>
        <w:rPr>
          <w:rFonts w:ascii="Times New Roman"/>
          <w:sz w:val="32"/>
        </w:rPr>
      </w:pPr>
      <w:r>
        <w:rPr>
          <w:rFonts w:ascii="Times New Roman"/>
          <w:sz w:val="32"/>
        </w:rPr>
        <w:t>5</w:t>
      </w:r>
      <w:r>
        <w:rPr>
          <w:rFonts w:hint="eastAsia" w:ascii="Times New Roman"/>
          <w:sz w:val="32"/>
        </w:rPr>
        <w:t>．</w:t>
      </w:r>
      <w:r>
        <w:rPr>
          <w:rFonts w:ascii="Times New Roman"/>
          <w:sz w:val="32"/>
        </w:rPr>
        <w:t>持续做好场馆免费开放。充分发挥群众文化活动阵地作用，持续做好免费开放工作，创新文艺惠民活动形式，增强群众获得感。</w:t>
      </w:r>
    </w:p>
    <w:p>
      <w:pPr>
        <w:pStyle w:val="2"/>
        <w:spacing w:before="130" w:line="600" w:lineRule="exact"/>
        <w:ind w:firstLine="672" w:firstLineChars="210"/>
        <w:rPr>
          <w:rFonts w:ascii="Times New Roman"/>
          <w:sz w:val="32"/>
        </w:rPr>
      </w:pPr>
      <w:r>
        <w:rPr>
          <w:rFonts w:ascii="Times New Roman"/>
          <w:sz w:val="32"/>
        </w:rPr>
        <w:t>6</w:t>
      </w:r>
      <w:r>
        <w:rPr>
          <w:rFonts w:hint="eastAsia" w:ascii="Times New Roman"/>
          <w:sz w:val="32"/>
        </w:rPr>
        <w:t>．</w:t>
      </w:r>
      <w:r>
        <w:rPr>
          <w:rFonts w:ascii="Times New Roman"/>
          <w:sz w:val="32"/>
        </w:rPr>
        <w:t>加强数字文化建设工作。强化现有公共文化数字化功能模块资源的整合，努力实现互联网（web网站）、移动互联网（APP）、微信公众号的全覆盖；引领互联网+文化产品良性升级，完善公共文化数字化标准规范，做实公共文化数字化转型升级；打通各类互联网入口，通过多平台的形式，让市民群众真正体验公共文化服务内容。</w:t>
      </w:r>
    </w:p>
    <w:p>
      <w:pPr>
        <w:pStyle w:val="2"/>
        <w:spacing w:before="130" w:line="600" w:lineRule="exact"/>
        <w:ind w:firstLine="672" w:firstLineChars="210"/>
        <w:rPr>
          <w:rFonts w:ascii="Times New Roman"/>
          <w:sz w:val="32"/>
        </w:rPr>
      </w:pPr>
      <w:r>
        <w:rPr>
          <w:rFonts w:ascii="Times New Roman"/>
          <w:sz w:val="32"/>
        </w:rPr>
        <w:t>7</w:t>
      </w:r>
      <w:r>
        <w:rPr>
          <w:rFonts w:hint="eastAsia" w:ascii="Times New Roman"/>
          <w:sz w:val="32"/>
        </w:rPr>
        <w:t>．</w:t>
      </w:r>
      <w:r>
        <w:rPr>
          <w:rFonts w:ascii="Times New Roman"/>
          <w:sz w:val="32"/>
        </w:rPr>
        <w:t>持续加强非遗保护宣传。认真开展非遗项目及代表性传承人申报、保护及传承等常规工作，充分利用各类宣传推广平台宣传非遗保护工作。</w:t>
      </w:r>
    </w:p>
    <w:p>
      <w:pPr>
        <w:pStyle w:val="2"/>
        <w:spacing w:before="130" w:line="600" w:lineRule="exact"/>
        <w:ind w:firstLine="672" w:firstLineChars="210"/>
        <w:rPr>
          <w:rFonts w:ascii="Times New Roman"/>
          <w:sz w:val="32"/>
        </w:rPr>
      </w:pPr>
      <w:r>
        <w:rPr>
          <w:rFonts w:ascii="Times New Roman"/>
          <w:sz w:val="32"/>
        </w:rPr>
        <w:t>8</w:t>
      </w:r>
      <w:r>
        <w:rPr>
          <w:rFonts w:hint="eastAsia" w:ascii="Times New Roman"/>
          <w:sz w:val="32"/>
        </w:rPr>
        <w:t>．</w:t>
      </w:r>
      <w:r>
        <w:rPr>
          <w:rFonts w:ascii="Times New Roman"/>
          <w:sz w:val="32"/>
        </w:rPr>
        <w:t>做好创建国家公共文化服务体系示范区复检相关工作。</w:t>
      </w:r>
    </w:p>
    <w:p>
      <w:pPr>
        <w:pStyle w:val="2"/>
        <w:spacing w:before="130" w:line="600" w:lineRule="exact"/>
        <w:ind w:firstLine="672" w:firstLineChars="210"/>
        <w:rPr>
          <w:rFonts w:ascii="Times New Roman"/>
          <w:sz w:val="32"/>
        </w:rPr>
      </w:pPr>
      <w:r>
        <w:rPr>
          <w:rFonts w:ascii="Times New Roman"/>
          <w:sz w:val="32"/>
        </w:rPr>
        <w:t>9</w:t>
      </w:r>
      <w:r>
        <w:rPr>
          <w:rFonts w:hint="eastAsia" w:ascii="Times New Roman"/>
          <w:sz w:val="32"/>
        </w:rPr>
        <w:t>．</w:t>
      </w:r>
      <w:r>
        <w:rPr>
          <w:rFonts w:ascii="Times New Roman"/>
          <w:sz w:val="32"/>
        </w:rPr>
        <w:t>进一步办好馆办刊物。强化文化艺术传播，持续办好《攀枝花群文》期刊，搭建文化艺术交流平台，力争把《攀枝花群文》期刊办成全省优质刊物，满足人民群众日益增长的精神文化需求。</w:t>
      </w:r>
    </w:p>
    <w:p>
      <w:pPr>
        <w:spacing w:line="600" w:lineRule="exact"/>
        <w:ind w:firstLine="640" w:firstLineChars="200"/>
        <w:rPr>
          <w:rFonts w:eastAsia="黑体"/>
        </w:rPr>
      </w:pPr>
      <w:r>
        <w:rPr>
          <w:rFonts w:hint="eastAsia" w:eastAsia="黑体"/>
        </w:rPr>
        <w:t>二、</w:t>
      </w:r>
      <w:r>
        <w:rPr>
          <w:rFonts w:eastAsia="黑体"/>
        </w:rPr>
        <w:t>机构设置情况</w:t>
      </w:r>
    </w:p>
    <w:p>
      <w:pPr>
        <w:spacing w:line="600" w:lineRule="exact"/>
        <w:ind w:firstLine="640" w:firstLineChars="200"/>
        <w:rPr>
          <w:rFonts w:eastAsia="黑体"/>
        </w:rPr>
      </w:pPr>
      <w:r>
        <w:rPr>
          <w:rFonts w:hint="eastAsia"/>
        </w:rPr>
        <w:t>市文化馆</w:t>
      </w:r>
      <w:r>
        <w:t>属</w:t>
      </w:r>
      <w:r>
        <w:rPr>
          <w:rFonts w:hint="eastAsia"/>
        </w:rPr>
        <w:t>于</w:t>
      </w:r>
      <w:r>
        <w:t>市文广旅局</w:t>
      </w:r>
      <w:r>
        <w:rPr>
          <w:rFonts w:hint="eastAsia"/>
        </w:rPr>
        <w:t>部门下属的二级预算单位，无下级预算单位。</w:t>
      </w:r>
    </w:p>
    <w:p>
      <w:pPr>
        <w:spacing w:line="600" w:lineRule="exact"/>
        <w:ind w:firstLine="640" w:firstLineChars="200"/>
        <w:rPr>
          <w:rFonts w:eastAsia="黑体"/>
        </w:rPr>
      </w:pPr>
      <w:r>
        <w:rPr>
          <w:rFonts w:hint="eastAsia" w:eastAsia="黑体"/>
        </w:rPr>
        <w:t>三</w:t>
      </w:r>
      <w:r>
        <w:rPr>
          <w:rFonts w:eastAsia="黑体"/>
        </w:rPr>
        <w:t>、收支预算情况说明</w:t>
      </w:r>
    </w:p>
    <w:p>
      <w:pPr>
        <w:spacing w:line="600" w:lineRule="exact"/>
        <w:ind w:firstLine="640" w:firstLineChars="200"/>
      </w:pPr>
      <w:r>
        <w:t>按照综合预算的原则，</w:t>
      </w:r>
      <w:r>
        <w:rPr>
          <w:rFonts w:hint="eastAsia"/>
        </w:rPr>
        <w:t>市文化馆</w:t>
      </w:r>
      <w:r>
        <w:t>所有收入和支出均纳入</w:t>
      </w:r>
      <w:r>
        <w:rPr>
          <w:rFonts w:hint="eastAsia"/>
        </w:rPr>
        <w:t>单位</w:t>
      </w:r>
      <w:r>
        <w:t>预算管理。收入包括：一般公共预算拨款收入</w:t>
      </w:r>
      <w:r>
        <w:rPr>
          <w:rFonts w:hint="eastAsia"/>
        </w:rPr>
        <w:t>510.14万元</w:t>
      </w:r>
      <w:r>
        <w:t>、政府性基金预算拨款收入</w:t>
      </w:r>
      <w:r>
        <w:rPr>
          <w:rFonts w:hint="eastAsia"/>
        </w:rPr>
        <w:t>0万元</w:t>
      </w:r>
      <w:r>
        <w:t>、国有资本经营预算拨款收入</w:t>
      </w:r>
      <w:r>
        <w:rPr>
          <w:rFonts w:hint="eastAsia"/>
        </w:rPr>
        <w:t>0万元</w:t>
      </w:r>
      <w:r>
        <w:t>、事业收入</w:t>
      </w:r>
      <w:r>
        <w:rPr>
          <w:rFonts w:hint="eastAsia"/>
        </w:rPr>
        <w:t>0万元</w:t>
      </w:r>
      <w:r>
        <w:t>、事业单位经营收入</w:t>
      </w:r>
      <w:r>
        <w:rPr>
          <w:rFonts w:hint="eastAsia"/>
        </w:rPr>
        <w:t>0万元、其他收入0万元</w:t>
      </w:r>
      <w:r>
        <w:t>；支出包括：</w:t>
      </w:r>
      <w:r>
        <w:rPr>
          <w:rFonts w:hint="eastAsia"/>
        </w:rPr>
        <w:t>文化旅游体育与传媒支出391.12万元、社会保障和就业支出77.28万元、住房保障支出41.74万元。市文化馆</w:t>
      </w:r>
      <w:r>
        <w:t>2022年收支总预算</w:t>
      </w:r>
      <w:r>
        <w:rPr>
          <w:rFonts w:hint="eastAsia"/>
        </w:rPr>
        <w:t>510.14</w:t>
      </w:r>
      <w:r>
        <w:t>万元。比2021年预算数</w:t>
      </w:r>
      <w:r>
        <w:rPr>
          <w:rFonts w:hint="eastAsia"/>
        </w:rPr>
        <w:t>增加10.09</w:t>
      </w:r>
      <w:r>
        <w:t>万元，主要是</w:t>
      </w:r>
      <w:r>
        <w:rPr>
          <w:rFonts w:hint="eastAsia"/>
        </w:rPr>
        <w:t>人员经费支出增加。</w:t>
      </w:r>
    </w:p>
    <w:p>
      <w:pPr>
        <w:spacing w:line="600" w:lineRule="exact"/>
        <w:ind w:firstLine="640" w:firstLineChars="200"/>
        <w:rPr>
          <w:rFonts w:eastAsia="楷体_GB2312"/>
          <w:b/>
        </w:rPr>
      </w:pPr>
      <w:r>
        <w:rPr>
          <w:rFonts w:eastAsia="楷体_GB2312"/>
          <w:b/>
        </w:rPr>
        <w:t>（一）收入预算情况。</w:t>
      </w:r>
    </w:p>
    <w:p>
      <w:pPr>
        <w:spacing w:line="600" w:lineRule="exact"/>
        <w:ind w:firstLine="640" w:firstLineChars="200"/>
      </w:pPr>
      <w:r>
        <w:rPr>
          <w:rFonts w:hint="eastAsia"/>
        </w:rPr>
        <w:t>市文化馆</w:t>
      </w:r>
      <w:r>
        <w:t>2022年收入预算</w:t>
      </w:r>
      <w:r>
        <w:rPr>
          <w:rFonts w:hint="eastAsia"/>
        </w:rPr>
        <w:t>510.14</w:t>
      </w:r>
      <w:r>
        <w:t>万元，其中：上年结转</w:t>
      </w:r>
      <w:r>
        <w:rPr>
          <w:rFonts w:hint="eastAsia"/>
        </w:rPr>
        <w:t>0</w:t>
      </w:r>
      <w:r>
        <w:t>万元，占</w:t>
      </w:r>
      <w:r>
        <w:rPr>
          <w:rFonts w:hint="eastAsia"/>
        </w:rPr>
        <w:t>0</w:t>
      </w:r>
      <w:r>
        <w:t>%；一般公共预算拨款收入</w:t>
      </w:r>
      <w:r>
        <w:rPr>
          <w:rFonts w:hint="eastAsia"/>
        </w:rPr>
        <w:t>510.14</w:t>
      </w:r>
      <w:r>
        <w:t>万元，占</w:t>
      </w:r>
      <w:r>
        <w:rPr>
          <w:rFonts w:hint="eastAsia"/>
        </w:rPr>
        <w:t>100</w:t>
      </w:r>
      <w:r>
        <w:t>%；政府性基金预算拨款收入</w:t>
      </w:r>
      <w:r>
        <w:rPr>
          <w:rFonts w:hint="eastAsia"/>
        </w:rPr>
        <w:t>0</w:t>
      </w:r>
      <w:r>
        <w:t>万元，占</w:t>
      </w:r>
      <w:r>
        <w:rPr>
          <w:rFonts w:hint="eastAsia"/>
        </w:rPr>
        <w:t>0</w:t>
      </w:r>
      <w:r>
        <w:t>%；国有资本经营预算拨款收入</w:t>
      </w:r>
      <w:r>
        <w:rPr>
          <w:rFonts w:hint="eastAsia"/>
        </w:rPr>
        <w:t>0万元，占0%；</w:t>
      </w:r>
      <w:r>
        <w:t>事业收入</w:t>
      </w:r>
      <w:r>
        <w:rPr>
          <w:rFonts w:hint="eastAsia"/>
        </w:rPr>
        <w:t>0</w:t>
      </w:r>
      <w:r>
        <w:t>万元，占</w:t>
      </w:r>
      <w:r>
        <w:rPr>
          <w:rFonts w:hint="eastAsia"/>
        </w:rPr>
        <w:t>0</w:t>
      </w:r>
      <w:r>
        <w:t xml:space="preserve">%；事业单位经营收入 </w:t>
      </w:r>
      <w:r>
        <w:rPr>
          <w:rFonts w:hint="eastAsia"/>
        </w:rPr>
        <w:t>0万元，占0%；其他收入0万元，占0%；上级补助收入0万元，占0%；附属单位上缴收入0万元，占0%；用事业基金弥补收支差额0万元，占0%。</w:t>
      </w:r>
    </w:p>
    <w:p>
      <w:pPr>
        <w:spacing w:line="600" w:lineRule="exact"/>
        <w:ind w:firstLine="640" w:firstLineChars="200"/>
        <w:rPr>
          <w:rFonts w:eastAsia="楷体_GB2312"/>
          <w:b/>
        </w:rPr>
      </w:pPr>
      <w:r>
        <w:rPr>
          <w:rFonts w:eastAsia="楷体_GB2312"/>
          <w:b/>
        </w:rPr>
        <w:t>（二）支出预算情况。</w:t>
      </w:r>
    </w:p>
    <w:p>
      <w:pPr>
        <w:spacing w:line="600" w:lineRule="exact"/>
        <w:ind w:firstLine="640" w:firstLineChars="200"/>
      </w:pPr>
      <w:r>
        <w:rPr>
          <w:rFonts w:hint="eastAsia"/>
        </w:rPr>
        <w:t>市文化馆</w:t>
      </w:r>
      <w:r>
        <w:t>2022年支出预算</w:t>
      </w:r>
      <w:r>
        <w:rPr>
          <w:rFonts w:hint="eastAsia"/>
        </w:rPr>
        <w:t>510.14</w:t>
      </w:r>
      <w:r>
        <w:t>万元，其中：基本支出</w:t>
      </w:r>
      <w:r>
        <w:rPr>
          <w:rFonts w:hint="eastAsia"/>
        </w:rPr>
        <w:t>510.14</w:t>
      </w:r>
      <w:r>
        <w:t>万元，占</w:t>
      </w:r>
      <w:r>
        <w:rPr>
          <w:rFonts w:hint="eastAsia"/>
        </w:rPr>
        <w:t>100</w:t>
      </w:r>
      <w:r>
        <w:t>%；项目支出</w:t>
      </w:r>
      <w:r>
        <w:rPr>
          <w:rFonts w:hint="eastAsia"/>
        </w:rPr>
        <w:t>0</w:t>
      </w:r>
      <w:r>
        <w:t>万元，占</w:t>
      </w:r>
      <w:r>
        <w:rPr>
          <w:rFonts w:hint="eastAsia"/>
        </w:rPr>
        <w:t>0</w:t>
      </w:r>
      <w:r>
        <w:t>%</w:t>
      </w:r>
      <w:r>
        <w:rPr>
          <w:rFonts w:hint="eastAsia"/>
        </w:rPr>
        <w:t>；上缴上级支出0万元，占0%；对附属单位补助支出0万元，占0%。</w:t>
      </w:r>
    </w:p>
    <w:p>
      <w:pPr>
        <w:spacing w:line="600" w:lineRule="exact"/>
        <w:ind w:firstLine="640" w:firstLineChars="200"/>
        <w:rPr>
          <w:rFonts w:eastAsia="黑体"/>
        </w:rPr>
      </w:pPr>
      <w:r>
        <w:rPr>
          <w:rFonts w:hint="eastAsia" w:eastAsia="黑体"/>
        </w:rPr>
        <w:t>四</w:t>
      </w:r>
      <w:r>
        <w:rPr>
          <w:rFonts w:eastAsia="黑体"/>
        </w:rPr>
        <w:t>、财政拨款收支预算情况说明</w:t>
      </w:r>
    </w:p>
    <w:p>
      <w:pPr>
        <w:spacing w:line="600" w:lineRule="exact"/>
        <w:ind w:firstLine="640" w:firstLineChars="200"/>
      </w:pPr>
      <w:r>
        <w:rPr>
          <w:rFonts w:hint="eastAsia"/>
        </w:rPr>
        <w:t>市文化馆</w:t>
      </w:r>
      <w:r>
        <w:t>2022年财政拨款收支总预算</w:t>
      </w:r>
      <w:r>
        <w:rPr>
          <w:rFonts w:hint="eastAsia"/>
        </w:rPr>
        <w:t>510.14</w:t>
      </w:r>
      <w:r>
        <w:t>万元。收入包括：本年一般公共预算拨款收入</w:t>
      </w:r>
      <w:r>
        <w:rPr>
          <w:rFonts w:hint="eastAsia"/>
        </w:rPr>
        <w:t>510.14</w:t>
      </w:r>
      <w:r>
        <w:t>万元</w:t>
      </w:r>
      <w:r>
        <w:rPr>
          <w:rFonts w:hint="eastAsia"/>
        </w:rPr>
        <w:t>；支出包括文化旅游体育与传媒支出391.12万元、社会保障和就业支出77.28万元、住房保障支出41.74万元。</w:t>
      </w:r>
    </w:p>
    <w:p>
      <w:pPr>
        <w:spacing w:line="600" w:lineRule="exact"/>
        <w:ind w:firstLine="640" w:firstLineChars="200"/>
        <w:rPr>
          <w:rFonts w:eastAsia="黑体"/>
        </w:rPr>
      </w:pPr>
      <w:r>
        <w:rPr>
          <w:rFonts w:hint="eastAsia" w:eastAsia="黑体"/>
        </w:rPr>
        <w:t>五</w:t>
      </w:r>
      <w:r>
        <w:rPr>
          <w:rFonts w:eastAsia="黑体"/>
        </w:rPr>
        <w:t>、一般公共预算当年拨款情况说明</w:t>
      </w:r>
    </w:p>
    <w:p>
      <w:pPr>
        <w:spacing w:line="600" w:lineRule="exact"/>
        <w:ind w:firstLine="640" w:firstLineChars="200"/>
        <w:rPr>
          <w:rFonts w:eastAsia="楷体_GB2312"/>
          <w:b/>
        </w:rPr>
      </w:pPr>
      <w:r>
        <w:rPr>
          <w:rFonts w:eastAsia="楷体_GB2312"/>
          <w:b/>
        </w:rPr>
        <w:t>（一）一般公共预算当年拨款规模变化情况。</w:t>
      </w:r>
    </w:p>
    <w:p>
      <w:pPr>
        <w:spacing w:line="600" w:lineRule="exact"/>
        <w:ind w:firstLine="640" w:firstLineChars="200"/>
      </w:pPr>
      <w:r>
        <w:rPr>
          <w:rFonts w:hint="eastAsia"/>
        </w:rPr>
        <w:t>市文化馆</w:t>
      </w:r>
      <w:r>
        <w:t>2022年一般公共预算当年拨款</w:t>
      </w:r>
      <w:r>
        <w:rPr>
          <w:rFonts w:hint="eastAsia"/>
        </w:rPr>
        <w:t>510.14</w:t>
      </w:r>
      <w:r>
        <w:t>万元，比2021年预算数</w:t>
      </w:r>
      <w:r>
        <w:rPr>
          <w:rFonts w:hint="eastAsia"/>
        </w:rPr>
        <w:t>增加10.09</w:t>
      </w:r>
      <w:r>
        <w:t>万元，主要是</w:t>
      </w:r>
      <w:r>
        <w:rPr>
          <w:rFonts w:hint="eastAsia"/>
        </w:rPr>
        <w:t>2022年人员经费增加。</w:t>
      </w:r>
    </w:p>
    <w:p>
      <w:pPr>
        <w:spacing w:line="600" w:lineRule="exact"/>
        <w:ind w:firstLine="640" w:firstLineChars="200"/>
        <w:rPr>
          <w:rFonts w:eastAsia="楷体_GB2312"/>
          <w:b/>
        </w:rPr>
      </w:pPr>
      <w:r>
        <w:rPr>
          <w:rFonts w:eastAsia="楷体_GB2312"/>
          <w:b/>
        </w:rPr>
        <w:t>（二）一般公共预算当年拨款结构情况。</w:t>
      </w:r>
    </w:p>
    <w:p>
      <w:pPr>
        <w:spacing w:line="600" w:lineRule="exact"/>
        <w:ind w:firstLine="640" w:firstLineChars="200"/>
      </w:pPr>
      <w:r>
        <w:t>文化旅游体育与传媒支出</w:t>
      </w:r>
      <w:r>
        <w:rPr>
          <w:rFonts w:hint="eastAsia"/>
        </w:rPr>
        <w:t>391.12万元，占76.67%；</w:t>
      </w:r>
      <w:r>
        <w:t>社会保障和就业支出</w:t>
      </w:r>
      <w:r>
        <w:rPr>
          <w:rFonts w:hint="eastAsia"/>
        </w:rPr>
        <w:t>77.28万元，占15.15%；</w:t>
      </w:r>
      <w:r>
        <w:t>住房保障支出</w:t>
      </w:r>
      <w:r>
        <w:rPr>
          <w:rFonts w:hint="eastAsia"/>
        </w:rPr>
        <w:t>41.74万元，占8.18%。</w:t>
      </w:r>
    </w:p>
    <w:p>
      <w:pPr>
        <w:spacing w:line="600" w:lineRule="exact"/>
        <w:ind w:firstLine="640" w:firstLineChars="200"/>
        <w:rPr>
          <w:rFonts w:eastAsia="楷体_GB2312"/>
          <w:b/>
        </w:rPr>
      </w:pPr>
      <w:r>
        <w:rPr>
          <w:rFonts w:eastAsia="楷体_GB2312"/>
          <w:b/>
        </w:rPr>
        <w:t>（三）一般公共预算当年拨款具体使用情况。</w:t>
      </w:r>
    </w:p>
    <w:p>
      <w:pPr>
        <w:spacing w:line="600" w:lineRule="exact"/>
        <w:ind w:firstLine="640" w:firstLineChars="200"/>
      </w:pPr>
      <w:r>
        <w:t>1</w:t>
      </w:r>
      <w:r>
        <w:rPr>
          <w:rFonts w:hint="eastAsia"/>
        </w:rPr>
        <w:t>．文化旅游体育与传媒支出（类）文化和旅游（款）群众文化（项）2022年预算数391.12万元，主要用于：工资福利支出、日常公用支出等内容</w:t>
      </w:r>
      <w:r>
        <w:t>。</w:t>
      </w:r>
    </w:p>
    <w:p>
      <w:pPr>
        <w:spacing w:line="600" w:lineRule="exact"/>
        <w:ind w:firstLine="640" w:firstLineChars="200"/>
      </w:pPr>
      <w:r>
        <w:t>2</w:t>
      </w:r>
      <w:r>
        <w:rPr>
          <w:rFonts w:hint="eastAsia"/>
        </w:rPr>
        <w:t>．社会保障和就业支出（类）行政事业单位养老支出（款）事业单位离退休（项）2022年预算数44.31万元，主要用于退休费、退休医疗补助及退休公用经费</w:t>
      </w:r>
      <w:r>
        <w:t>。</w:t>
      </w:r>
    </w:p>
    <w:p>
      <w:pPr>
        <w:spacing w:line="600" w:lineRule="exact"/>
        <w:ind w:firstLine="640" w:firstLineChars="200"/>
      </w:pPr>
      <w:r>
        <w:t>3</w:t>
      </w:r>
      <w:r>
        <w:rPr>
          <w:rFonts w:hint="eastAsia"/>
        </w:rPr>
        <w:t>．社会保障和就业支出（类）行政事业单位养老支出（款）机关事业单位基本养老保险缴费支出（项）2022年预算数32.97万元，主要用于职工养老保险缴费单位缴款支出。</w:t>
      </w:r>
    </w:p>
    <w:p>
      <w:pPr>
        <w:spacing w:line="600" w:lineRule="exact"/>
        <w:ind w:firstLine="640" w:firstLineChars="200"/>
      </w:pPr>
      <w:r>
        <w:rPr>
          <w:rFonts w:hint="eastAsia"/>
        </w:rPr>
        <w:t>4．住房保障支出（类）住房改革支出（款）住房公积金（项）2022年预算数41.74万元，主要用于职工住房公积金单位缴款支出。</w:t>
      </w:r>
    </w:p>
    <w:p>
      <w:pPr>
        <w:spacing w:line="600" w:lineRule="exact"/>
        <w:ind w:firstLine="640" w:firstLineChars="200"/>
        <w:rPr>
          <w:rFonts w:eastAsia="黑体"/>
        </w:rPr>
      </w:pPr>
      <w:r>
        <w:rPr>
          <w:rFonts w:hint="eastAsia" w:eastAsia="黑体"/>
        </w:rPr>
        <w:t>六</w:t>
      </w:r>
      <w:r>
        <w:rPr>
          <w:rFonts w:eastAsia="黑体"/>
        </w:rPr>
        <w:t>、一般公共预算基本支出情况说明</w:t>
      </w:r>
    </w:p>
    <w:p>
      <w:pPr>
        <w:spacing w:line="600" w:lineRule="exact"/>
        <w:ind w:firstLine="640" w:firstLineChars="200"/>
      </w:pPr>
      <w:r>
        <w:rPr>
          <w:rFonts w:hint="eastAsia"/>
        </w:rPr>
        <w:t>市文化馆</w:t>
      </w:r>
      <w:r>
        <w:t>2022年一般公共预算基本支出</w:t>
      </w:r>
      <w:r>
        <w:rPr>
          <w:rFonts w:hint="eastAsia"/>
        </w:rPr>
        <w:t>510.14</w:t>
      </w:r>
      <w:r>
        <w:t>万元，其中：</w:t>
      </w:r>
    </w:p>
    <w:p>
      <w:pPr>
        <w:spacing w:line="600" w:lineRule="exact"/>
        <w:ind w:firstLine="640" w:firstLineChars="200"/>
        <w:rPr>
          <w:color w:val="000000"/>
        </w:rPr>
      </w:pPr>
      <w:r>
        <w:rPr>
          <w:color w:val="000000"/>
        </w:rPr>
        <w:t>人员经费</w:t>
      </w:r>
      <w:r>
        <w:rPr>
          <w:rFonts w:hint="eastAsia"/>
          <w:color w:val="000000"/>
        </w:rPr>
        <w:t>471.87</w:t>
      </w:r>
      <w:r>
        <w:rPr>
          <w:color w:val="000000"/>
        </w:rPr>
        <w:t>万元，主要包括：基本工资</w:t>
      </w:r>
      <w:r>
        <w:rPr>
          <w:rFonts w:hint="eastAsia"/>
          <w:color w:val="000000"/>
        </w:rPr>
        <w:t>106.45万元</w:t>
      </w:r>
      <w:r>
        <w:rPr>
          <w:color w:val="000000"/>
        </w:rPr>
        <w:t>、津贴补贴</w:t>
      </w:r>
      <w:r>
        <w:rPr>
          <w:rFonts w:hint="eastAsia"/>
          <w:color w:val="000000"/>
        </w:rPr>
        <w:t>12.28万元</w:t>
      </w:r>
      <w:r>
        <w:rPr>
          <w:color w:val="000000"/>
        </w:rPr>
        <w:t>、奖金</w:t>
      </w:r>
      <w:r>
        <w:rPr>
          <w:rFonts w:hint="eastAsia"/>
          <w:color w:val="000000"/>
        </w:rPr>
        <w:t>0万元</w:t>
      </w:r>
      <w:r>
        <w:rPr>
          <w:color w:val="000000"/>
        </w:rPr>
        <w:t>、</w:t>
      </w:r>
      <w:r>
        <w:rPr>
          <w:rFonts w:hint="eastAsia"/>
          <w:color w:val="000000"/>
        </w:rPr>
        <w:t>绩效工资175.83万元、机关事业单位基本养老</w:t>
      </w:r>
      <w:r>
        <w:rPr>
          <w:color w:val="000000"/>
        </w:rPr>
        <w:t>保险缴费</w:t>
      </w:r>
      <w:r>
        <w:rPr>
          <w:rFonts w:hint="eastAsia"/>
          <w:color w:val="000000"/>
        </w:rPr>
        <w:t>32.97万元、职工基本医疗保险缴费25.78万元、公务员医疗补助缴费24.05万元、其他社会保障缴费4.12万元、住房公积金41.74万元、其他工资福利支出13.00万元、退休费33.73万元，医疗补助1.92万元。</w:t>
      </w:r>
    </w:p>
    <w:p>
      <w:pPr>
        <w:spacing w:line="600" w:lineRule="exact"/>
        <w:ind w:firstLine="640" w:firstLineChars="200"/>
      </w:pPr>
      <w:r>
        <w:t>公用经费</w:t>
      </w:r>
      <w:r>
        <w:rPr>
          <w:rFonts w:hint="eastAsia"/>
        </w:rPr>
        <w:t>38.27</w:t>
      </w:r>
      <w:r>
        <w:t>万元，主要包括：办公费</w:t>
      </w:r>
      <w:r>
        <w:rPr>
          <w:rFonts w:hint="eastAsia"/>
        </w:rPr>
        <w:t>2.30万元</w:t>
      </w:r>
      <w:r>
        <w:t>、</w:t>
      </w:r>
      <w:r>
        <w:rPr>
          <w:rFonts w:hint="eastAsia"/>
        </w:rPr>
        <w:t>水费0.77万元、电费1.91万元、邮电费1.95万元、差旅费7.65万元、公务接待费0.49万元、工会经费5.89万元、福利费4.86万元、公务用车运行维护费3.24万元、其他商品服务支出9.21万元。</w:t>
      </w:r>
    </w:p>
    <w:p>
      <w:pPr>
        <w:spacing w:line="600" w:lineRule="exact"/>
        <w:ind w:firstLine="640" w:firstLineChars="200"/>
        <w:rPr>
          <w:rFonts w:eastAsia="黑体"/>
        </w:rPr>
      </w:pPr>
      <w:r>
        <w:rPr>
          <w:rFonts w:hint="eastAsia" w:eastAsia="黑体"/>
        </w:rPr>
        <w:t>七</w:t>
      </w:r>
      <w:r>
        <w:rPr>
          <w:rFonts w:eastAsia="黑体"/>
        </w:rPr>
        <w:t>、“三公”经费财政拨款预算安排情况说明</w:t>
      </w:r>
    </w:p>
    <w:p>
      <w:pPr>
        <w:spacing w:line="600" w:lineRule="exact"/>
        <w:ind w:firstLine="640" w:firstLineChars="200"/>
      </w:pPr>
      <w:r>
        <w:rPr>
          <w:rFonts w:hint="eastAsia"/>
        </w:rPr>
        <w:t>市文化馆</w:t>
      </w:r>
      <w:r>
        <w:t>2022年“三公”经费财政拨款预算数</w:t>
      </w:r>
      <w:r>
        <w:rPr>
          <w:rFonts w:hint="eastAsia"/>
        </w:rPr>
        <w:t>3.73</w:t>
      </w:r>
      <w:r>
        <w:t>万元，其中：因公出国（境）经费</w:t>
      </w:r>
      <w:r>
        <w:rPr>
          <w:rFonts w:hint="eastAsia"/>
        </w:rPr>
        <w:t>0</w:t>
      </w:r>
      <w:r>
        <w:t>万元，公务接待费</w:t>
      </w:r>
      <w:r>
        <w:rPr>
          <w:rFonts w:hint="eastAsia"/>
        </w:rPr>
        <w:t>0.49</w:t>
      </w:r>
      <w:r>
        <w:t>万元，公务用车购置及运行维护费</w:t>
      </w:r>
      <w:r>
        <w:rPr>
          <w:rFonts w:hint="eastAsia"/>
        </w:rPr>
        <w:t>3.24</w:t>
      </w:r>
      <w:r>
        <w:t>万元。</w:t>
      </w:r>
    </w:p>
    <w:p>
      <w:pPr>
        <w:numPr>
          <w:ilvl w:val="0"/>
          <w:numId w:val="1"/>
        </w:numPr>
        <w:spacing w:line="600" w:lineRule="exact"/>
        <w:ind w:firstLine="640"/>
        <w:rPr>
          <w:rFonts w:eastAsia="楷体_GB2312"/>
          <w:b/>
        </w:rPr>
      </w:pPr>
      <w:r>
        <w:rPr>
          <w:rFonts w:eastAsia="楷体_GB2312"/>
          <w:b/>
        </w:rPr>
        <w:t>因公出国（境）经费较2021年预算</w:t>
      </w:r>
      <w:r>
        <w:rPr>
          <w:rFonts w:hint="eastAsia" w:eastAsia="楷体_GB2312"/>
          <w:b/>
        </w:rPr>
        <w:t>持平</w:t>
      </w:r>
      <w:r>
        <w:rPr>
          <w:rFonts w:eastAsia="楷体_GB2312"/>
          <w:b/>
        </w:rPr>
        <w:t>。</w:t>
      </w:r>
    </w:p>
    <w:p>
      <w:pPr>
        <w:spacing w:line="600" w:lineRule="exact"/>
        <w:ind w:firstLine="640" w:firstLineChars="200"/>
      </w:pPr>
      <w:r>
        <w:t>主要原因是</w:t>
      </w:r>
      <w:r>
        <w:rPr>
          <w:rFonts w:hint="eastAsia"/>
        </w:rPr>
        <w:t>2022年市文化馆未安排因公出国（境）费用。</w:t>
      </w:r>
    </w:p>
    <w:p>
      <w:pPr>
        <w:numPr>
          <w:ilvl w:val="0"/>
          <w:numId w:val="1"/>
        </w:numPr>
        <w:spacing w:line="600" w:lineRule="exact"/>
        <w:ind w:firstLine="640"/>
        <w:rPr>
          <w:rFonts w:eastAsia="楷体_GB2312"/>
          <w:b/>
        </w:rPr>
      </w:pPr>
      <w:r>
        <w:rPr>
          <w:rFonts w:eastAsia="楷体_GB2312"/>
          <w:b/>
        </w:rPr>
        <w:t>公务接待费较2021年预算</w:t>
      </w:r>
      <w:r>
        <w:rPr>
          <w:rFonts w:hint="eastAsia" w:eastAsia="楷体_GB2312"/>
          <w:b/>
        </w:rPr>
        <w:t>持平。</w:t>
      </w:r>
    </w:p>
    <w:p>
      <w:pPr>
        <w:spacing w:line="600" w:lineRule="exact"/>
        <w:ind w:firstLine="640" w:firstLineChars="200"/>
        <w:rPr>
          <w:rFonts w:eastAsia="黑体"/>
          <w:b/>
        </w:rPr>
      </w:pPr>
      <w:r>
        <w:t>主要原因</w:t>
      </w:r>
      <w:r>
        <w:rPr>
          <w:rFonts w:hint="eastAsia"/>
        </w:rPr>
        <w:t>2022年公务接待费预算按照2021年预算数安排</w:t>
      </w:r>
      <w:r>
        <w:t>。</w:t>
      </w:r>
    </w:p>
    <w:p>
      <w:pPr>
        <w:spacing w:line="600" w:lineRule="exact"/>
        <w:ind w:firstLine="640"/>
      </w:pPr>
      <w:r>
        <w:t>2022年公务接待费计划用于</w:t>
      </w:r>
      <w:r>
        <w:rPr>
          <w:rFonts w:hint="eastAsia"/>
        </w:rPr>
        <w:t>市文化馆交流学习及调研考察等接待费用</w:t>
      </w:r>
      <w:r>
        <w:t>。</w:t>
      </w:r>
    </w:p>
    <w:p>
      <w:pPr>
        <w:spacing w:line="600" w:lineRule="exact"/>
        <w:ind w:firstLine="640"/>
        <w:rPr>
          <w:rFonts w:eastAsia="楷体_GB2312"/>
          <w:b/>
        </w:rPr>
      </w:pPr>
      <w:r>
        <w:rPr>
          <w:rFonts w:eastAsia="楷体_GB2312"/>
          <w:b/>
        </w:rPr>
        <w:t>（三）公务用车购置及运行维护费较2021年预算</w:t>
      </w:r>
      <w:r>
        <w:rPr>
          <w:rFonts w:hint="eastAsia" w:eastAsia="楷体_GB2312"/>
          <w:b/>
        </w:rPr>
        <w:t>持平。</w:t>
      </w:r>
    </w:p>
    <w:p>
      <w:pPr>
        <w:spacing w:line="600" w:lineRule="exact"/>
        <w:ind w:firstLine="640"/>
        <w:rPr>
          <w:rFonts w:eastAsia="黑体"/>
          <w:b/>
        </w:rPr>
      </w:pPr>
      <w:r>
        <w:rPr>
          <w:rFonts w:hint="eastAsia"/>
        </w:rPr>
        <w:t>主</w:t>
      </w:r>
      <w:r>
        <w:t>要原因是</w:t>
      </w:r>
      <w:r>
        <w:rPr>
          <w:rFonts w:hint="eastAsia"/>
        </w:rPr>
        <w:t>2022年公务用车购置及运行维护费预算按照2021年预算数安排</w:t>
      </w:r>
      <w:r>
        <w:t>。</w:t>
      </w:r>
    </w:p>
    <w:p>
      <w:pPr>
        <w:spacing w:line="600" w:lineRule="exact"/>
        <w:ind w:firstLine="640"/>
      </w:pPr>
      <w:r>
        <w:t>单位现有公务用车</w:t>
      </w:r>
      <w:r>
        <w:rPr>
          <w:rFonts w:hint="eastAsia"/>
        </w:rPr>
        <w:t>2</w:t>
      </w:r>
      <w:r>
        <w:t>辆，其中：轿车（含7座以下商务车、城市越野车）</w:t>
      </w:r>
      <w:r>
        <w:rPr>
          <w:rFonts w:hint="eastAsia"/>
        </w:rPr>
        <w:t>1</w:t>
      </w:r>
      <w:r>
        <w:t>辆，7座以上19座（含19座）以下客车</w:t>
      </w:r>
      <w:r>
        <w:rPr>
          <w:rFonts w:hint="eastAsia"/>
        </w:rPr>
        <w:t>1</w:t>
      </w:r>
      <w:r>
        <w:t>辆，越野车</w:t>
      </w:r>
      <w:r>
        <w:rPr>
          <w:rFonts w:hint="eastAsia"/>
        </w:rPr>
        <w:t>0</w:t>
      </w:r>
      <w:r>
        <w:t>辆，货车及19座以上客车</w:t>
      </w:r>
      <w:r>
        <w:rPr>
          <w:rFonts w:hint="eastAsia"/>
        </w:rPr>
        <w:t>0</w:t>
      </w:r>
      <w:r>
        <w:t>辆，摩托车</w:t>
      </w:r>
      <w:r>
        <w:rPr>
          <w:rFonts w:hint="eastAsia"/>
        </w:rPr>
        <w:t>0</w:t>
      </w:r>
      <w:r>
        <w:t>辆。</w:t>
      </w:r>
    </w:p>
    <w:p>
      <w:pPr>
        <w:spacing w:line="600" w:lineRule="exact"/>
        <w:ind w:firstLine="640"/>
      </w:pPr>
      <w:r>
        <w:t>2022年安排公务用车购置费</w:t>
      </w:r>
      <w:r>
        <w:rPr>
          <w:rFonts w:hint="eastAsia"/>
        </w:rPr>
        <w:t>0</w:t>
      </w:r>
      <w:r>
        <w:t>万元，购置公务用车</w:t>
      </w:r>
      <w:r>
        <w:rPr>
          <w:rFonts w:hint="eastAsia"/>
        </w:rPr>
        <w:t>0</w:t>
      </w:r>
      <w:r>
        <w:t>辆，其中：轿车（含7座以下商务车、城市越野车）</w:t>
      </w:r>
      <w:r>
        <w:rPr>
          <w:rFonts w:hint="eastAsia"/>
        </w:rPr>
        <w:t>0</w:t>
      </w:r>
      <w:r>
        <w:t>辆，7座以上19座（含19座）以下客车</w:t>
      </w:r>
      <w:r>
        <w:rPr>
          <w:rFonts w:hint="eastAsia"/>
        </w:rPr>
        <w:t>0</w:t>
      </w:r>
      <w:r>
        <w:t>辆，越野车</w:t>
      </w:r>
      <w:r>
        <w:rPr>
          <w:rFonts w:hint="eastAsia"/>
        </w:rPr>
        <w:t>0</w:t>
      </w:r>
      <w:r>
        <w:t>辆，货车及19座以上客车</w:t>
      </w:r>
      <w:r>
        <w:rPr>
          <w:rFonts w:hint="eastAsia"/>
        </w:rPr>
        <w:t>0</w:t>
      </w:r>
      <w:r>
        <w:t>辆，摩托车</w:t>
      </w:r>
      <w:r>
        <w:rPr>
          <w:rFonts w:hint="eastAsia"/>
        </w:rPr>
        <w:t>0</w:t>
      </w:r>
      <w:r>
        <w:t>辆。</w:t>
      </w:r>
    </w:p>
    <w:p>
      <w:pPr>
        <w:spacing w:line="600" w:lineRule="exact"/>
        <w:ind w:firstLine="640"/>
      </w:pPr>
      <w:r>
        <w:t>2022年安排公务用车运行维护费</w:t>
      </w:r>
      <w:r>
        <w:rPr>
          <w:rFonts w:hint="eastAsia"/>
        </w:rPr>
        <w:t>3.24</w:t>
      </w:r>
      <w:r>
        <w:t>万元，用于</w:t>
      </w:r>
      <w:r>
        <w:rPr>
          <w:rFonts w:hint="eastAsia"/>
        </w:rPr>
        <w:t>2</w:t>
      </w:r>
      <w:r>
        <w:t>辆公务用车燃油、维修、车辆通行等方面支出，主要保障</w:t>
      </w:r>
      <w:r>
        <w:rPr>
          <w:rFonts w:hint="eastAsia"/>
        </w:rPr>
        <w:t>单位正常运转及本单位承担的群众文化活动、非遗收集整理等方面工作的正常</w:t>
      </w:r>
      <w:r>
        <w:t>开展。</w:t>
      </w:r>
    </w:p>
    <w:p>
      <w:pPr>
        <w:spacing w:line="600" w:lineRule="exact"/>
        <w:ind w:firstLine="640" w:firstLineChars="200"/>
        <w:rPr>
          <w:rFonts w:eastAsia="黑体"/>
        </w:rPr>
      </w:pPr>
      <w:r>
        <w:rPr>
          <w:rFonts w:hint="eastAsia" w:eastAsia="黑体"/>
        </w:rPr>
        <w:t>八</w:t>
      </w:r>
      <w:r>
        <w:rPr>
          <w:rFonts w:eastAsia="黑体"/>
        </w:rPr>
        <w:t>、政府性基金预算支出情况说明</w:t>
      </w:r>
    </w:p>
    <w:p>
      <w:pPr>
        <w:spacing w:line="600" w:lineRule="exact"/>
        <w:ind w:firstLine="640" w:firstLineChars="200"/>
      </w:pPr>
      <w:r>
        <w:rPr>
          <w:rFonts w:hint="eastAsia"/>
        </w:rPr>
        <w:t>市文化馆</w:t>
      </w:r>
      <w:r>
        <w:t>2022年政府性基金预算支出</w:t>
      </w:r>
      <w:r>
        <w:rPr>
          <w:rFonts w:hint="eastAsia"/>
        </w:rPr>
        <w:t>0</w:t>
      </w:r>
      <w:r>
        <w:t>万元，其中：基本支出</w:t>
      </w:r>
      <w:r>
        <w:rPr>
          <w:rFonts w:hint="eastAsia"/>
        </w:rPr>
        <w:t>0</w:t>
      </w:r>
      <w:r>
        <w:t>万元，项目支出</w:t>
      </w:r>
      <w:r>
        <w:rPr>
          <w:rFonts w:hint="eastAsia"/>
        </w:rPr>
        <w:t>0</w:t>
      </w:r>
      <w:r>
        <w:t>万元。</w:t>
      </w:r>
    </w:p>
    <w:p>
      <w:pPr>
        <w:spacing w:line="600" w:lineRule="exact"/>
        <w:ind w:firstLine="640" w:firstLineChars="200"/>
        <w:rPr>
          <w:u w:val="single"/>
        </w:rPr>
      </w:pPr>
      <w:r>
        <w:rPr>
          <w:rFonts w:hint="eastAsia" w:eastAsia="黑体"/>
        </w:rPr>
        <w:t>九</w:t>
      </w:r>
      <w:r>
        <w:rPr>
          <w:rFonts w:eastAsia="黑体"/>
        </w:rPr>
        <w:t>、国有资本经营预算情况说明</w:t>
      </w:r>
    </w:p>
    <w:p>
      <w:pPr>
        <w:spacing w:line="600" w:lineRule="exact"/>
        <w:ind w:firstLine="640" w:firstLineChars="200"/>
      </w:pPr>
      <w:r>
        <w:rPr>
          <w:rFonts w:hint="eastAsia"/>
        </w:rPr>
        <w:t>市文化馆</w:t>
      </w:r>
      <w:r>
        <w:t>2022年没有使用国有资本经营预算拨款安排的支出。</w:t>
      </w:r>
    </w:p>
    <w:p>
      <w:pPr>
        <w:spacing w:line="600" w:lineRule="exact"/>
        <w:ind w:firstLine="640" w:firstLineChars="200"/>
        <w:rPr>
          <w:rFonts w:eastAsia="黑体"/>
        </w:rPr>
      </w:pPr>
      <w:r>
        <w:rPr>
          <w:rFonts w:hint="eastAsia" w:eastAsia="黑体"/>
        </w:rPr>
        <w:t>十</w:t>
      </w:r>
      <w:r>
        <w:rPr>
          <w:rFonts w:eastAsia="黑体"/>
        </w:rPr>
        <w:t>、其他重要事项的情况说明</w:t>
      </w:r>
    </w:p>
    <w:p>
      <w:pPr>
        <w:spacing w:line="600" w:lineRule="exact"/>
        <w:ind w:firstLine="640" w:firstLineChars="200"/>
        <w:rPr>
          <w:rFonts w:eastAsia="楷体_GB2312"/>
          <w:b/>
        </w:rPr>
      </w:pPr>
      <w:r>
        <w:rPr>
          <w:rFonts w:eastAsia="楷体_GB2312"/>
          <w:b/>
        </w:rPr>
        <w:t>（一）机关运行经费。</w:t>
      </w:r>
    </w:p>
    <w:p>
      <w:pPr>
        <w:spacing w:line="600" w:lineRule="exact"/>
        <w:ind w:firstLine="640" w:firstLineChars="200"/>
      </w:pPr>
      <w:r>
        <w:t>2022年，</w:t>
      </w:r>
      <w:r>
        <w:rPr>
          <w:rFonts w:hint="eastAsia"/>
        </w:rPr>
        <w:t>市文化馆为事业单位，按规定未使用机关运行的相关科目。</w:t>
      </w:r>
    </w:p>
    <w:p>
      <w:pPr>
        <w:spacing w:line="600" w:lineRule="exact"/>
        <w:ind w:firstLine="640" w:firstLineChars="200"/>
        <w:rPr>
          <w:rFonts w:eastAsia="楷体_GB2312"/>
          <w:b/>
        </w:rPr>
      </w:pPr>
      <w:r>
        <w:rPr>
          <w:rFonts w:eastAsia="楷体_GB2312"/>
          <w:b/>
        </w:rPr>
        <w:t>（</w:t>
      </w:r>
      <w:r>
        <w:rPr>
          <w:rFonts w:hint="eastAsia" w:eastAsia="楷体_GB2312"/>
          <w:b/>
        </w:rPr>
        <w:t>二</w:t>
      </w:r>
      <w:r>
        <w:rPr>
          <w:rFonts w:eastAsia="楷体_GB2312"/>
          <w:b/>
        </w:rPr>
        <w:t>）</w:t>
      </w:r>
      <w:r>
        <w:rPr>
          <w:rFonts w:hint="eastAsia" w:eastAsia="楷体_GB2312"/>
          <w:b/>
        </w:rPr>
        <w:t>政府采购情况</w:t>
      </w:r>
      <w:r>
        <w:rPr>
          <w:rFonts w:eastAsia="楷体_GB2312"/>
          <w:b/>
        </w:rPr>
        <w:t>。</w:t>
      </w:r>
    </w:p>
    <w:p>
      <w:pPr>
        <w:suppressAutoHyphens/>
        <w:spacing w:line="580" w:lineRule="exact"/>
        <w:ind w:firstLine="640" w:firstLineChars="200"/>
        <w:rPr>
          <w:u w:val="single"/>
        </w:rPr>
      </w:pPr>
      <w:r>
        <w:rPr>
          <w:rFonts w:hint="eastAsia"/>
        </w:rPr>
        <w:t>市文化馆2022年无政府采购项目，未安排政府采购预算。</w:t>
      </w:r>
    </w:p>
    <w:p>
      <w:pPr>
        <w:spacing w:line="600" w:lineRule="exact"/>
        <w:ind w:firstLine="640" w:firstLineChars="200"/>
        <w:rPr>
          <w:rFonts w:eastAsia="楷体_GB2312"/>
          <w:b/>
        </w:rPr>
      </w:pPr>
      <w:r>
        <w:rPr>
          <w:rFonts w:eastAsia="楷体_GB2312"/>
          <w:b/>
        </w:rPr>
        <w:t>（</w:t>
      </w:r>
      <w:r>
        <w:rPr>
          <w:rFonts w:hint="eastAsia" w:eastAsia="楷体_GB2312"/>
          <w:b/>
        </w:rPr>
        <w:t>三</w:t>
      </w:r>
      <w:r>
        <w:rPr>
          <w:rFonts w:eastAsia="楷体_GB2312"/>
          <w:b/>
        </w:rPr>
        <w:t>）国有资产占有使用情况。</w:t>
      </w:r>
    </w:p>
    <w:p>
      <w:pPr>
        <w:spacing w:line="600" w:lineRule="exact"/>
        <w:ind w:firstLine="640" w:firstLineChars="200"/>
      </w:pPr>
      <w:r>
        <w:t>截至2021年底，</w:t>
      </w:r>
      <w:r>
        <w:rPr>
          <w:rFonts w:hint="eastAsia"/>
        </w:rPr>
        <w:t>市文化馆</w:t>
      </w:r>
      <w:r>
        <w:t>共有车辆</w:t>
      </w:r>
      <w:r>
        <w:rPr>
          <w:rFonts w:hint="eastAsia"/>
        </w:rPr>
        <w:t>2</w:t>
      </w:r>
      <w:r>
        <w:t>辆，其中，执法执勤用车</w:t>
      </w:r>
      <w:r>
        <w:rPr>
          <w:rFonts w:hint="eastAsia"/>
        </w:rPr>
        <w:t>0</w:t>
      </w:r>
      <w:r>
        <w:t>辆。单位价值200万元以上大型设备</w:t>
      </w:r>
      <w:r>
        <w:rPr>
          <w:rFonts w:hint="eastAsia"/>
        </w:rPr>
        <w:t>0</w:t>
      </w:r>
      <w:r>
        <w:t>台（套）。</w:t>
      </w:r>
    </w:p>
    <w:p>
      <w:pPr>
        <w:spacing w:line="600" w:lineRule="exact"/>
        <w:ind w:firstLine="640" w:firstLineChars="200"/>
        <w:rPr>
          <w:rFonts w:eastAsia="楷体_GB2312"/>
          <w:b/>
        </w:rPr>
      </w:pPr>
      <w:r>
        <w:rPr>
          <w:rFonts w:eastAsia="楷体_GB2312"/>
          <w:b/>
        </w:rPr>
        <w:t>（</w:t>
      </w:r>
      <w:r>
        <w:rPr>
          <w:rFonts w:hint="eastAsia" w:eastAsia="楷体_GB2312"/>
          <w:b/>
        </w:rPr>
        <w:t>四</w:t>
      </w:r>
      <w:r>
        <w:rPr>
          <w:rFonts w:eastAsia="楷体_GB2312"/>
          <w:b/>
        </w:rPr>
        <w:t>）绩效目标设置情况。</w:t>
      </w:r>
    </w:p>
    <w:p>
      <w:pPr>
        <w:spacing w:line="600" w:lineRule="exact"/>
        <w:ind w:firstLine="640" w:firstLineChars="200"/>
      </w:pPr>
      <w:r>
        <w:t>2022年</w:t>
      </w:r>
      <w:r>
        <w:rPr>
          <w:rFonts w:hint="eastAsia"/>
        </w:rPr>
        <w:t>市文化馆</w:t>
      </w:r>
      <w:r>
        <w:t>部门通用项目和专用项目均按要求实行绩效目标管理，涉及一般公共预算当年拨款</w:t>
      </w:r>
      <w:r>
        <w:rPr>
          <w:rFonts w:hint="eastAsia"/>
        </w:rPr>
        <w:t>0</w:t>
      </w:r>
      <w:r>
        <w:t>万元。</w:t>
      </w:r>
    </w:p>
    <w:p>
      <w:pPr>
        <w:spacing w:line="600" w:lineRule="exact"/>
        <w:ind w:firstLine="640" w:firstLineChars="200"/>
        <w:rPr>
          <w:rFonts w:eastAsia="黑体"/>
        </w:rPr>
      </w:pPr>
      <w:r>
        <w:rPr>
          <w:rFonts w:eastAsia="黑体"/>
        </w:rPr>
        <w:t>十</w:t>
      </w:r>
      <w:r>
        <w:rPr>
          <w:rFonts w:hint="eastAsia" w:eastAsia="黑体"/>
        </w:rPr>
        <w:t>一</w:t>
      </w:r>
      <w:r>
        <w:rPr>
          <w:rFonts w:eastAsia="黑体"/>
        </w:rPr>
        <w:t>、名词解释</w:t>
      </w:r>
    </w:p>
    <w:p>
      <w:pPr>
        <w:spacing w:line="600" w:lineRule="exact"/>
        <w:ind w:firstLine="640" w:firstLineChars="200"/>
      </w:pPr>
      <w:r>
        <w:t>1</w:t>
      </w:r>
      <w:r>
        <w:rPr>
          <w:rFonts w:hint="eastAsia"/>
        </w:rPr>
        <w:t>．</w:t>
      </w:r>
      <w:r>
        <w:t>一般公共预算拨款收入：指市级财政当年拨付的资金。</w:t>
      </w:r>
    </w:p>
    <w:p>
      <w:pPr>
        <w:spacing w:line="600" w:lineRule="exact"/>
        <w:ind w:firstLine="640" w:firstLineChars="200"/>
      </w:pPr>
      <w:r>
        <w:t>2</w:t>
      </w:r>
      <w:r>
        <w:rPr>
          <w:rFonts w:hint="eastAsia"/>
        </w:rPr>
        <w:t>．文化旅游体育与传媒支出</w:t>
      </w:r>
      <w:r>
        <w:t>（类）</w:t>
      </w:r>
      <w:r>
        <w:rPr>
          <w:rFonts w:hint="eastAsia"/>
        </w:rPr>
        <w:t>文化和旅游</w:t>
      </w:r>
      <w:r>
        <w:t>（款）</w:t>
      </w:r>
      <w:r>
        <w:rPr>
          <w:rFonts w:hint="eastAsia"/>
        </w:rPr>
        <w:t>群众文化</w:t>
      </w:r>
      <w:r>
        <w:t>（项）：</w:t>
      </w:r>
      <w:r>
        <w:rPr>
          <w:rFonts w:hint="eastAsia"/>
        </w:rPr>
        <w:t>反映群众文化方面的支出，包括基层文化馆（站）、群众艺术馆支出等</w:t>
      </w:r>
      <w:r>
        <w:t>。</w:t>
      </w:r>
    </w:p>
    <w:p>
      <w:pPr>
        <w:spacing w:line="600" w:lineRule="exact"/>
        <w:ind w:firstLine="640" w:firstLineChars="200"/>
      </w:pPr>
      <w:r>
        <w:rPr>
          <w:rFonts w:hint="eastAsia"/>
        </w:rPr>
        <w:t>3．社会保障和就业支出（类）行政事业单位养老支出（款）事业单位离退休（项）：反映事业单位开支的离退休经费。</w:t>
      </w:r>
    </w:p>
    <w:p>
      <w:pPr>
        <w:spacing w:line="600" w:lineRule="exact"/>
        <w:ind w:firstLine="640" w:firstLineChars="200"/>
      </w:pPr>
      <w:r>
        <w:rPr>
          <w:rFonts w:hint="eastAsia"/>
        </w:rPr>
        <w:t>4．社会保障和就业支出（类）行政事业单位养老支出（款）机关事业单位基本养老保险缴费支出（项）：反映机关事业单位实施养老保险制度由单位缴纳的基本养老保险费支出。</w:t>
      </w:r>
    </w:p>
    <w:p>
      <w:pPr>
        <w:spacing w:line="600" w:lineRule="exact"/>
        <w:ind w:firstLine="640" w:firstLineChars="200"/>
      </w:pPr>
      <w:r>
        <w:rPr>
          <w:rFonts w:hint="eastAsia"/>
        </w:rPr>
        <w:t>5．住房保障支出（类）住房改革支出（款）住房公积金（项）：反映行政事业单位按人力资源和社会保障部、财政部规定的基本工资和津贴以及规定比例为职工缴纳的住房公积金。</w:t>
      </w:r>
    </w:p>
    <w:p>
      <w:pPr>
        <w:spacing w:line="600" w:lineRule="exact"/>
        <w:ind w:firstLine="640" w:firstLineChars="200"/>
      </w:pPr>
      <w:r>
        <w:rPr>
          <w:rFonts w:hint="eastAsia"/>
        </w:rPr>
        <w:t>6．</w:t>
      </w:r>
      <w:r>
        <w:t>基本支出：指为保证机构正常运转，完成日常工作任务而发生的人员支出和公用支出。</w:t>
      </w:r>
    </w:p>
    <w:p>
      <w:pPr>
        <w:spacing w:line="600" w:lineRule="exact"/>
        <w:ind w:firstLine="640" w:firstLineChars="200"/>
      </w:pPr>
      <w:r>
        <w:rPr>
          <w:rFonts w:hint="eastAsia"/>
        </w:rPr>
        <w:t>7．</w:t>
      </w:r>
      <w:r>
        <w:t>项目支出：指在基本支出之外为完成特定的工作任务和事业发展目标所发生的支出。</w:t>
      </w:r>
    </w:p>
    <w:p>
      <w:pPr>
        <w:spacing w:line="600" w:lineRule="exact"/>
        <w:ind w:firstLine="640" w:firstLineChars="200"/>
      </w:pPr>
      <w:r>
        <w:rPr>
          <w:rFonts w:hint="eastAsia"/>
        </w:rPr>
        <w:t>8．</w:t>
      </w:r>
      <w:r>
        <w:t>“三公”经费：纳入预决算管理的“三公”经费，是指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维护费反映单位公务用车购置支出（含车辆购置税、牌照费）及按规定保留的公务用车燃料费、维修费、过路过桥费、保险费、安全奖励费用等支出；公务接待费反映单位按规定开支的各类公务接待（含外宾接待）费用。</w:t>
      </w:r>
    </w:p>
    <w:p>
      <w:pPr>
        <w:spacing w:line="600" w:lineRule="exact"/>
        <w:ind w:firstLine="640" w:firstLineChars="200"/>
      </w:pPr>
      <w:r>
        <w:rPr>
          <w:rFonts w:hint="eastAsia"/>
        </w:rPr>
        <w:t>9．</w:t>
      </w:r>
      <w:r>
        <w:t>机关运行经费：为保障行政单位（</w:t>
      </w:r>
      <w:r>
        <w:rPr>
          <w:rFonts w:hint="eastAsia"/>
        </w:rPr>
        <w:t>含</w:t>
      </w:r>
      <w:r>
        <w:t>参照公务员法管理的事业单位）运行用于购买货物和服务的各项资金。包括办公及办公费、水费、电费、印刷费、邮电费、差旅费、会议费等费用开支。</w:t>
      </w:r>
    </w:p>
    <w:p>
      <w:pPr>
        <w:spacing w:line="600" w:lineRule="atLeast"/>
        <w:ind w:firstLine="640" w:firstLineChars="200"/>
      </w:pPr>
    </w:p>
    <w:p>
      <w:pPr>
        <w:spacing w:line="600" w:lineRule="atLeast"/>
        <w:ind w:firstLine="640" w:firstLineChars="200"/>
      </w:pPr>
      <w:r>
        <w:t>附件：表1.</w:t>
      </w:r>
      <w:r>
        <w:rPr>
          <w:rFonts w:hint="eastAsia"/>
        </w:rPr>
        <w:t>单位</w:t>
      </w:r>
      <w:r>
        <w:t>收支总表</w:t>
      </w:r>
    </w:p>
    <w:p>
      <w:pPr>
        <w:spacing w:line="600" w:lineRule="atLeast"/>
        <w:ind w:firstLine="1600" w:firstLineChars="500"/>
      </w:pPr>
      <w:r>
        <w:t>表1-1.</w:t>
      </w:r>
      <w:r>
        <w:rPr>
          <w:rFonts w:hint="eastAsia"/>
        </w:rPr>
        <w:t>单位</w:t>
      </w:r>
      <w:r>
        <w:t>收入总表</w:t>
      </w:r>
    </w:p>
    <w:p>
      <w:pPr>
        <w:spacing w:line="600" w:lineRule="atLeast"/>
        <w:ind w:firstLine="1600" w:firstLineChars="500"/>
      </w:pPr>
      <w:r>
        <w:t>表1-2.</w:t>
      </w:r>
      <w:r>
        <w:rPr>
          <w:rFonts w:hint="eastAsia"/>
        </w:rPr>
        <w:t>单位</w:t>
      </w:r>
      <w:r>
        <w:t>支出总表</w:t>
      </w:r>
    </w:p>
    <w:p>
      <w:pPr>
        <w:spacing w:line="600" w:lineRule="atLeast"/>
        <w:ind w:firstLine="1600" w:firstLineChars="500"/>
      </w:pPr>
      <w:r>
        <w:t>表2.财政拨款收支预算总表</w:t>
      </w:r>
    </w:p>
    <w:p>
      <w:pPr>
        <w:spacing w:line="600" w:lineRule="atLeast"/>
        <w:ind w:firstLine="1600" w:firstLineChars="500"/>
      </w:pPr>
      <w:r>
        <w:t>表2-1.财政拨款支出预算表</w:t>
      </w:r>
    </w:p>
    <w:p>
      <w:pPr>
        <w:spacing w:line="600" w:lineRule="atLeast"/>
        <w:ind w:firstLine="1600" w:firstLineChars="500"/>
      </w:pPr>
      <w:r>
        <w:t>表3.一般公共预算支出预算表</w:t>
      </w:r>
    </w:p>
    <w:p>
      <w:pPr>
        <w:spacing w:line="600" w:lineRule="atLeast"/>
        <w:ind w:firstLine="1600" w:firstLineChars="500"/>
      </w:pPr>
      <w:r>
        <w:t>表3-1.一般公共预算基本支出预算表</w:t>
      </w:r>
    </w:p>
    <w:p>
      <w:pPr>
        <w:spacing w:line="600" w:lineRule="atLeast"/>
        <w:ind w:left="1600" w:leftChars="500" w:firstLine="0" w:firstLineChars="0"/>
      </w:pPr>
      <w:r>
        <w:t>表3-2.一般公共预算项目支出预算表</w:t>
      </w:r>
      <w:r>
        <w:rPr>
          <w:rFonts w:hint="eastAsia"/>
        </w:rPr>
        <w:t>（此表无数据）</w:t>
      </w:r>
    </w:p>
    <w:p>
      <w:pPr>
        <w:spacing w:line="600" w:lineRule="atLeast"/>
        <w:ind w:left="1600" w:leftChars="500" w:firstLine="0" w:firstLineChars="0"/>
      </w:pPr>
      <w:r>
        <w:t>表3-3.一般公共预算“三公”经费支出预算表</w:t>
      </w:r>
    </w:p>
    <w:p>
      <w:pPr>
        <w:spacing w:line="600" w:lineRule="atLeast"/>
        <w:ind w:left="1600" w:leftChars="500" w:firstLine="0" w:firstLineChars="0"/>
      </w:pPr>
      <w:r>
        <w:t>表4.政府性基金支出预算表</w:t>
      </w:r>
      <w:r>
        <w:rPr>
          <w:rFonts w:hint="eastAsia"/>
        </w:rPr>
        <w:t>（此表无数据）</w:t>
      </w:r>
    </w:p>
    <w:p>
      <w:pPr>
        <w:spacing w:line="600" w:lineRule="atLeast"/>
        <w:ind w:left="1600" w:leftChars="500" w:firstLine="0" w:firstLineChars="0"/>
      </w:pPr>
      <w:r>
        <w:t>表4-1.政府性基金预算“三公”经费支出预算表</w:t>
      </w:r>
      <w:r>
        <w:rPr>
          <w:rFonts w:hint="eastAsia"/>
        </w:rPr>
        <w:t>（此表无数据）</w:t>
      </w:r>
    </w:p>
    <w:p>
      <w:pPr>
        <w:spacing w:line="600" w:lineRule="atLeast"/>
        <w:ind w:firstLine="1600" w:firstLineChars="500"/>
      </w:pPr>
      <w:r>
        <w:t>表5.国有资本经营预算支</w:t>
      </w:r>
      <w:bookmarkStart w:id="0" w:name="_GoBack"/>
      <w:bookmarkEnd w:id="0"/>
      <w:r>
        <w:t>出预算表</w:t>
      </w:r>
      <w:r>
        <w:rPr>
          <w:rFonts w:hint="eastAsia"/>
        </w:rPr>
        <w:t>（此表无数据）</w:t>
      </w:r>
    </w:p>
    <w:p>
      <w:pPr>
        <w:spacing w:line="600" w:lineRule="atLeast"/>
        <w:ind w:firstLine="1600" w:firstLineChars="500"/>
      </w:pPr>
      <w:r>
        <w:t>表6.</w:t>
      </w:r>
      <w:r>
        <w:rPr>
          <w:rFonts w:hint="eastAsia"/>
        </w:rPr>
        <w:t>单位</w:t>
      </w:r>
      <w:r>
        <w:t>整体支出绩效目标表</w:t>
      </w:r>
    </w:p>
    <w:p>
      <w:pPr>
        <w:spacing w:line="600" w:lineRule="atLeast"/>
        <w:ind w:firstLine="1600" w:firstLineChars="500"/>
      </w:pPr>
      <w:r>
        <w:t>表7.单位预算项目绩效目标表</w:t>
      </w:r>
      <w:r>
        <w:rPr>
          <w:rFonts w:hint="eastAsia"/>
        </w:rPr>
        <w:t>（此表无数据）</w:t>
      </w:r>
    </w:p>
    <w:p/>
    <w:sectPr>
      <w:footerReference r:id="rId4" w:type="default"/>
      <w:pgSz w:w="11906" w:h="16838"/>
      <w:pgMar w:top="1247" w:right="1542" w:bottom="1247" w:left="2098" w:header="851" w:footer="992" w:gutter="0"/>
      <w:pgNumType w:fmt="numberInDash"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Arial Unicode MS"/>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sz w:val="30"/>
        <w:szCs w:val="30"/>
      </w:rPr>
    </w:pPr>
    <w:r>
      <w:rPr>
        <w:rFonts w:ascii="宋体" w:hAnsi="宋体"/>
        <w:sz w:val="30"/>
        <w:szCs w:val="30"/>
      </w:rPr>
      <w:fldChar w:fldCharType="begin"/>
    </w:r>
    <w:r>
      <w:rPr>
        <w:rStyle w:val="7"/>
        <w:rFonts w:ascii="宋体" w:hAnsi="宋体"/>
        <w:sz w:val="30"/>
        <w:szCs w:val="30"/>
      </w:rPr>
      <w:instrText xml:space="preserve">PAGE  </w:instrText>
    </w:r>
    <w:r>
      <w:rPr>
        <w:rFonts w:ascii="宋体" w:hAnsi="宋体"/>
        <w:sz w:val="30"/>
        <w:szCs w:val="30"/>
      </w:rPr>
      <w:fldChar w:fldCharType="separate"/>
    </w:r>
    <w:r>
      <w:rPr>
        <w:rStyle w:val="7"/>
        <w:rFonts w:ascii="宋体" w:hAnsi="宋体"/>
        <w:sz w:val="30"/>
        <w:szCs w:val="30"/>
      </w:rPr>
      <w:t>- 11 -</w:t>
    </w:r>
    <w:r>
      <w:rPr>
        <w:rFonts w:ascii="宋体" w:hAnsi="宋体"/>
        <w:sz w:val="30"/>
        <w:szCs w:val="30"/>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8140F"/>
    <w:multiLevelType w:val="singleLevel"/>
    <w:tmpl w:val="0478140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VmOTI3YTc4NDYwNTNlOTE3YjdkYWU4ZDk5YTU5NjEifQ=="/>
  </w:docVars>
  <w:rsids>
    <w:rsidRoot w:val="06173449"/>
    <w:rsid w:val="000016C6"/>
    <w:rsid w:val="00041CDF"/>
    <w:rsid w:val="00166AE8"/>
    <w:rsid w:val="003072E9"/>
    <w:rsid w:val="00373166"/>
    <w:rsid w:val="004968F0"/>
    <w:rsid w:val="004F4677"/>
    <w:rsid w:val="005E3AA4"/>
    <w:rsid w:val="006F0318"/>
    <w:rsid w:val="00704F11"/>
    <w:rsid w:val="0077740C"/>
    <w:rsid w:val="00853877"/>
    <w:rsid w:val="009E6DB1"/>
    <w:rsid w:val="00AC36D9"/>
    <w:rsid w:val="00B126D9"/>
    <w:rsid w:val="00BF3CCA"/>
    <w:rsid w:val="00C72E9C"/>
    <w:rsid w:val="00CA7F07"/>
    <w:rsid w:val="06173449"/>
    <w:rsid w:val="0E6E2358"/>
    <w:rsid w:val="1E363A79"/>
    <w:rsid w:val="27AA4A9B"/>
    <w:rsid w:val="3568136C"/>
    <w:rsid w:val="62183C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Lines="30"/>
    </w:pPr>
    <w:rPr>
      <w:rFonts w:ascii="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4172</Words>
  <Characters>5755</Characters>
  <Lines>41</Lines>
  <Paragraphs>11</Paragraphs>
  <TotalTime>1</TotalTime>
  <ScaleCrop>false</ScaleCrop>
  <LinksUpToDate>false</LinksUpToDate>
  <CharactersWithSpaces>5756</CharactersWithSpaces>
  <Application>WPS Office_11.1.0.15313_F1E327BC-269C-435d-A152-05C5408002CA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2023-07-13T10:03:00Z</dcterms:created>
  <dc:creator>月阙</dc:creator>
  <cp:lastModifiedBy>徐燕</cp:lastModifiedBy>
  <dcterms:modified xsi:type="dcterms:W3CDTF">2023-10-16T01:18:30Z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2052-11.1.0.15313</vt:lpwstr>
  </property>
  <property fmtid="{D5CDD505-2E9C-101B-9397-08002B2CF9AE}" pid="3" name="ICV">
    <vt:lpwstr>7FF5FB5AC34446979A633D3FB83CFFF5_11</vt:lpwstr>
  </property>
</Properties>
</file>