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72"/>
          <w:szCs w:val="72"/>
        </w:rPr>
      </w:pPr>
      <w:bookmarkStart w:id="0" w:name="_Toc15396475"/>
      <w:bookmarkStart w:id="1" w:name="_Toc15377193"/>
      <w:bookmarkStart w:id="2" w:name="_Toc15377425"/>
      <w:bookmarkStart w:id="3" w:name="_Toc15378441"/>
      <w:bookmarkStart w:id="4" w:name="_Toc15396597"/>
      <w:bookmarkStart w:id="5" w:name="_Toc15306267"/>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spacing w:line="600" w:lineRule="exact"/>
        <w:jc w:val="center"/>
        <w:rPr>
          <w:rFonts w:eastAsia="方正小标宋简体"/>
          <w:sz w:val="72"/>
          <w:szCs w:val="72"/>
        </w:rPr>
      </w:pPr>
    </w:p>
    <w:p>
      <w:pPr>
        <w:adjustRightInd w:val="0"/>
        <w:snapToGrid w:val="0"/>
        <w:spacing w:line="360" w:lineRule="auto"/>
        <w:jc w:val="center"/>
        <w:rPr>
          <w:rFonts w:eastAsia="方正小标宋简体"/>
          <w:sz w:val="72"/>
          <w:szCs w:val="72"/>
        </w:rPr>
      </w:pPr>
      <w:r>
        <w:rPr>
          <w:rFonts w:eastAsia="方正小标宋简体"/>
          <w:sz w:val="72"/>
          <w:szCs w:val="72"/>
        </w:rPr>
        <w:t>2021年度</w:t>
      </w:r>
      <w:bookmarkEnd w:id="0"/>
      <w:bookmarkEnd w:id="1"/>
      <w:bookmarkEnd w:id="2"/>
      <w:bookmarkEnd w:id="3"/>
      <w:bookmarkEnd w:id="4"/>
    </w:p>
    <w:p>
      <w:pPr>
        <w:adjustRightInd w:val="0"/>
        <w:snapToGrid w:val="0"/>
        <w:spacing w:line="360" w:lineRule="auto"/>
        <w:jc w:val="center"/>
        <w:rPr>
          <w:rFonts w:eastAsia="方正小标宋简体"/>
          <w:sz w:val="72"/>
          <w:szCs w:val="72"/>
        </w:rPr>
      </w:pPr>
      <w:bookmarkStart w:id="6" w:name="_Toc15377426"/>
      <w:bookmarkStart w:id="7" w:name="_Toc15396476"/>
      <w:bookmarkStart w:id="8" w:name="_Toc15377194"/>
      <w:bookmarkStart w:id="9" w:name="_Toc15396598"/>
      <w:bookmarkStart w:id="10" w:name="_Toc15378442"/>
      <w:r>
        <w:rPr>
          <w:rFonts w:eastAsia="方正小标宋简体"/>
          <w:spacing w:val="1"/>
          <w:w w:val="74"/>
          <w:kern w:val="0"/>
          <w:sz w:val="72"/>
          <w:szCs w:val="72"/>
          <w:fitText w:val="9135" w:id="-1457866239"/>
        </w:rPr>
        <w:t>四川省</w:t>
      </w:r>
      <w:bookmarkEnd w:id="5"/>
      <w:bookmarkStart w:id="11" w:name="_Toc15306268"/>
      <w:r>
        <w:rPr>
          <w:rFonts w:eastAsia="方正小标宋简体"/>
          <w:spacing w:val="1"/>
          <w:w w:val="74"/>
          <w:kern w:val="0"/>
          <w:sz w:val="72"/>
          <w:szCs w:val="72"/>
          <w:fitText w:val="9135" w:id="-1457866239"/>
        </w:rPr>
        <w:t>攀枝花市文化广播电视和旅游</w:t>
      </w:r>
      <w:r>
        <w:rPr>
          <w:rFonts w:eastAsia="方正小标宋简体"/>
          <w:spacing w:val="57"/>
          <w:w w:val="74"/>
          <w:kern w:val="0"/>
          <w:sz w:val="72"/>
          <w:szCs w:val="72"/>
          <w:fitText w:val="9135" w:id="-1457866239"/>
        </w:rPr>
        <w:t>局</w:t>
      </w:r>
    </w:p>
    <w:p>
      <w:pPr>
        <w:adjustRightInd w:val="0"/>
        <w:snapToGrid w:val="0"/>
        <w:spacing w:line="360" w:lineRule="auto"/>
        <w:jc w:val="center"/>
        <w:rPr>
          <w:rFonts w:eastAsia="方正小标宋简体"/>
          <w:sz w:val="72"/>
          <w:szCs w:val="72"/>
        </w:rPr>
      </w:pPr>
      <w:r>
        <w:rPr>
          <w:rFonts w:eastAsia="方正小标宋简体"/>
          <w:sz w:val="72"/>
          <w:szCs w:val="72"/>
        </w:rPr>
        <w:t>部门决算</w:t>
      </w:r>
      <w:bookmarkEnd w:id="6"/>
      <w:bookmarkEnd w:id="7"/>
      <w:bookmarkEnd w:id="8"/>
      <w:bookmarkEnd w:id="9"/>
      <w:bookmarkEnd w:id="10"/>
      <w:bookmarkEnd w:id="11"/>
    </w:p>
    <w:p>
      <w:pPr>
        <w:adjustRightInd w:val="0"/>
        <w:snapToGrid w:val="0"/>
        <w:spacing w:line="360" w:lineRule="auto"/>
        <w:jc w:val="center"/>
        <w:rPr>
          <w:rFonts w:eastAsia="方正小标宋简体"/>
          <w:sz w:val="52"/>
          <w:szCs w:val="52"/>
        </w:rPr>
      </w:pPr>
    </w:p>
    <w:p>
      <w:pPr>
        <w:widowControl/>
        <w:jc w:val="center"/>
        <w:rPr>
          <w:rFonts w:eastAsia="黑体"/>
          <w:sz w:val="48"/>
          <w:szCs w:val="48"/>
        </w:rPr>
      </w:pPr>
      <w:r>
        <w:rPr>
          <w:rFonts w:eastAsia="方正小标宋简体"/>
          <w:sz w:val="36"/>
          <w:szCs w:val="36"/>
        </w:rPr>
        <w:br w:type="page"/>
      </w:r>
      <w:r>
        <w:rPr>
          <w:rFonts w:eastAsia="黑体"/>
          <w:sz w:val="48"/>
          <w:szCs w:val="48"/>
        </w:rPr>
        <w:t>目录</w:t>
      </w:r>
    </w:p>
    <w:p>
      <w:pPr>
        <w:widowControl/>
        <w:jc w:val="center"/>
        <w:rPr>
          <w:rFonts w:eastAsia="黑体"/>
          <w:sz w:val="28"/>
          <w:szCs w:val="28"/>
        </w:rPr>
      </w:pPr>
    </w:p>
    <w:p>
      <w:pPr>
        <w:pStyle w:val="12"/>
        <w:rPr>
          <w:rFonts w:ascii="Times New Roman" w:hAnsi="Times New Roman"/>
        </w:rPr>
      </w:pPr>
      <w:r>
        <w:rPr>
          <w:rFonts w:ascii="Times New Roman" w:hAnsi="Times New Roman"/>
        </w:rPr>
        <w:t>公开时间：2022年9月</w:t>
      </w:r>
      <w:r>
        <w:rPr>
          <w:rFonts w:hint="eastAsia" w:ascii="Times New Roman" w:hAnsi="Times New Roman"/>
        </w:rPr>
        <w:t>14</w:t>
      </w:r>
      <w:r>
        <w:rPr>
          <w:rFonts w:ascii="Times New Roman" w:hAnsi="Times New Roman"/>
        </w:rPr>
        <w:t>日</w:t>
      </w:r>
    </w:p>
    <w:sdt>
      <w:sdtPr>
        <w:id w:val="147466784"/>
        <w:docPartObj>
          <w:docPartGallery w:val="Table of Contents"/>
          <w:docPartUnique/>
        </w:docPartObj>
      </w:sdtPr>
      <w:sdtEndPr>
        <w:rPr>
          <w:b/>
        </w:rPr>
      </w:sdtEndPr>
      <w:sdtContent>
        <w:p>
          <w:pPr>
            <w:jc w:val="center"/>
          </w:pPr>
          <w:bookmarkStart w:id="12" w:name="_Toc15377196"/>
          <w:bookmarkStart w:id="13" w:name="_Toc15396599"/>
        </w:p>
        <w:p>
          <w:pPr>
            <w:pStyle w:val="32"/>
            <w:tabs>
              <w:tab w:val="right" w:leader="dot" w:pos="8306"/>
            </w:tabs>
            <w:rPr>
              <w:rFonts w:ascii="Times New Roman" w:hAnsi="Times New Roman" w:cs="Times New Roman"/>
              <w:b/>
            </w:rPr>
          </w:pPr>
          <w:r>
            <w:rPr>
              <w:rFonts w:ascii="Times New Roman" w:hAnsi="Times New Roman" w:cs="Times New Roman"/>
            </w:rPr>
            <w:fldChar w:fldCharType="begin"/>
          </w:r>
          <w:r>
            <w:rPr>
              <w:rFonts w:ascii="Times New Roman" w:hAnsi="Times New Roman" w:cs="Times New Roman"/>
            </w:rPr>
            <w:instrText xml:space="preserve">TOC \o "1-2" \h \u </w:instrText>
          </w:r>
          <w:r>
            <w:rPr>
              <w:rFonts w:ascii="Times New Roman" w:hAnsi="Times New Roman" w:cs="Times New Roman"/>
            </w:rPr>
            <w:fldChar w:fldCharType="separate"/>
          </w:r>
          <w:r>
            <w:fldChar w:fldCharType="begin"/>
          </w:r>
          <w:r>
            <w:instrText xml:space="preserve"> HYPERLINK \l "_Toc13773" </w:instrText>
          </w:r>
          <w:r>
            <w:fldChar w:fldCharType="separate"/>
          </w:r>
          <w:r>
            <w:rPr>
              <w:rFonts w:ascii="Times New Roman" w:hAnsi="Times New Roman" w:eastAsia="黑体" w:cs="Times New Roman"/>
              <w:b/>
            </w:rPr>
            <w:t>第一部分 部门概况</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_Toc13773 \h </w:instrText>
          </w:r>
          <w:r>
            <w:rPr>
              <w:rFonts w:ascii="Times New Roman" w:hAnsi="Times New Roman" w:cs="Times New Roman"/>
              <w:b/>
            </w:rPr>
            <w:fldChar w:fldCharType="separate"/>
          </w:r>
          <w:r>
            <w:rPr>
              <w:rFonts w:ascii="Times New Roman" w:hAnsi="Times New Roman" w:cs="Times New Roman"/>
              <w:b/>
            </w:rPr>
            <w:t>1</w:t>
          </w:r>
          <w:r>
            <w:rPr>
              <w:rFonts w:ascii="Times New Roman" w:hAnsi="Times New Roman" w:cs="Times New Roman"/>
              <w:b/>
            </w:rPr>
            <w:fldChar w:fldCharType="end"/>
          </w:r>
          <w:r>
            <w:rPr>
              <w:rFonts w:ascii="Times New Roman" w:hAnsi="Times New Roman" w:cs="Times New Roman"/>
              <w:b/>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"_Toc10713" </w:instrText>
          </w:r>
          <w:r>
            <w:fldChar w:fldCharType="separate"/>
          </w:r>
          <w:r>
            <w:rPr>
              <w:rFonts w:ascii="Times New Roman" w:hAnsi="Times New Roman" w:eastAsia="黑体" w:cs="Times New Roman"/>
            </w:rPr>
            <w:t>一、基本职能及主要工作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_Toc10713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"_Toc14904" </w:instrText>
          </w:r>
          <w:r>
            <w:fldChar w:fldCharType="separate"/>
          </w:r>
          <w:r>
            <w:rPr>
              <w:rFonts w:ascii="Times New Roman" w:hAnsi="Times New Roman" w:eastAsia="黑体" w:cs="Times New Roman"/>
            </w:rPr>
            <w:t>二、机构设置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_Toc14904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pStyle w:val="32"/>
            <w:tabs>
              <w:tab w:val="right" w:leader="dot" w:pos="8306"/>
            </w:tabs>
            <w:rPr>
              <w:rFonts w:ascii="Times New Roman" w:hAnsi="Times New Roman" w:cs="Times New Roman"/>
              <w:b/>
            </w:rPr>
          </w:pPr>
          <w:r>
            <w:fldChar w:fldCharType="begin"/>
          </w:r>
          <w:r>
            <w:instrText xml:space="preserve"> HYPERLINK \l "_Toc17348" </w:instrText>
          </w:r>
          <w:r>
            <w:fldChar w:fldCharType="separate"/>
          </w:r>
          <w:r>
            <w:rPr>
              <w:rFonts w:ascii="Times New Roman" w:hAnsi="Times New Roman" w:eastAsia="黑体" w:cs="Times New Roman"/>
              <w:b/>
            </w:rPr>
            <w:t>第二部分 2021年度</w:t>
          </w:r>
          <w:r>
            <w:rPr>
              <w:rFonts w:ascii="Times New Roman" w:hAnsi="Times New Roman" w:eastAsia="黑体" w:cs="Times New Roman"/>
              <w:b/>
              <w:bCs/>
            </w:rPr>
            <w:t>部门决算情况说明</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_Toc17348 \h </w:instrText>
          </w:r>
          <w:r>
            <w:rPr>
              <w:rFonts w:ascii="Times New Roman" w:hAnsi="Times New Roman" w:cs="Times New Roman"/>
              <w:b/>
            </w:rPr>
            <w:fldChar w:fldCharType="separate"/>
          </w:r>
          <w:r>
            <w:rPr>
              <w:rFonts w:ascii="Times New Roman" w:hAnsi="Times New Roman" w:cs="Times New Roman"/>
              <w:b/>
            </w:rPr>
            <w:t>8</w:t>
          </w:r>
          <w:r>
            <w:rPr>
              <w:rFonts w:ascii="Times New Roman" w:hAnsi="Times New Roman" w:cs="Times New Roman"/>
              <w:b/>
            </w:rPr>
            <w:fldChar w:fldCharType="end"/>
          </w:r>
          <w:r>
            <w:rPr>
              <w:rFonts w:ascii="Times New Roman" w:hAnsi="Times New Roman" w:cs="Times New Roman"/>
              <w:b/>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"_Toc13973" </w:instrText>
          </w:r>
          <w:r>
            <w:fldChar w:fldCharType="separate"/>
          </w:r>
          <w:r>
            <w:rPr>
              <w:rFonts w:ascii="Times New Roman" w:hAnsi="Times New Roman" w:eastAsia="黑体" w:cs="Times New Roman"/>
              <w:szCs w:val="32"/>
            </w:rPr>
            <w:t>一、收</w:t>
          </w:r>
          <w:r>
            <w:rPr>
              <w:rFonts w:ascii="Times New Roman" w:hAnsi="Times New Roman" w:eastAsia="黑体" w:cs="Times New Roman"/>
            </w:rPr>
            <w:t>入支出决算总体情况说明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_Toc13973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"_Toc12662" </w:instrText>
          </w:r>
          <w:r>
            <w:fldChar w:fldCharType="separate"/>
          </w:r>
          <w:r>
            <w:rPr>
              <w:rFonts w:ascii="Times New Roman" w:hAnsi="Times New Roman" w:eastAsia="黑体" w:cs="Times New Roman"/>
              <w:szCs w:val="32"/>
            </w:rPr>
            <w:t>二、收</w:t>
          </w:r>
          <w:r>
            <w:rPr>
              <w:rFonts w:ascii="Times New Roman" w:hAnsi="Times New Roman" w:eastAsia="黑体" w:cs="Times New Roman"/>
            </w:rPr>
            <w:t>入决算情况说明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_Toc12662 \h </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r>
            <w:rPr>
              <w:rFonts w:ascii="Times New Roman" w:hAnsi="Times New Roman"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"_Toc461" </w:instrText>
          </w:r>
          <w:r>
            <w:fldChar w:fldCharType="separate"/>
          </w:r>
          <w:r>
            <w:rPr>
              <w:rFonts w:ascii="Times New Roman" w:hAnsi="Times New Roman" w:eastAsia="黑体" w:cs="Times New Roman"/>
              <w:szCs w:val="32"/>
            </w:rPr>
            <w:t>三、支</w:t>
          </w:r>
          <w:r>
            <w:rPr>
              <w:rFonts w:ascii="Times New Roman" w:hAnsi="Times New Roman" w:eastAsia="黑体" w:cs="Times New Roman"/>
            </w:rPr>
            <w:t>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_Toc461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"_Toc23817" </w:instrText>
          </w:r>
          <w:r>
            <w:fldChar w:fldCharType="separate"/>
          </w:r>
          <w:r>
            <w:rPr>
              <w:rFonts w:ascii="Times New Roman" w:hAnsi="Times New Roman" w:eastAsia="黑体" w:cs="Times New Roman"/>
              <w:szCs w:val="32"/>
            </w:rPr>
            <w:t>四、财</w:t>
          </w:r>
          <w:r>
            <w:rPr>
              <w:rFonts w:ascii="Times New Roman" w:hAnsi="Times New Roman" w:eastAsia="黑体" w:cs="Times New Roman"/>
            </w:rPr>
            <w:t>政拨款收入支出决算总体情况说明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_Toc23817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"_Toc30974" </w:instrText>
          </w:r>
          <w:r>
            <w:fldChar w:fldCharType="separate"/>
          </w:r>
          <w:r>
            <w:rPr>
              <w:rFonts w:ascii="Times New Roman" w:hAnsi="Times New Roman" w:eastAsia="黑体" w:cs="Times New Roman"/>
              <w:szCs w:val="32"/>
            </w:rPr>
            <w:t>五、一</w:t>
          </w:r>
          <w:r>
            <w:rPr>
              <w:rFonts w:ascii="Times New Roman" w:hAnsi="Times New Roman" w:eastAsia="黑体" w:cs="Times New Roman"/>
            </w:rPr>
            <w:t>般公共预算财政拨款支出决算情况说明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_Toc30974 \h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"_Toc9425" </w:instrText>
          </w:r>
          <w:r>
            <w:fldChar w:fldCharType="separate"/>
          </w:r>
          <w:r>
            <w:rPr>
              <w:rFonts w:ascii="Times New Roman" w:hAnsi="Times New Roman" w:eastAsia="黑体" w:cs="Times New Roman"/>
              <w:szCs w:val="32"/>
            </w:rPr>
            <w:t>六、一</w:t>
          </w:r>
          <w:r>
            <w:rPr>
              <w:rFonts w:ascii="Times New Roman" w:hAnsi="Times New Roman" w:eastAsia="黑体" w:cs="Times New Roman"/>
            </w:rPr>
            <w:t>般公共预算财政拨款基本支出决算情况说明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_Toc9425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"_Toc18484" </w:instrText>
          </w:r>
          <w:r>
            <w:fldChar w:fldCharType="separate"/>
          </w:r>
          <w:r>
            <w:rPr>
              <w:rFonts w:ascii="Times New Roman" w:hAnsi="Times New Roman" w:eastAsia="黑体" w:cs="Times New Roman"/>
              <w:szCs w:val="32"/>
            </w:rPr>
            <w:t>七、</w:t>
          </w:r>
          <w:r>
            <w:rPr>
              <w:rFonts w:ascii="Times New Roman" w:hAnsi="Times New Roman" w:eastAsia="黑体" w:cs="Times New Roman"/>
            </w:rPr>
            <w:t>“三公”经费财政拨款支出决算情况说明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_Toc18484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"_Toc14242" </w:instrText>
          </w:r>
          <w:r>
            <w:fldChar w:fldCharType="separate"/>
          </w:r>
          <w:r>
            <w:rPr>
              <w:rFonts w:ascii="Times New Roman" w:hAnsi="Times New Roman" w:eastAsia="黑体" w:cs="Times New Roman"/>
              <w:szCs w:val="32"/>
            </w:rPr>
            <w:t>八、</w:t>
          </w:r>
          <w:r>
            <w:rPr>
              <w:rFonts w:ascii="Times New Roman" w:hAnsi="Times New Roman" w:eastAsia="黑体" w:cs="Times New Roman"/>
            </w:rPr>
            <w:t>政府性基金预算支出决算情况说明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_Toc14242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"_Toc12804" </w:instrText>
          </w:r>
          <w:r>
            <w:fldChar w:fldCharType="separate"/>
          </w:r>
          <w:r>
            <w:rPr>
              <w:rFonts w:ascii="Times New Roman" w:hAnsi="Times New Roman" w:eastAsia="黑体" w:cs="Times New Roman"/>
            </w:rPr>
            <w:t>九、国有资本经营预算支出决算情况说明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_Toc12804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"_Toc10377" </w:instrText>
          </w:r>
          <w:r>
            <w:fldChar w:fldCharType="separate"/>
          </w:r>
          <w:r>
            <w:rPr>
              <w:rFonts w:ascii="Times New Roman" w:hAnsi="Times New Roman" w:eastAsia="黑体" w:cs="Times New Roman"/>
            </w:rPr>
            <w:t>十、其他重要事项的情况说明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_Toc10377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32"/>
            <w:tabs>
              <w:tab w:val="right" w:leader="dot" w:pos="8306"/>
            </w:tabs>
            <w:rPr>
              <w:rFonts w:ascii="Times New Roman" w:hAnsi="Times New Roman" w:cs="Times New Roman"/>
              <w:b/>
            </w:rPr>
          </w:pPr>
          <w:r>
            <w:fldChar w:fldCharType="begin"/>
          </w:r>
          <w:r>
            <w:instrText xml:space="preserve"> HYPERLINK \l "_Toc5352" </w:instrText>
          </w:r>
          <w:r>
            <w:fldChar w:fldCharType="separate"/>
          </w:r>
          <w:r>
            <w:rPr>
              <w:rFonts w:ascii="Times New Roman" w:hAnsi="Times New Roman" w:eastAsia="黑体" w:cs="Times New Roman"/>
              <w:b/>
            </w:rPr>
            <w:t xml:space="preserve">第三部分 </w:t>
          </w:r>
          <w:r>
            <w:rPr>
              <w:rFonts w:ascii="Times New Roman" w:hAnsi="Times New Roman" w:eastAsia="黑体" w:cs="Times New Roman"/>
              <w:b/>
              <w:szCs w:val="44"/>
            </w:rPr>
            <w:t>名</w:t>
          </w:r>
          <w:r>
            <w:rPr>
              <w:rFonts w:ascii="Times New Roman" w:hAnsi="Times New Roman" w:eastAsia="黑体" w:cs="Times New Roman"/>
              <w:b/>
            </w:rPr>
            <w:t>词解释</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_Toc5352 \h </w:instrText>
          </w:r>
          <w:r>
            <w:rPr>
              <w:rFonts w:ascii="Times New Roman" w:hAnsi="Times New Roman" w:cs="Times New Roman"/>
              <w:b/>
            </w:rPr>
            <w:fldChar w:fldCharType="separate"/>
          </w:r>
          <w:r>
            <w:rPr>
              <w:rFonts w:ascii="Times New Roman" w:hAnsi="Times New Roman" w:cs="Times New Roman"/>
              <w:b/>
            </w:rPr>
            <w:t>20</w:t>
          </w:r>
          <w:r>
            <w:rPr>
              <w:rFonts w:ascii="Times New Roman" w:hAnsi="Times New Roman" w:cs="Times New Roman"/>
              <w:b/>
            </w:rPr>
            <w:fldChar w:fldCharType="end"/>
          </w:r>
          <w:r>
            <w:rPr>
              <w:rFonts w:ascii="Times New Roman" w:hAnsi="Times New Roman" w:cs="Times New Roman"/>
              <w:b/>
            </w:rPr>
            <w:fldChar w:fldCharType="end"/>
          </w:r>
        </w:p>
        <w:p>
          <w:pPr>
            <w:pStyle w:val="32"/>
            <w:tabs>
              <w:tab w:val="right" w:leader="dot" w:pos="8306"/>
            </w:tabs>
            <w:rPr>
              <w:rFonts w:ascii="Times New Roman" w:hAnsi="Times New Roman" w:cs="Times New Roman"/>
              <w:b/>
            </w:rPr>
          </w:pPr>
          <w:r>
            <w:fldChar w:fldCharType="begin"/>
          </w:r>
          <w:r>
            <w:instrText xml:space="preserve"> HYPERLINK \l "_Toc7477" </w:instrText>
          </w:r>
          <w:r>
            <w:fldChar w:fldCharType="separate"/>
          </w:r>
          <w:r>
            <w:rPr>
              <w:rFonts w:ascii="Times New Roman" w:hAnsi="Times New Roman" w:eastAsia="黑体" w:cs="Times New Roman"/>
              <w:b/>
              <w:szCs w:val="44"/>
            </w:rPr>
            <w:t>第</w:t>
          </w:r>
          <w:r>
            <w:rPr>
              <w:rFonts w:ascii="Times New Roman" w:hAnsi="Times New Roman" w:eastAsia="黑体" w:cs="Times New Roman"/>
              <w:b/>
            </w:rPr>
            <w:t>四部分 附件</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_Toc7477 \h </w:instrText>
          </w:r>
          <w:r>
            <w:rPr>
              <w:rFonts w:ascii="Times New Roman" w:hAnsi="Times New Roman" w:cs="Times New Roman"/>
              <w:b/>
            </w:rPr>
            <w:fldChar w:fldCharType="separate"/>
          </w:r>
          <w:r>
            <w:rPr>
              <w:rFonts w:ascii="Times New Roman" w:hAnsi="Times New Roman" w:cs="Times New Roman"/>
              <w:b/>
            </w:rPr>
            <w:t>25</w:t>
          </w:r>
          <w:r>
            <w:rPr>
              <w:rFonts w:ascii="Times New Roman" w:hAnsi="Times New Roman" w:cs="Times New Roman"/>
              <w:b/>
            </w:rPr>
            <w:fldChar w:fldCharType="end"/>
          </w:r>
          <w:r>
            <w:rPr>
              <w:rFonts w:ascii="Times New Roman" w:hAnsi="Times New Roman" w:cs="Times New Roman"/>
              <w:b/>
            </w:rPr>
            <w:fldChar w:fldCharType="end"/>
          </w:r>
        </w:p>
        <w:p>
          <w:pPr>
            <w:pStyle w:val="32"/>
            <w:tabs>
              <w:tab w:val="right" w:leader="dot" w:pos="8306"/>
            </w:tabs>
            <w:rPr>
              <w:rFonts w:ascii="Times New Roman" w:hAnsi="Times New Roman" w:cs="Times New Roman"/>
              <w:b/>
            </w:rPr>
          </w:pPr>
          <w:r>
            <w:fldChar w:fldCharType="begin"/>
          </w:r>
          <w:r>
            <w:instrText xml:space="preserve"> HYPERLINK \l "_Toc9351" </w:instrText>
          </w:r>
          <w:r>
            <w:fldChar w:fldCharType="separate"/>
          </w:r>
          <w:r>
            <w:rPr>
              <w:rFonts w:ascii="Times New Roman" w:hAnsi="Times New Roman" w:eastAsia="黑体" w:cs="Times New Roman"/>
              <w:b/>
              <w:szCs w:val="44"/>
            </w:rPr>
            <w:t>第</w:t>
          </w:r>
          <w:r>
            <w:rPr>
              <w:rFonts w:ascii="Times New Roman" w:hAnsi="Times New Roman" w:eastAsia="黑体" w:cs="Times New Roman"/>
              <w:b/>
            </w:rPr>
            <w:t>五部分 附表</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_Toc9351 \h </w:instrText>
          </w:r>
          <w:r>
            <w:rPr>
              <w:rFonts w:ascii="Times New Roman" w:hAnsi="Times New Roman" w:cs="Times New Roman"/>
              <w:b/>
            </w:rPr>
            <w:fldChar w:fldCharType="separate"/>
          </w:r>
          <w:r>
            <w:rPr>
              <w:rFonts w:ascii="Times New Roman" w:hAnsi="Times New Roman" w:cs="Times New Roman"/>
              <w:b/>
            </w:rPr>
            <w:t>55</w:t>
          </w:r>
          <w:r>
            <w:rPr>
              <w:rFonts w:ascii="Times New Roman" w:hAnsi="Times New Roman" w:cs="Times New Roman"/>
              <w:b/>
            </w:rPr>
            <w:fldChar w:fldCharType="end"/>
          </w:r>
          <w:r>
            <w:rPr>
              <w:rFonts w:ascii="Times New Roman" w:hAnsi="Times New Roman" w:cs="Times New Roman"/>
              <w:b/>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"_Toc21649" </w:instrText>
          </w:r>
          <w:r>
            <w:fldChar w:fldCharType="separate"/>
          </w:r>
          <w:r>
            <w:rPr>
              <w:rFonts w:ascii="Times New Roman" w:hAnsi="Times New Roman" w:eastAsia="黑体" w:cs="Times New Roman"/>
            </w:rPr>
            <w:t>一、收入支出决算总表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_Toc21649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"_Toc15965" </w:instrText>
          </w:r>
          <w:r>
            <w:fldChar w:fldCharType="separate"/>
          </w:r>
          <w:r>
            <w:rPr>
              <w:rFonts w:ascii="Times New Roman" w:hAnsi="Times New Roman" w:eastAsia="黑体" w:cs="Times New Roman"/>
            </w:rPr>
            <w:t>二、收入决算表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_Toc15965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"_Toc28527" </w:instrText>
          </w:r>
          <w:r>
            <w:fldChar w:fldCharType="separate"/>
          </w:r>
          <w:r>
            <w:rPr>
              <w:rFonts w:ascii="Times New Roman" w:hAnsi="Times New Roman" w:eastAsia="黑体" w:cs="Times New Roman"/>
            </w:rPr>
            <w:t>三、支出决算表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_Toc28527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"_Toc15437" </w:instrText>
          </w:r>
          <w:r>
            <w:fldChar w:fldCharType="separate"/>
          </w:r>
          <w:r>
            <w:rPr>
              <w:rFonts w:ascii="Times New Roman" w:hAnsi="Times New Roman" w:eastAsia="黑体" w:cs="Times New Roman"/>
            </w:rPr>
            <w:t>四、财政拨款收入支出决算总表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_Toc15437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"_Toc29478" </w:instrText>
          </w:r>
          <w:r>
            <w:fldChar w:fldCharType="separate"/>
          </w:r>
          <w:r>
            <w:rPr>
              <w:rFonts w:ascii="Times New Roman" w:hAnsi="Times New Roman" w:eastAsia="黑体" w:cs="Times New Roman"/>
            </w:rPr>
            <w:t>五、财政拨款支出决算明细表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_Toc29478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"_Toc32043" </w:instrText>
          </w:r>
          <w:r>
            <w:fldChar w:fldCharType="separate"/>
          </w:r>
          <w:r>
            <w:rPr>
              <w:rFonts w:ascii="Times New Roman" w:hAnsi="Times New Roman" w:eastAsia="黑体" w:cs="Times New Roman"/>
            </w:rPr>
            <w:t>六、一般公共预算财政拨款支出决算表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_Toc32043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"_Toc32410" </w:instrText>
          </w:r>
          <w:r>
            <w:fldChar w:fldCharType="separate"/>
          </w:r>
          <w:r>
            <w:rPr>
              <w:rFonts w:ascii="Times New Roman" w:hAnsi="Times New Roman" w:eastAsia="黑体" w:cs="Times New Roman"/>
            </w:rPr>
            <w:t>七、一般公共预算财政拨款支出决算明细表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_Toc32410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"_Toc23111" </w:instrText>
          </w:r>
          <w:r>
            <w:fldChar w:fldCharType="separate"/>
          </w:r>
          <w:r>
            <w:rPr>
              <w:rFonts w:ascii="Times New Roman" w:hAnsi="Times New Roman" w:eastAsia="黑体" w:cs="Times New Roman"/>
            </w:rPr>
            <w:t>八、一般公共预算财政拨款基本支出决算表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_Toc23111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"_Toc11269" </w:instrText>
          </w:r>
          <w:r>
            <w:fldChar w:fldCharType="separate"/>
          </w:r>
          <w:r>
            <w:rPr>
              <w:rFonts w:ascii="Times New Roman" w:hAnsi="Times New Roman" w:eastAsia="黑体" w:cs="Times New Roman"/>
            </w:rPr>
            <w:t>九、一般公共预算财政拨款项目支出决算表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_Toc11269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"_Toc14959" </w:instrText>
          </w:r>
          <w:r>
            <w:fldChar w:fldCharType="separate"/>
          </w:r>
          <w:r>
            <w:rPr>
              <w:rFonts w:ascii="Times New Roman" w:hAnsi="Times New Roman" w:eastAsia="黑体" w:cs="Times New Roman"/>
            </w:rPr>
            <w:t>十、一般公共预算财政拨款“三公”经费支出决算表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_Toc14959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"_Toc11890" </w:instrText>
          </w:r>
          <w:r>
            <w:fldChar w:fldCharType="separate"/>
          </w:r>
          <w:r>
            <w:rPr>
              <w:rFonts w:ascii="Times New Roman" w:hAnsi="Times New Roman" w:eastAsia="黑体" w:cs="Times New Roman"/>
            </w:rPr>
            <w:t>十一、政府性基金预算财政拨款收入支出决算表</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_Toc11890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"_Toc13845" </w:instrText>
          </w:r>
          <w:r>
            <w:fldChar w:fldCharType="separate"/>
          </w:r>
          <w:r>
            <w:rPr>
              <w:rFonts w:ascii="Times New Roman" w:hAnsi="Times New Roman" w:eastAsia="黑体" w:cs="Times New Roman"/>
            </w:rPr>
            <w:t>十二、政府性基金预算财政拨款“三公”经费支出决算表（此表无数据）</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_Toc13845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eastAsia="黑体" w:cs="Times New Roman"/>
            </w:rPr>
          </w:pPr>
          <w:r>
            <w:fldChar w:fldCharType="begin"/>
          </w:r>
          <w:r>
            <w:instrText xml:space="preserve"> HYPERLINK \l "_Toc28634" </w:instrText>
          </w:r>
          <w:r>
            <w:fldChar w:fldCharType="separate"/>
          </w:r>
          <w:r>
            <w:rPr>
              <w:rFonts w:ascii="Times New Roman" w:hAnsi="Times New Roman" w:eastAsia="黑体" w:cs="Times New Roman"/>
            </w:rPr>
            <w:t>十三、国有资本经营预算财政拨款收入支出决算表（此表无数据）</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_Toc28634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pPr>
            <w:pStyle w:val="33"/>
            <w:tabs>
              <w:tab w:val="right" w:leader="dot" w:pos="8306"/>
            </w:tabs>
            <w:ind w:left="420"/>
            <w:rPr>
              <w:rFonts w:ascii="Times New Roman" w:hAnsi="Times New Roman" w:cs="Times New Roman"/>
            </w:rPr>
          </w:pPr>
          <w:r>
            <w:fldChar w:fldCharType="begin"/>
          </w:r>
          <w:r>
            <w:instrText xml:space="preserve"> HYPERLINK \l "_Toc7534" </w:instrText>
          </w:r>
          <w:r>
            <w:fldChar w:fldCharType="separate"/>
          </w:r>
          <w:r>
            <w:rPr>
              <w:rFonts w:ascii="Times New Roman" w:hAnsi="Times New Roman" w:eastAsia="黑体" w:cs="Times New Roman"/>
            </w:rPr>
            <w:t>十四、国有资本经营预算财政拨款支出决算表（此表无数据）</w:t>
          </w:r>
          <w:r>
            <w:rPr>
              <w:rFonts w:ascii="Times New Roman" w:hAnsi="Times New Roman" w:eastAsia="黑体" w:cs="Times New Roman"/>
            </w:rPr>
            <w:tab/>
          </w:r>
          <w:r>
            <w:rPr>
              <w:rFonts w:ascii="Times New Roman" w:hAnsi="Times New Roman" w:eastAsia="黑体" w:cs="Times New Roman"/>
            </w:rPr>
            <w:fldChar w:fldCharType="begin"/>
          </w:r>
          <w:r>
            <w:rPr>
              <w:rFonts w:ascii="Times New Roman" w:hAnsi="Times New Roman" w:eastAsia="黑体" w:cs="Times New Roman"/>
            </w:rPr>
            <w:instrText xml:space="preserve"> PAGEREF _Toc7534 \h </w:instrText>
          </w:r>
          <w:r>
            <w:rPr>
              <w:rFonts w:ascii="Times New Roman" w:hAnsi="Times New Roman" w:eastAsia="黑体" w:cs="Times New Roman"/>
            </w:rPr>
            <w:fldChar w:fldCharType="separate"/>
          </w:r>
          <w:r>
            <w:rPr>
              <w:rFonts w:ascii="Times New Roman" w:hAnsi="Times New Roman" w:eastAsia="黑体" w:cs="Times New Roman"/>
            </w:rPr>
            <w:t>75</w:t>
          </w:r>
          <w:r>
            <w:rPr>
              <w:rFonts w:ascii="Times New Roman" w:hAnsi="Times New Roman" w:eastAsia="黑体" w:cs="Times New Roman"/>
            </w:rPr>
            <w:fldChar w:fldCharType="end"/>
          </w:r>
          <w:r>
            <w:rPr>
              <w:rFonts w:ascii="Times New Roman" w:hAnsi="Times New Roman" w:eastAsia="黑体" w:cs="Times New Roman"/>
            </w:rPr>
            <w:fldChar w:fldCharType="end"/>
          </w:r>
        </w:p>
        <w:p>
          <w:r>
            <w:rPr>
              <w:b/>
            </w:rPr>
            <w:fldChar w:fldCharType="end"/>
          </w:r>
        </w:p>
      </w:sdtContent>
    </w:sdt>
    <w:p>
      <w:pPr>
        <w:pStyle w:val="3"/>
        <w:jc w:val="center"/>
        <w:rPr>
          <w:rFonts w:eastAsia="黑体"/>
          <w:b w:val="0"/>
        </w:rPr>
        <w:sectPr>
          <w:footerReference r:id="rId3" w:type="first"/>
          <w:pgSz w:w="11906" w:h="16838"/>
          <w:pgMar w:top="1440" w:right="1800" w:bottom="1440" w:left="1800" w:header="851" w:footer="992" w:gutter="0"/>
          <w:pgNumType w:start="1"/>
          <w:cols w:space="425" w:num="1"/>
          <w:titlePg/>
          <w:docGrid w:type="lines" w:linePitch="312" w:charSpace="0"/>
        </w:sectPr>
      </w:pPr>
      <w:bookmarkStart w:id="14" w:name="_Toc13773"/>
      <w:bookmarkStart w:id="15" w:name="_Toc7622"/>
      <w:bookmarkStart w:id="16" w:name="_Toc21180"/>
      <w:bookmarkStart w:id="17" w:name="_Toc21611"/>
    </w:p>
    <w:p>
      <w:pPr>
        <w:pStyle w:val="3"/>
        <w:jc w:val="center"/>
        <w:rPr>
          <w:rStyle w:val="26"/>
          <w:rFonts w:eastAsia="黑体"/>
          <w:b/>
          <w:bCs w:val="0"/>
        </w:rPr>
      </w:pPr>
      <w:r>
        <w:rPr>
          <w:rFonts w:eastAsia="黑体"/>
          <w:b w:val="0"/>
        </w:rPr>
        <w:t xml:space="preserve">第一部分 </w:t>
      </w:r>
      <w:r>
        <w:rPr>
          <w:rStyle w:val="26"/>
          <w:rFonts w:eastAsia="黑体"/>
          <w:b w:val="0"/>
          <w:bCs w:val="0"/>
        </w:rPr>
        <w:t>部门概况</w:t>
      </w:r>
      <w:bookmarkEnd w:id="12"/>
      <w:bookmarkEnd w:id="13"/>
      <w:bookmarkEnd w:id="14"/>
      <w:bookmarkEnd w:id="15"/>
      <w:bookmarkEnd w:id="16"/>
      <w:bookmarkEnd w:id="17"/>
    </w:p>
    <w:p>
      <w:pPr>
        <w:widowControl/>
        <w:jc w:val="left"/>
        <w:rPr>
          <w:rFonts w:eastAsia="黑体"/>
          <w:sz w:val="32"/>
          <w:szCs w:val="32"/>
        </w:rPr>
      </w:pPr>
    </w:p>
    <w:p>
      <w:pPr>
        <w:pStyle w:val="4"/>
        <w:rPr>
          <w:rStyle w:val="27"/>
          <w:rFonts w:ascii="Times New Roman" w:hAnsi="Times New Roman" w:eastAsia="仿宋" w:cs="Times New Roman"/>
          <w:b w:val="0"/>
          <w:bCs w:val="0"/>
        </w:rPr>
      </w:pPr>
      <w:bookmarkStart w:id="18" w:name="_Toc15377197"/>
      <w:bookmarkStart w:id="19" w:name="_Toc15396600"/>
      <w:bookmarkStart w:id="20" w:name="_Toc17463"/>
      <w:bookmarkStart w:id="21" w:name="_Toc1747"/>
      <w:bookmarkStart w:id="22" w:name="_Toc10713"/>
      <w:bookmarkStart w:id="23" w:name="_Toc24614"/>
      <w:r>
        <w:rPr>
          <w:rFonts w:ascii="Times New Roman" w:hAnsi="Times New Roman" w:eastAsia="黑体" w:cs="Times New Roman"/>
          <w:b w:val="0"/>
        </w:rPr>
        <w:t>一、基</w:t>
      </w:r>
      <w:r>
        <w:rPr>
          <w:rStyle w:val="27"/>
          <w:rFonts w:ascii="Times New Roman" w:hAnsi="Times New Roman" w:eastAsia="黑体" w:cs="Times New Roman"/>
          <w:b w:val="0"/>
          <w:bCs w:val="0"/>
        </w:rPr>
        <w:t>本职能及主要工作</w:t>
      </w:r>
      <w:bookmarkEnd w:id="18"/>
      <w:bookmarkEnd w:id="19"/>
      <w:bookmarkEnd w:id="20"/>
      <w:bookmarkEnd w:id="21"/>
      <w:bookmarkEnd w:id="22"/>
      <w:bookmarkEnd w:id="23"/>
    </w:p>
    <w:p>
      <w:pPr>
        <w:pStyle w:val="2"/>
        <w:adjustRightInd w:val="0"/>
        <w:snapToGrid w:val="0"/>
        <w:spacing w:before="93" w:line="600" w:lineRule="exact"/>
        <w:ind w:firstLine="672" w:firstLineChars="210"/>
        <w:rPr>
          <w:rFonts w:ascii="Times New Roman" w:eastAsia="仿宋"/>
          <w:bCs/>
          <w:sz w:val="32"/>
          <w:szCs w:val="32"/>
        </w:rPr>
      </w:pPr>
      <w:bookmarkStart w:id="24" w:name="_Toc15378445"/>
      <w:bookmarkStart w:id="25" w:name="_Toc15377198"/>
      <w:r>
        <w:rPr>
          <w:rFonts w:ascii="Times New Roman" w:eastAsia="仿宋"/>
          <w:bCs/>
          <w:sz w:val="32"/>
          <w:szCs w:val="32"/>
        </w:rPr>
        <w:t>（一）主要职能。</w:t>
      </w:r>
      <w:bookmarkEnd w:id="24"/>
      <w:bookmarkEnd w:id="25"/>
    </w:p>
    <w:p>
      <w:pPr>
        <w:snapToGrid w:val="0"/>
        <w:spacing w:line="580" w:lineRule="exact"/>
        <w:ind w:firstLine="640" w:firstLineChars="200"/>
        <w:rPr>
          <w:rFonts w:eastAsia="仿宋"/>
          <w:sz w:val="32"/>
          <w:szCs w:val="32"/>
        </w:rPr>
      </w:pPr>
      <w:r>
        <w:rPr>
          <w:rFonts w:eastAsia="仿宋"/>
          <w:sz w:val="32"/>
          <w:szCs w:val="32"/>
        </w:rPr>
        <w:t>1</w:t>
      </w:r>
      <w:r>
        <w:rPr>
          <w:b/>
          <w:bCs/>
          <w:sz w:val="32"/>
          <w:szCs w:val="32"/>
        </w:rPr>
        <w:t>．</w:t>
      </w:r>
      <w:r>
        <w:rPr>
          <w:rFonts w:eastAsia="仿宋"/>
          <w:sz w:val="32"/>
          <w:szCs w:val="32"/>
        </w:rPr>
        <w:t>拟订文化广播电视和旅游政策措施、规范性文件，起草历史文化保护方面的地方性法规，加强文化广播电视阵地建设，把握正确的舆论导向和创作导向，负责本系统、本部门依法行政工作。</w:t>
      </w:r>
    </w:p>
    <w:p>
      <w:pPr>
        <w:snapToGrid w:val="0"/>
        <w:spacing w:line="580" w:lineRule="exact"/>
        <w:ind w:firstLine="640" w:firstLineChars="200"/>
        <w:jc w:val="left"/>
        <w:rPr>
          <w:rFonts w:eastAsia="仿宋"/>
          <w:sz w:val="32"/>
          <w:szCs w:val="32"/>
        </w:rPr>
      </w:pPr>
      <w:r>
        <w:rPr>
          <w:rFonts w:eastAsia="仿宋"/>
          <w:sz w:val="32"/>
          <w:szCs w:val="32"/>
        </w:rPr>
        <w:t>2</w:t>
      </w:r>
      <w:r>
        <w:rPr>
          <w:b/>
          <w:bCs/>
          <w:sz w:val="32"/>
          <w:szCs w:val="32"/>
        </w:rPr>
        <w:t>．</w:t>
      </w:r>
      <w:r>
        <w:rPr>
          <w:rFonts w:eastAsia="仿宋"/>
          <w:sz w:val="32"/>
          <w:szCs w:val="32"/>
        </w:rPr>
        <w:t>组织推动全市文化、广播电视和旅游业发展，拟订发展规划并组织实施，推进文化广播电视和旅游体制机制改革，推进文化广播电视和旅游融合发展。</w:t>
      </w:r>
    </w:p>
    <w:p>
      <w:pPr>
        <w:snapToGrid w:val="0"/>
        <w:spacing w:line="580" w:lineRule="exact"/>
        <w:ind w:firstLine="640" w:firstLineChars="200"/>
        <w:rPr>
          <w:rFonts w:eastAsia="仿宋"/>
          <w:sz w:val="32"/>
          <w:szCs w:val="32"/>
        </w:rPr>
      </w:pPr>
      <w:r>
        <w:rPr>
          <w:rFonts w:eastAsia="仿宋"/>
          <w:sz w:val="32"/>
          <w:szCs w:val="32"/>
        </w:rPr>
        <w:t>3</w:t>
      </w:r>
      <w:r>
        <w:rPr>
          <w:b/>
          <w:bCs/>
          <w:sz w:val="32"/>
          <w:szCs w:val="32"/>
        </w:rPr>
        <w:t>．</w:t>
      </w:r>
      <w:r>
        <w:rPr>
          <w:rFonts w:eastAsia="仿宋"/>
          <w:sz w:val="32"/>
          <w:szCs w:val="32"/>
        </w:rPr>
        <w:t>管理全市重大文化广播电视和旅游活动，指导全市重点文化广播电视和旅游基础设施建设，组织全市文化广播电视和旅游宣传推广，促进文化广播电视和旅游产业对外合作与市场推广，制定旅游市场开发战略并组织实施，推进全域旅游。</w:t>
      </w:r>
    </w:p>
    <w:p>
      <w:pPr>
        <w:snapToGrid w:val="0"/>
        <w:spacing w:line="580" w:lineRule="exact"/>
        <w:ind w:firstLine="640" w:firstLineChars="200"/>
        <w:rPr>
          <w:rFonts w:eastAsia="仿宋"/>
          <w:sz w:val="32"/>
          <w:szCs w:val="32"/>
        </w:rPr>
      </w:pPr>
      <w:r>
        <w:rPr>
          <w:rFonts w:eastAsia="仿宋"/>
          <w:sz w:val="32"/>
          <w:szCs w:val="32"/>
        </w:rPr>
        <w:t>4</w:t>
      </w:r>
      <w:r>
        <w:rPr>
          <w:b/>
          <w:bCs/>
          <w:sz w:val="32"/>
          <w:szCs w:val="32"/>
        </w:rPr>
        <w:t>．</w:t>
      </w:r>
      <w:r>
        <w:rPr>
          <w:rFonts w:eastAsia="仿宋"/>
          <w:sz w:val="32"/>
          <w:szCs w:val="32"/>
        </w:rPr>
        <w:t>指导管理文化艺术、广播电视事业，推动文化艺术、广播电视创作生产，扶持体现社会主义核心价值观、具有导向性代表性示范性的文化艺术、广播电视作品，推动各门类文化艺术及品种发展，推动中华优秀传统文化传承发展。</w:t>
      </w:r>
    </w:p>
    <w:p>
      <w:pPr>
        <w:snapToGrid w:val="0"/>
        <w:spacing w:line="580" w:lineRule="exact"/>
        <w:ind w:firstLine="640" w:firstLineChars="200"/>
        <w:rPr>
          <w:rFonts w:eastAsia="仿宋"/>
          <w:sz w:val="32"/>
          <w:szCs w:val="32"/>
        </w:rPr>
      </w:pPr>
      <w:r>
        <w:rPr>
          <w:rFonts w:eastAsia="仿宋"/>
          <w:sz w:val="32"/>
          <w:szCs w:val="32"/>
        </w:rPr>
        <w:t>5</w:t>
      </w:r>
      <w:r>
        <w:rPr>
          <w:b/>
          <w:bCs/>
          <w:sz w:val="32"/>
          <w:szCs w:val="32"/>
        </w:rPr>
        <w:t>．</w:t>
      </w:r>
      <w:r>
        <w:rPr>
          <w:rFonts w:eastAsia="仿宋"/>
          <w:sz w:val="32"/>
          <w:szCs w:val="32"/>
        </w:rPr>
        <w:t>负责公共文化事业发展，推进全市公共文化服务体系、广播电视基本公共服务和旅游公共服务建设，组织实施公共服务重大公益工程和公益活动，深入实施惠民工程，统筹推进文化和广播电视基本公共服务标准化、均等化。</w:t>
      </w:r>
    </w:p>
    <w:p>
      <w:pPr>
        <w:snapToGrid w:val="0"/>
        <w:spacing w:line="580" w:lineRule="exact"/>
        <w:ind w:firstLine="640" w:firstLineChars="200"/>
        <w:rPr>
          <w:rFonts w:eastAsia="仿宋"/>
          <w:sz w:val="32"/>
          <w:szCs w:val="32"/>
        </w:rPr>
      </w:pPr>
      <w:r>
        <w:rPr>
          <w:rFonts w:eastAsia="仿宋"/>
          <w:sz w:val="32"/>
          <w:szCs w:val="32"/>
        </w:rPr>
        <w:t>6</w:t>
      </w:r>
      <w:r>
        <w:rPr>
          <w:b/>
          <w:bCs/>
          <w:sz w:val="32"/>
          <w:szCs w:val="32"/>
        </w:rPr>
        <w:t>．</w:t>
      </w:r>
      <w:r>
        <w:rPr>
          <w:rFonts w:eastAsia="仿宋"/>
          <w:sz w:val="32"/>
          <w:szCs w:val="32"/>
        </w:rPr>
        <w:t>推进文化广播电视和旅游行业信息化、标准化建设。组织实施文化和旅游资源普查、挖掘、保护与利用工作，促进产业发展。</w:t>
      </w:r>
    </w:p>
    <w:p>
      <w:pPr>
        <w:snapToGrid w:val="0"/>
        <w:spacing w:line="580" w:lineRule="exact"/>
        <w:ind w:firstLine="640" w:firstLineChars="200"/>
        <w:rPr>
          <w:rFonts w:eastAsia="仿宋"/>
          <w:sz w:val="32"/>
          <w:szCs w:val="32"/>
        </w:rPr>
      </w:pPr>
      <w:r>
        <w:rPr>
          <w:rFonts w:eastAsia="仿宋"/>
          <w:sz w:val="32"/>
          <w:szCs w:val="32"/>
        </w:rPr>
        <w:t>7</w:t>
      </w:r>
      <w:r>
        <w:rPr>
          <w:b/>
          <w:bCs/>
          <w:sz w:val="32"/>
          <w:szCs w:val="32"/>
        </w:rPr>
        <w:t>．</w:t>
      </w:r>
      <w:r>
        <w:rPr>
          <w:rFonts w:eastAsia="仿宋"/>
          <w:sz w:val="32"/>
          <w:szCs w:val="32"/>
        </w:rPr>
        <w:t>指导文化广播电视和旅游市场发展，对文化广播电视和旅游市场经营活动进行行业监管，推进行业信用体系建设，依法规范文化广播电视和旅游市场。负责文化旅游市场领域综合行政执法工作，组织查处全市性、跨区域文化、文物、广播电视、旅游等市场的违法行为，督查督办大案要案，维护市场秩序。</w:t>
      </w:r>
    </w:p>
    <w:p>
      <w:pPr>
        <w:snapToGrid w:val="0"/>
        <w:spacing w:line="580" w:lineRule="exact"/>
        <w:ind w:firstLine="640" w:firstLineChars="200"/>
        <w:rPr>
          <w:rFonts w:eastAsia="仿宋"/>
          <w:sz w:val="32"/>
          <w:szCs w:val="32"/>
        </w:rPr>
      </w:pPr>
      <w:r>
        <w:rPr>
          <w:rFonts w:eastAsia="仿宋"/>
          <w:sz w:val="32"/>
          <w:szCs w:val="32"/>
        </w:rPr>
        <w:t>8</w:t>
      </w:r>
      <w:r>
        <w:rPr>
          <w:b/>
          <w:bCs/>
          <w:sz w:val="32"/>
          <w:szCs w:val="32"/>
        </w:rPr>
        <w:t>．</w:t>
      </w:r>
      <w:r>
        <w:rPr>
          <w:rFonts w:eastAsia="仿宋"/>
          <w:sz w:val="32"/>
          <w:szCs w:val="32"/>
        </w:rPr>
        <w:t>管理和指导全市文物保护利用与考古工作，协调、指导和监督全市文物安全，履行文物行政督察职责。监督管理全市文化遗产保护和博物馆事业，负责地方文物保护单位申报工作，推进全市文化遗产地管理、保护、传承、普及、弘扬和振兴工作。</w:t>
      </w:r>
    </w:p>
    <w:p>
      <w:pPr>
        <w:snapToGrid w:val="0"/>
        <w:spacing w:line="580" w:lineRule="exact"/>
        <w:ind w:firstLine="640" w:firstLineChars="200"/>
        <w:rPr>
          <w:rFonts w:eastAsia="仿宋"/>
          <w:sz w:val="32"/>
          <w:szCs w:val="32"/>
        </w:rPr>
      </w:pPr>
      <w:r>
        <w:rPr>
          <w:rFonts w:eastAsia="仿宋"/>
          <w:sz w:val="32"/>
          <w:szCs w:val="32"/>
        </w:rPr>
        <w:t>9</w:t>
      </w:r>
      <w:r>
        <w:rPr>
          <w:b/>
          <w:bCs/>
          <w:sz w:val="32"/>
          <w:szCs w:val="32"/>
        </w:rPr>
        <w:t>．</w:t>
      </w:r>
      <w:r>
        <w:rPr>
          <w:rFonts w:eastAsia="仿宋"/>
          <w:sz w:val="32"/>
          <w:szCs w:val="32"/>
        </w:rPr>
        <w:t>负责对各类广播电视机构进行业务指导和行业监管，会同有关部门对网络视听节目服务机构及内容进行管理。负责广播电视与新媒体新技术新业态融合发展，推进“三网”融合。负责广播电视节目传输覆盖、监测和安全播出的监督管理，指导、推进应急广播电视体系建设。</w:t>
      </w:r>
    </w:p>
    <w:p>
      <w:pPr>
        <w:snapToGrid w:val="0"/>
        <w:spacing w:line="580" w:lineRule="exact"/>
        <w:ind w:firstLine="640" w:firstLineChars="200"/>
        <w:rPr>
          <w:rFonts w:eastAsia="仿宋"/>
          <w:sz w:val="32"/>
          <w:szCs w:val="32"/>
        </w:rPr>
      </w:pPr>
      <w:r>
        <w:rPr>
          <w:rFonts w:eastAsia="仿宋"/>
          <w:sz w:val="32"/>
          <w:szCs w:val="32"/>
        </w:rPr>
        <w:t>10</w:t>
      </w:r>
      <w:r>
        <w:rPr>
          <w:b/>
          <w:bCs/>
          <w:sz w:val="32"/>
          <w:szCs w:val="32"/>
        </w:rPr>
        <w:t>．</w:t>
      </w:r>
      <w:r>
        <w:rPr>
          <w:rFonts w:eastAsia="仿宋"/>
          <w:sz w:val="32"/>
          <w:szCs w:val="32"/>
        </w:rPr>
        <w:t>承担全市文化广播电视和旅游、文物对外及对港澳台的交流与合作。</w:t>
      </w:r>
    </w:p>
    <w:p>
      <w:pPr>
        <w:snapToGrid w:val="0"/>
        <w:spacing w:line="580" w:lineRule="exact"/>
        <w:ind w:firstLine="640" w:firstLineChars="200"/>
        <w:rPr>
          <w:rFonts w:eastAsia="仿宋"/>
          <w:sz w:val="32"/>
          <w:szCs w:val="32"/>
        </w:rPr>
      </w:pPr>
      <w:r>
        <w:rPr>
          <w:rFonts w:eastAsia="仿宋"/>
          <w:sz w:val="32"/>
          <w:szCs w:val="32"/>
        </w:rPr>
        <w:t>11</w:t>
      </w:r>
      <w:r>
        <w:rPr>
          <w:b/>
          <w:bCs/>
          <w:sz w:val="32"/>
          <w:szCs w:val="32"/>
        </w:rPr>
        <w:t>．</w:t>
      </w:r>
      <w:r>
        <w:rPr>
          <w:rFonts w:eastAsia="仿宋"/>
          <w:sz w:val="32"/>
          <w:szCs w:val="32"/>
        </w:rPr>
        <w:t>负责职责范围内的安全生产和职业健康、生态环境保护、审批服务便民化等工作。</w:t>
      </w:r>
    </w:p>
    <w:p>
      <w:pPr>
        <w:snapToGrid w:val="0"/>
        <w:spacing w:line="580" w:lineRule="exact"/>
        <w:ind w:firstLine="640" w:firstLineChars="200"/>
        <w:rPr>
          <w:rFonts w:eastAsia="仿宋"/>
          <w:sz w:val="32"/>
          <w:szCs w:val="32"/>
        </w:rPr>
      </w:pPr>
      <w:r>
        <w:rPr>
          <w:rFonts w:eastAsia="仿宋"/>
          <w:sz w:val="32"/>
          <w:szCs w:val="32"/>
        </w:rPr>
        <w:t>12</w:t>
      </w:r>
      <w:r>
        <w:rPr>
          <w:b/>
          <w:bCs/>
          <w:sz w:val="32"/>
          <w:szCs w:val="32"/>
        </w:rPr>
        <w:t>．</w:t>
      </w:r>
      <w:r>
        <w:rPr>
          <w:rFonts w:eastAsia="仿宋"/>
          <w:sz w:val="32"/>
          <w:szCs w:val="32"/>
        </w:rPr>
        <w:t>完成市委、市政府交办的其他任务。</w:t>
      </w:r>
    </w:p>
    <w:p>
      <w:pPr>
        <w:snapToGrid w:val="0"/>
        <w:spacing w:line="580" w:lineRule="exact"/>
        <w:ind w:firstLine="640" w:firstLineChars="200"/>
        <w:rPr>
          <w:rFonts w:eastAsia="仿宋"/>
          <w:sz w:val="32"/>
          <w:szCs w:val="32"/>
        </w:rPr>
      </w:pPr>
      <w:r>
        <w:rPr>
          <w:rFonts w:eastAsia="仿宋"/>
          <w:sz w:val="32"/>
          <w:szCs w:val="32"/>
        </w:rPr>
        <w:t>13</w:t>
      </w:r>
      <w:r>
        <w:rPr>
          <w:b/>
          <w:bCs/>
          <w:sz w:val="32"/>
          <w:szCs w:val="32"/>
        </w:rPr>
        <w:t>．</w:t>
      </w:r>
      <w:r>
        <w:rPr>
          <w:rFonts w:eastAsia="仿宋"/>
          <w:sz w:val="32"/>
          <w:szCs w:val="32"/>
        </w:rPr>
        <w:t>职能转变。</w:t>
      </w:r>
    </w:p>
    <w:p>
      <w:pPr>
        <w:snapToGrid w:val="0"/>
        <w:spacing w:line="580" w:lineRule="exact"/>
        <w:ind w:firstLine="640" w:firstLineChars="200"/>
        <w:rPr>
          <w:rFonts w:eastAsia="仿宋"/>
          <w:sz w:val="32"/>
          <w:szCs w:val="32"/>
        </w:rPr>
      </w:pPr>
      <w:r>
        <w:rPr>
          <w:rFonts w:eastAsia="仿宋"/>
          <w:sz w:val="32"/>
          <w:szCs w:val="32"/>
        </w:rPr>
        <w:t>（1）以人民美好生活为引导，统筹推进文化广播电视和旅游融合发展。协调推动网络视听节目管理健康发展。加强广播电视与新媒体新技术新业态融合发展，优化广播电视资源配置。用好文化创意、科技创新和社会投资等新功能，促进文化广播电视和旅游与相关产业融合发展。深化“放管服”改革，进一步简政放权，强化事中事后监管，推进审批服务便民化。建设国际阳光康养旅游目的地、打造区域文化高地。</w:t>
      </w:r>
    </w:p>
    <w:p>
      <w:pPr>
        <w:pStyle w:val="2"/>
        <w:adjustRightInd w:val="0"/>
        <w:snapToGrid w:val="0"/>
        <w:spacing w:before="93" w:line="600" w:lineRule="exact"/>
        <w:ind w:firstLine="672" w:firstLineChars="210"/>
        <w:rPr>
          <w:rFonts w:ascii="Times New Roman" w:eastAsia="仿宋"/>
          <w:bCs/>
          <w:sz w:val="32"/>
          <w:szCs w:val="32"/>
        </w:rPr>
      </w:pPr>
      <w:r>
        <w:rPr>
          <w:rFonts w:ascii="Times New Roman" w:eastAsia="仿宋"/>
          <w:sz w:val="32"/>
          <w:szCs w:val="32"/>
        </w:rPr>
        <w:t>（2）统筹推进承担行政职能的事业单位改革。市文物局承担的行政职责，交由市文广旅局承担。</w:t>
      </w:r>
    </w:p>
    <w:p>
      <w:pPr>
        <w:pStyle w:val="2"/>
        <w:adjustRightInd w:val="0"/>
        <w:snapToGrid w:val="0"/>
        <w:spacing w:before="93" w:line="600" w:lineRule="exact"/>
        <w:ind w:firstLine="672" w:firstLineChars="210"/>
        <w:rPr>
          <w:rFonts w:ascii="Times New Roman" w:eastAsia="仿宋"/>
          <w:bCs/>
          <w:sz w:val="32"/>
          <w:szCs w:val="32"/>
        </w:rPr>
      </w:pPr>
      <w:bookmarkStart w:id="26" w:name="_Toc15378446"/>
      <w:bookmarkStart w:id="27" w:name="_Toc15377199"/>
      <w:r>
        <w:rPr>
          <w:rFonts w:ascii="Times New Roman" w:eastAsia="仿宋"/>
          <w:bCs/>
          <w:sz w:val="32"/>
          <w:szCs w:val="32"/>
        </w:rPr>
        <w:t>（二）2021年重点工作完成情况。</w:t>
      </w:r>
      <w:bookmarkEnd w:id="26"/>
      <w:bookmarkEnd w:id="27"/>
    </w:p>
    <w:p>
      <w:pPr>
        <w:spacing w:line="580" w:lineRule="exact"/>
        <w:ind w:firstLine="684" w:firstLineChars="214"/>
        <w:rPr>
          <w:rFonts w:eastAsia="方正仿宋_GBK"/>
          <w:sz w:val="33"/>
          <w:szCs w:val="33"/>
        </w:rPr>
      </w:pPr>
      <w:r>
        <w:rPr>
          <w:rFonts w:eastAsia="仿宋"/>
          <w:sz w:val="32"/>
          <w:szCs w:val="32"/>
        </w:rPr>
        <w:t>1</w:t>
      </w:r>
      <w:r>
        <w:rPr>
          <w:b/>
          <w:bCs/>
          <w:sz w:val="32"/>
          <w:szCs w:val="32"/>
        </w:rPr>
        <w:t>．</w:t>
      </w:r>
      <w:r>
        <w:rPr>
          <w:rFonts w:eastAsia="仿宋"/>
          <w:sz w:val="32"/>
          <w:szCs w:val="32"/>
        </w:rPr>
        <w:t>加强党建引领，提高政治站位统领全局。一是全面落实主体责任。学习贯彻习近平总书记关于文化和旅游工作系列重要论述和指示批示精神，强化党风廉政建设，“四个意识”进一步增强、“四个自信”更加坚定、践行“两个维护”更加自觉。二是加强阵地管控。突出建党百年主题，精心筹备庆祝建党100周年系列文艺主题活动3项，线上、线下系列配套活动50项，攀枝花开发建设纪念馆等5家单位成功入选全省“中小学研学”实践基地，攀枝花中国三线建设博物馆被命名为全国爱国主义教育示范基地。三是广泛开展“我为群众办实事”实践活动。持续做好公共图书馆、文化馆（站）、博物馆（纪念馆）免费开放和延时错时开放，积极推进15个“一村一街一书房”文化建设示范点打造。统筹资金2067万元完成市广播电视台大黑山发射台信息安全升级改造工程、应急广播系统建设，全市无线广播电视节目覆盖质量全面提升。开展“标准服务、规范运维”活动，投入运行维护资金480余万元，建设提升广播电视基础设施、传输线路、终端设备保障运行能力，有效解决农村广播电视安装维护不及时的问题。</w:t>
      </w:r>
    </w:p>
    <w:p>
      <w:pPr>
        <w:spacing w:line="580" w:lineRule="exact"/>
        <w:ind w:firstLine="684" w:firstLineChars="214"/>
        <w:rPr>
          <w:rFonts w:eastAsia="仿宋"/>
          <w:sz w:val="32"/>
          <w:szCs w:val="32"/>
        </w:rPr>
      </w:pPr>
      <w:r>
        <w:rPr>
          <w:rFonts w:eastAsia="仿宋"/>
          <w:sz w:val="32"/>
          <w:szCs w:val="32"/>
        </w:rPr>
        <w:t>2</w:t>
      </w:r>
      <w:r>
        <w:rPr>
          <w:b/>
          <w:bCs/>
          <w:sz w:val="32"/>
          <w:szCs w:val="32"/>
        </w:rPr>
        <w:t>．</w:t>
      </w:r>
      <w:r>
        <w:rPr>
          <w:rFonts w:eastAsia="仿宋"/>
          <w:sz w:val="32"/>
          <w:szCs w:val="32"/>
        </w:rPr>
        <w:t>强化文化供给，提升公共文化服务质效。一是巩固公共文化服务体系建设成果。完成《攀枝花市国家公共文化服务体系示范区创新发展规划（2021—2024年）》编制工作，开展各类文化惠民活动400余次。采取一镇多站、镇村共建等方式，“两项改革”后乡镇（街道）综合文化站阵地不降反增，达61个（新增加1个）。二是抓好三线文化保护传承。编制完成《攀枝花三线建设工业遗产国家文物保护利用示范区创建申请书》，对全市第二批10个博物馆分馆进行智能化改造，积极开展省级历史文化名城申报创建和文物保护单位保护修缮、安全隐患整治工作，成功举办2021年“三线文化周”系列活动。三是繁荣文艺创作。围绕建党百年华诞，开设《攀枝花文化》颂歌献给党特别专栏，创作《三线蔬菜密码》《少年读党史》《三线建设的成功典范》等系列作品60余部。微电影《春夏秋冬又一春》获亚洲微电影节金海棠奖。电视剧《火红年华》登陆央视一套黄金时段，开播收视率和市场占有率居全国同时段第一。</w:t>
      </w:r>
    </w:p>
    <w:p>
      <w:pPr>
        <w:spacing w:line="580" w:lineRule="exact"/>
        <w:ind w:firstLine="684" w:firstLineChars="214"/>
        <w:rPr>
          <w:rFonts w:eastAsia="仿宋"/>
          <w:sz w:val="32"/>
          <w:szCs w:val="32"/>
        </w:rPr>
      </w:pPr>
      <w:r>
        <w:rPr>
          <w:rFonts w:eastAsia="仿宋"/>
          <w:sz w:val="32"/>
          <w:szCs w:val="32"/>
        </w:rPr>
        <w:t>3</w:t>
      </w:r>
      <w:r>
        <w:rPr>
          <w:b/>
          <w:bCs/>
          <w:sz w:val="32"/>
          <w:szCs w:val="32"/>
        </w:rPr>
        <w:t>．</w:t>
      </w:r>
      <w:r>
        <w:rPr>
          <w:rFonts w:eastAsia="仿宋"/>
          <w:sz w:val="32"/>
          <w:szCs w:val="32"/>
        </w:rPr>
        <w:t>聚焦项目建设，夯实文旅产业发展基础。一是开展调查研究。紧扣市委“三个圈层”联动发展、建设现代化区域中心城市目标，组建专班深入周边市州调研，撰写调研报告5篇、形成《推动“攀大丽香”金三角区域文旅合作打造国际阳光康养旅游度假目的地》课题成果。二是夯实项目支撑。立足我市三线建设文化、山水阳光等特色文旅资源优势，制定印发《攀枝花市重点建设核心文旅项目清单》，推出三线文化旅游项目、红格国际运动康养旅游度假区、金沙江大峡谷旅游度假区、“百里画廊·水墨二滩”景区等6大文旅项目。三是抓实项目招引，编制形成《攀枝花市重点文旅项目招商手册》，精心筹办第五届康养产业发展论坛，积极参加省内外招商引资平台活动。攀枝花三线建设文化旅游融合发展示范项目、仁和苴却砚文化保护传承利用与旅游融合发展项目共计争取到2021年度四川省文化旅游融合发展示范项目资金支持1600万。</w:t>
      </w:r>
    </w:p>
    <w:p>
      <w:pPr>
        <w:spacing w:line="580" w:lineRule="exact"/>
        <w:ind w:firstLine="684" w:firstLineChars="214"/>
        <w:rPr>
          <w:rFonts w:eastAsia="仿宋"/>
          <w:sz w:val="32"/>
          <w:szCs w:val="32"/>
        </w:rPr>
      </w:pPr>
      <w:r>
        <w:rPr>
          <w:rFonts w:eastAsia="仿宋"/>
          <w:sz w:val="32"/>
          <w:szCs w:val="32"/>
        </w:rPr>
        <w:t>4</w:t>
      </w:r>
      <w:r>
        <w:rPr>
          <w:b/>
          <w:bCs/>
          <w:sz w:val="32"/>
          <w:szCs w:val="32"/>
        </w:rPr>
        <w:t>．</w:t>
      </w:r>
      <w:r>
        <w:rPr>
          <w:rFonts w:eastAsia="仿宋"/>
          <w:sz w:val="32"/>
          <w:szCs w:val="32"/>
        </w:rPr>
        <w:t>强化宣传营销，擦亮特色资源文旅品牌。一是主动出击广拓客源。在央视黄金广告时段投放“安逸四川 攀西阳光”文旅广告，充分利用第八届四川国际旅游交易博览会等活动平台，深入开展“冬季到攀西晒太阳”宣传营销。积极参与全省“重走长征路 奋战新征程”红色旅游年活动，4月9日，成都至攀枝花红色旅游专列首发成功，反响热烈。二是节庆活动氛围浓郁。深挖节庆内涵，加大包装、推广的力度，圆满完成第三届清凉夏季暨“寻觅山水 滋味盐边”活动，推出品美食赏美景、奇遇桃源水乡之旅、三线研学游等活动17项，发布休闲度假旅游线路9条，节庆赛事品牌加快形成。三是区域合作利益共享。本着资源共享、市场共拓、信息共通的原则，积极与楚雄、丽江、大理、迪庆、凉山等市州从市场引流、监管服务、产业发展等方面沟通对接，签订“攀大丽香”旅游“金三角”联盟战略合作框架协议，成立“攀大丽香”旅游“金三角”联盟，“朋友圈”不断扩大。</w:t>
      </w:r>
    </w:p>
    <w:p>
      <w:pPr>
        <w:pStyle w:val="2"/>
        <w:adjustRightInd w:val="0"/>
        <w:snapToGrid w:val="0"/>
        <w:spacing w:before="93" w:line="600" w:lineRule="exact"/>
        <w:ind w:firstLine="640" w:firstLineChars="200"/>
        <w:rPr>
          <w:rFonts w:ascii="Times New Roman" w:eastAsia="仿宋"/>
          <w:bCs/>
          <w:sz w:val="32"/>
          <w:szCs w:val="32"/>
        </w:rPr>
      </w:pPr>
      <w:r>
        <w:rPr>
          <w:rFonts w:ascii="Times New Roman" w:eastAsia="仿宋"/>
          <w:sz w:val="32"/>
          <w:szCs w:val="32"/>
        </w:rPr>
        <w:t>5</w:t>
      </w:r>
      <w:r>
        <w:rPr>
          <w:rFonts w:ascii="Times New Roman"/>
          <w:b/>
          <w:bCs/>
          <w:sz w:val="32"/>
          <w:szCs w:val="32"/>
        </w:rPr>
        <w:t>．</w:t>
      </w:r>
      <w:r>
        <w:rPr>
          <w:rFonts w:ascii="Times New Roman" w:eastAsia="仿宋"/>
          <w:sz w:val="32"/>
          <w:szCs w:val="32"/>
        </w:rPr>
        <w:t>强化行业监管，营造更高质量发展环境。一是统筹推进常态化疫情防控。坚持不懈抓好景区“限量、预约、错峰”“三多两有”等防控措施，指导旅行社、公共文化场馆、互联网服务场所加强风险评估和研判，坚决防止疫情通过文化和旅游渠道传播蔓延。二是用好年度景区复核管理办法。坚持景区管理能进能退的要求，调整取消6家旅游要素不完备、旅游功能退化的景区，积极支持辅导具备条件的旅游村、景点提档升级，创建国家A级旅游景区。三是筑牢安全防线。聚焦安全播出、森林草原防灭火、防汛减灾、安全生产等重点，建立局领导包保责任清单、对口联系任务清单及督导检查工作清单，打好安全监管组合拳。目前，全市共出动执法人员9473人次，检查经营单位2952家次，处理旅游投诉42件，文旅市场秩序不断规范。</w:t>
      </w:r>
    </w:p>
    <w:p>
      <w:pPr>
        <w:pStyle w:val="4"/>
        <w:ind w:firstLine="640" w:firstLineChars="200"/>
        <w:rPr>
          <w:rStyle w:val="27"/>
          <w:rFonts w:ascii="Times New Roman" w:hAnsi="Times New Roman" w:cs="Times New Roman"/>
          <w:b w:val="0"/>
          <w:bCs w:val="0"/>
        </w:rPr>
      </w:pPr>
      <w:bookmarkStart w:id="28" w:name="_Toc8258"/>
      <w:bookmarkStart w:id="29" w:name="_Toc14904"/>
      <w:bookmarkStart w:id="30" w:name="_Toc32115"/>
      <w:bookmarkStart w:id="31" w:name="_Toc15396601"/>
      <w:bookmarkStart w:id="32" w:name="_Toc15252"/>
      <w:bookmarkStart w:id="33" w:name="_Toc15377200"/>
      <w:r>
        <w:rPr>
          <w:rFonts w:ascii="Times New Roman" w:hAnsi="Times New Roman" w:eastAsia="黑体" w:cs="Times New Roman"/>
          <w:b w:val="0"/>
        </w:rPr>
        <w:t>二、机</w:t>
      </w:r>
      <w:r>
        <w:rPr>
          <w:rStyle w:val="27"/>
          <w:rFonts w:ascii="Times New Roman" w:hAnsi="Times New Roman" w:eastAsia="黑体" w:cs="Times New Roman"/>
          <w:b w:val="0"/>
          <w:bCs w:val="0"/>
        </w:rPr>
        <w:t>构设置</w:t>
      </w:r>
      <w:bookmarkEnd w:id="28"/>
      <w:bookmarkEnd w:id="29"/>
      <w:bookmarkEnd w:id="30"/>
      <w:bookmarkEnd w:id="31"/>
      <w:bookmarkEnd w:id="32"/>
      <w:bookmarkEnd w:id="33"/>
    </w:p>
    <w:p>
      <w:pPr>
        <w:ind w:firstLine="640" w:firstLineChars="200"/>
        <w:rPr>
          <w:rFonts w:eastAsia="仿宋"/>
          <w:sz w:val="32"/>
          <w:szCs w:val="32"/>
        </w:rPr>
      </w:pPr>
      <w:r>
        <w:rPr>
          <w:rFonts w:eastAsia="仿宋"/>
          <w:sz w:val="32"/>
          <w:szCs w:val="32"/>
        </w:rPr>
        <w:t>攀枝花市文化广播电视和旅游局下属二级单位8个，其中行政单位0个，参照公务员法管理的事业单位1个，代市政府管理事业单位1个，其他事业单位6个。</w:t>
      </w:r>
    </w:p>
    <w:p>
      <w:pPr>
        <w:pStyle w:val="2"/>
        <w:adjustRightInd w:val="0"/>
        <w:snapToGrid w:val="0"/>
        <w:spacing w:before="93" w:line="600" w:lineRule="exact"/>
        <w:ind w:firstLine="672" w:firstLineChars="210"/>
        <w:rPr>
          <w:rFonts w:ascii="Times New Roman" w:eastAsia="仿宋"/>
          <w:sz w:val="32"/>
          <w:szCs w:val="32"/>
        </w:rPr>
      </w:pPr>
      <w:r>
        <w:rPr>
          <w:rFonts w:ascii="Times New Roman" w:eastAsia="仿宋"/>
          <w:sz w:val="32"/>
          <w:szCs w:val="32"/>
        </w:rPr>
        <w:t>纳入攀枝花市文化广播电视和旅游局2021年度部门决算编制范围的二级预算单位包括：</w:t>
      </w:r>
    </w:p>
    <w:p>
      <w:pPr>
        <w:pStyle w:val="2"/>
        <w:adjustRightInd w:val="0"/>
        <w:snapToGrid w:val="0"/>
        <w:spacing w:before="93" w:line="600" w:lineRule="exact"/>
        <w:ind w:left="672"/>
        <w:outlineLvl w:val="2"/>
        <w:rPr>
          <w:rFonts w:ascii="Times New Roman" w:eastAsia="仿宋"/>
          <w:color w:val="000000"/>
          <w:sz w:val="32"/>
          <w:szCs w:val="32"/>
        </w:rPr>
      </w:pPr>
      <w:bookmarkStart w:id="34" w:name="_Toc15377432"/>
      <w:bookmarkStart w:id="35" w:name="_Toc15306275"/>
      <w:bookmarkStart w:id="36" w:name="_Toc15378448"/>
      <w:bookmarkStart w:id="37" w:name="_Toc15377201"/>
      <w:r>
        <w:rPr>
          <w:rFonts w:ascii="Times New Roman" w:eastAsia="仿宋"/>
          <w:color w:val="000000"/>
          <w:sz w:val="32"/>
          <w:szCs w:val="32"/>
        </w:rPr>
        <w:t>1</w:t>
      </w:r>
      <w:r>
        <w:rPr>
          <w:rFonts w:ascii="Times New Roman"/>
          <w:b/>
          <w:bCs/>
          <w:sz w:val="32"/>
          <w:szCs w:val="32"/>
        </w:rPr>
        <w:t>．</w:t>
      </w:r>
      <w:r>
        <w:rPr>
          <w:rFonts w:ascii="Times New Roman" w:eastAsia="仿宋"/>
          <w:color w:val="000000"/>
          <w:sz w:val="32"/>
          <w:szCs w:val="32"/>
        </w:rPr>
        <w:t>攀枝花市图书馆。</w:t>
      </w:r>
      <w:bookmarkEnd w:id="34"/>
      <w:bookmarkEnd w:id="35"/>
      <w:bookmarkEnd w:id="36"/>
      <w:bookmarkEnd w:id="37"/>
    </w:p>
    <w:p>
      <w:pPr>
        <w:pStyle w:val="2"/>
        <w:adjustRightInd w:val="0"/>
        <w:snapToGrid w:val="0"/>
        <w:spacing w:before="93" w:line="600" w:lineRule="exact"/>
        <w:ind w:left="672"/>
        <w:outlineLvl w:val="2"/>
        <w:rPr>
          <w:rFonts w:ascii="Times New Roman" w:eastAsia="仿宋"/>
          <w:color w:val="000000"/>
          <w:sz w:val="32"/>
          <w:szCs w:val="32"/>
        </w:rPr>
      </w:pPr>
      <w:bookmarkStart w:id="38" w:name="_Toc15306277"/>
      <w:bookmarkStart w:id="39" w:name="_Toc15377203"/>
      <w:bookmarkStart w:id="40" w:name="_Toc15377434"/>
      <w:bookmarkStart w:id="41" w:name="_Toc15378450"/>
      <w:r>
        <w:rPr>
          <w:rFonts w:ascii="Times New Roman" w:eastAsia="仿宋"/>
          <w:color w:val="000000"/>
          <w:sz w:val="32"/>
          <w:szCs w:val="32"/>
        </w:rPr>
        <w:t>2</w:t>
      </w:r>
      <w:r>
        <w:rPr>
          <w:rFonts w:ascii="Times New Roman"/>
          <w:b/>
          <w:bCs/>
          <w:sz w:val="32"/>
          <w:szCs w:val="32"/>
        </w:rPr>
        <w:t>．</w:t>
      </w:r>
      <w:r>
        <w:rPr>
          <w:rFonts w:ascii="Times New Roman" w:eastAsia="仿宋"/>
          <w:color w:val="000000"/>
          <w:sz w:val="32"/>
          <w:szCs w:val="32"/>
        </w:rPr>
        <w:t>攀枝花市文化馆</w:t>
      </w:r>
      <w:bookmarkEnd w:id="38"/>
      <w:bookmarkEnd w:id="39"/>
      <w:bookmarkEnd w:id="40"/>
      <w:bookmarkEnd w:id="41"/>
      <w:r>
        <w:rPr>
          <w:rFonts w:ascii="Times New Roman" w:eastAsia="仿宋"/>
          <w:color w:val="000000"/>
          <w:sz w:val="32"/>
          <w:szCs w:val="32"/>
        </w:rPr>
        <w:t>。</w:t>
      </w:r>
    </w:p>
    <w:p>
      <w:pPr>
        <w:pStyle w:val="2"/>
        <w:adjustRightInd w:val="0"/>
        <w:snapToGrid w:val="0"/>
        <w:spacing w:before="93" w:line="600" w:lineRule="exact"/>
        <w:ind w:left="672"/>
        <w:outlineLvl w:val="2"/>
        <w:rPr>
          <w:rFonts w:ascii="Times New Roman" w:eastAsia="仿宋"/>
          <w:color w:val="000000"/>
          <w:sz w:val="32"/>
          <w:szCs w:val="32"/>
        </w:rPr>
      </w:pPr>
      <w:r>
        <w:rPr>
          <w:rFonts w:ascii="Times New Roman" w:eastAsia="仿宋"/>
          <w:color w:val="000000"/>
          <w:sz w:val="32"/>
          <w:szCs w:val="32"/>
        </w:rPr>
        <w:t>3</w:t>
      </w:r>
      <w:r>
        <w:rPr>
          <w:rFonts w:ascii="Times New Roman"/>
          <w:b/>
          <w:bCs/>
          <w:sz w:val="32"/>
          <w:szCs w:val="32"/>
        </w:rPr>
        <w:t>．</w:t>
      </w:r>
      <w:r>
        <w:rPr>
          <w:rFonts w:ascii="Times New Roman" w:eastAsia="仿宋"/>
          <w:color w:val="000000"/>
          <w:sz w:val="32"/>
          <w:szCs w:val="32"/>
        </w:rPr>
        <w:t>攀枝花中国三线建设博物馆（代市政府管理事业单位）。</w:t>
      </w:r>
    </w:p>
    <w:p>
      <w:pPr>
        <w:pStyle w:val="2"/>
        <w:adjustRightInd w:val="0"/>
        <w:snapToGrid w:val="0"/>
        <w:spacing w:before="93" w:line="600" w:lineRule="exact"/>
        <w:ind w:left="672"/>
        <w:outlineLvl w:val="2"/>
        <w:rPr>
          <w:rFonts w:ascii="Times New Roman" w:eastAsia="仿宋"/>
          <w:color w:val="000000"/>
          <w:sz w:val="32"/>
          <w:szCs w:val="32"/>
        </w:rPr>
      </w:pPr>
      <w:r>
        <w:rPr>
          <w:rFonts w:ascii="Times New Roman" w:eastAsia="仿宋"/>
          <w:color w:val="000000"/>
          <w:sz w:val="32"/>
          <w:szCs w:val="32"/>
        </w:rPr>
        <w:t>4</w:t>
      </w:r>
      <w:r>
        <w:rPr>
          <w:rFonts w:ascii="Times New Roman"/>
          <w:b/>
          <w:bCs/>
          <w:sz w:val="32"/>
          <w:szCs w:val="32"/>
        </w:rPr>
        <w:t>．</w:t>
      </w:r>
      <w:r>
        <w:rPr>
          <w:rFonts w:ascii="Times New Roman" w:eastAsia="仿宋"/>
          <w:color w:val="000000"/>
          <w:sz w:val="32"/>
          <w:szCs w:val="32"/>
        </w:rPr>
        <w:t>攀枝花市文艺创评室。</w:t>
      </w:r>
    </w:p>
    <w:p>
      <w:pPr>
        <w:pStyle w:val="2"/>
        <w:adjustRightInd w:val="0"/>
        <w:snapToGrid w:val="0"/>
        <w:spacing w:before="93" w:line="600" w:lineRule="exact"/>
        <w:ind w:left="672"/>
        <w:outlineLvl w:val="2"/>
        <w:rPr>
          <w:rFonts w:ascii="Times New Roman" w:eastAsia="仿宋"/>
          <w:color w:val="000000"/>
          <w:sz w:val="32"/>
          <w:szCs w:val="32"/>
        </w:rPr>
      </w:pPr>
      <w:r>
        <w:rPr>
          <w:rFonts w:ascii="Times New Roman" w:eastAsia="仿宋"/>
          <w:color w:val="000000"/>
          <w:sz w:val="32"/>
          <w:szCs w:val="32"/>
        </w:rPr>
        <w:t>5</w:t>
      </w:r>
      <w:r>
        <w:rPr>
          <w:rFonts w:ascii="Times New Roman"/>
          <w:b/>
          <w:bCs/>
          <w:sz w:val="32"/>
          <w:szCs w:val="32"/>
        </w:rPr>
        <w:t>．</w:t>
      </w:r>
      <w:r>
        <w:rPr>
          <w:rFonts w:ascii="Times New Roman" w:eastAsia="仿宋"/>
          <w:color w:val="000000"/>
          <w:sz w:val="32"/>
          <w:szCs w:val="32"/>
        </w:rPr>
        <w:t>攀枝花市文化市场综合行政执法支队（</w:t>
      </w:r>
      <w:r>
        <w:rPr>
          <w:rFonts w:ascii="Times New Roman" w:eastAsia="仿宋"/>
          <w:sz w:val="32"/>
          <w:szCs w:val="32"/>
        </w:rPr>
        <w:t>参照公务员法管理的事业单位</w:t>
      </w:r>
      <w:r>
        <w:rPr>
          <w:rFonts w:ascii="Times New Roman" w:eastAsia="仿宋"/>
          <w:color w:val="000000"/>
          <w:sz w:val="32"/>
          <w:szCs w:val="32"/>
        </w:rPr>
        <w:t>）。</w:t>
      </w:r>
    </w:p>
    <w:p>
      <w:pPr>
        <w:pStyle w:val="2"/>
        <w:adjustRightInd w:val="0"/>
        <w:snapToGrid w:val="0"/>
        <w:spacing w:before="93" w:line="600" w:lineRule="exact"/>
        <w:ind w:left="672"/>
        <w:outlineLvl w:val="2"/>
        <w:rPr>
          <w:rFonts w:ascii="Times New Roman" w:eastAsia="仿宋"/>
          <w:color w:val="000000"/>
          <w:sz w:val="32"/>
          <w:szCs w:val="32"/>
        </w:rPr>
      </w:pPr>
      <w:r>
        <w:rPr>
          <w:rFonts w:ascii="Times New Roman" w:eastAsia="仿宋"/>
          <w:color w:val="000000"/>
          <w:sz w:val="32"/>
          <w:szCs w:val="32"/>
        </w:rPr>
        <w:t>6</w:t>
      </w:r>
      <w:r>
        <w:rPr>
          <w:rFonts w:ascii="Times New Roman"/>
          <w:b/>
          <w:bCs/>
          <w:sz w:val="32"/>
          <w:szCs w:val="32"/>
        </w:rPr>
        <w:t>．</w:t>
      </w:r>
      <w:r>
        <w:rPr>
          <w:rFonts w:ascii="Times New Roman" w:eastAsia="仿宋"/>
          <w:color w:val="000000"/>
          <w:sz w:val="32"/>
          <w:szCs w:val="32"/>
        </w:rPr>
        <w:t>攀枝花市文化旅游公共服务中心。</w:t>
      </w:r>
    </w:p>
    <w:p>
      <w:pPr>
        <w:pStyle w:val="2"/>
        <w:adjustRightInd w:val="0"/>
        <w:snapToGrid w:val="0"/>
        <w:spacing w:before="93" w:line="600" w:lineRule="exact"/>
        <w:ind w:left="672"/>
        <w:outlineLvl w:val="2"/>
        <w:rPr>
          <w:rFonts w:ascii="Times New Roman" w:eastAsia="仿宋"/>
          <w:color w:val="000000"/>
          <w:sz w:val="32"/>
          <w:szCs w:val="32"/>
        </w:rPr>
      </w:pPr>
      <w:r>
        <w:rPr>
          <w:rFonts w:ascii="Times New Roman"/>
          <w:b/>
          <w:bCs/>
          <w:sz w:val="32"/>
          <w:szCs w:val="32"/>
        </w:rPr>
        <w:t>7．</w:t>
      </w:r>
      <w:r>
        <w:rPr>
          <w:rFonts w:ascii="Times New Roman" w:eastAsia="仿宋"/>
          <w:color w:val="000000"/>
          <w:sz w:val="32"/>
          <w:szCs w:val="32"/>
        </w:rPr>
        <w:t>攀枝花市文化艺术中心。</w:t>
      </w:r>
    </w:p>
    <w:p>
      <w:pPr>
        <w:pStyle w:val="2"/>
        <w:adjustRightInd w:val="0"/>
        <w:snapToGrid w:val="0"/>
        <w:spacing w:before="93" w:line="600" w:lineRule="exact"/>
        <w:ind w:left="672"/>
        <w:outlineLvl w:val="2"/>
        <w:rPr>
          <w:rFonts w:ascii="Times New Roman" w:eastAsia="仿宋"/>
          <w:color w:val="000000"/>
          <w:sz w:val="32"/>
          <w:szCs w:val="32"/>
        </w:rPr>
      </w:pPr>
      <w:r>
        <w:rPr>
          <w:rFonts w:ascii="Times New Roman" w:eastAsia="仿宋"/>
          <w:color w:val="000000"/>
          <w:sz w:val="32"/>
          <w:szCs w:val="32"/>
        </w:rPr>
        <w:t>8</w:t>
      </w:r>
      <w:r>
        <w:rPr>
          <w:rFonts w:ascii="Times New Roman"/>
          <w:b/>
          <w:bCs/>
          <w:sz w:val="32"/>
          <w:szCs w:val="32"/>
        </w:rPr>
        <w:t>．</w:t>
      </w:r>
      <w:r>
        <w:rPr>
          <w:rFonts w:ascii="Times New Roman" w:eastAsia="仿宋"/>
          <w:color w:val="000000"/>
          <w:sz w:val="32"/>
          <w:szCs w:val="32"/>
        </w:rPr>
        <w:t>攀枝花市广播电视台。</w:t>
      </w:r>
    </w:p>
    <w:p>
      <w:pPr>
        <w:widowControl/>
        <w:jc w:val="left"/>
        <w:rPr>
          <w:rFonts w:eastAsia="仿宋"/>
          <w:kern w:val="0"/>
          <w:sz w:val="32"/>
          <w:szCs w:val="32"/>
        </w:rPr>
      </w:pPr>
      <w:r>
        <w:rPr>
          <w:rFonts w:eastAsia="仿宋"/>
          <w:sz w:val="32"/>
          <w:szCs w:val="32"/>
        </w:rPr>
        <w:br w:type="page"/>
      </w:r>
    </w:p>
    <w:p>
      <w:pPr>
        <w:pStyle w:val="3"/>
        <w:ind w:right="440"/>
        <w:jc w:val="center"/>
        <w:rPr>
          <w:rStyle w:val="26"/>
          <w:rFonts w:eastAsia="黑体"/>
          <w:b w:val="0"/>
          <w:bCs/>
        </w:rPr>
      </w:pPr>
      <w:bookmarkStart w:id="42" w:name="_Toc15396602"/>
      <w:bookmarkStart w:id="43" w:name="_Toc11919"/>
      <w:bookmarkStart w:id="44" w:name="_Toc15377204"/>
      <w:bookmarkStart w:id="45" w:name="_Toc17348"/>
      <w:bookmarkStart w:id="46" w:name="_Toc22621"/>
      <w:bookmarkStart w:id="47" w:name="_Toc13684"/>
      <w:r>
        <w:rPr>
          <w:rFonts w:eastAsia="黑体"/>
          <w:b w:val="0"/>
        </w:rPr>
        <w:t>第二部分 2021年度</w:t>
      </w:r>
      <w:r>
        <w:rPr>
          <w:rStyle w:val="26"/>
          <w:rFonts w:eastAsia="黑体"/>
          <w:b w:val="0"/>
          <w:bCs/>
        </w:rPr>
        <w:t>部门决算情况说明</w:t>
      </w:r>
      <w:bookmarkEnd w:id="42"/>
      <w:bookmarkEnd w:id="43"/>
      <w:bookmarkEnd w:id="44"/>
      <w:bookmarkEnd w:id="45"/>
      <w:bookmarkEnd w:id="46"/>
      <w:bookmarkEnd w:id="47"/>
    </w:p>
    <w:p/>
    <w:p>
      <w:pPr>
        <w:pStyle w:val="25"/>
        <w:spacing w:line="600" w:lineRule="exact"/>
        <w:ind w:left="640" w:firstLine="0" w:firstLineChars="0"/>
        <w:outlineLvl w:val="1"/>
        <w:rPr>
          <w:rStyle w:val="27"/>
          <w:rFonts w:ascii="Times New Roman" w:hAnsi="Times New Roman" w:eastAsia="黑体" w:cs="Times New Roman"/>
          <w:b w:val="0"/>
        </w:rPr>
      </w:pPr>
      <w:bookmarkStart w:id="48" w:name="_Toc29255"/>
      <w:bookmarkStart w:id="49" w:name="_Toc13973"/>
      <w:bookmarkStart w:id="50" w:name="_Toc600"/>
      <w:bookmarkStart w:id="51" w:name="_Toc26154"/>
      <w:bookmarkStart w:id="52" w:name="_Toc15377205"/>
      <w:bookmarkStart w:id="53" w:name="_Toc15396603"/>
      <w:r>
        <w:rPr>
          <w:rFonts w:eastAsia="黑体"/>
          <w:sz w:val="32"/>
          <w:szCs w:val="32"/>
        </w:rPr>
        <w:t>一、收</w:t>
      </w:r>
      <w:r>
        <w:rPr>
          <w:rStyle w:val="27"/>
          <w:rFonts w:ascii="Times New Roman" w:hAnsi="Times New Roman" w:eastAsia="黑体" w:cs="Times New Roman"/>
          <w:b w:val="0"/>
        </w:rPr>
        <w:t>入支出决算总体情况说明</w:t>
      </w:r>
      <w:bookmarkEnd w:id="48"/>
      <w:bookmarkEnd w:id="49"/>
      <w:bookmarkEnd w:id="50"/>
      <w:bookmarkEnd w:id="51"/>
      <w:bookmarkEnd w:id="52"/>
      <w:bookmarkEnd w:id="53"/>
    </w:p>
    <w:p>
      <w:pPr>
        <w:spacing w:line="600" w:lineRule="exact"/>
        <w:ind w:firstLine="640" w:firstLineChars="200"/>
        <w:rPr>
          <w:rFonts w:eastAsia="仿宋_GB2312"/>
          <w:sz w:val="32"/>
          <w:szCs w:val="32"/>
        </w:rPr>
      </w:pPr>
      <w:r>
        <w:rPr>
          <w:rFonts w:eastAsia="仿宋"/>
          <w:sz w:val="32"/>
          <w:szCs w:val="32"/>
        </w:rPr>
        <w:t>2021年度收、支总计11783.97万元。与2020年相比，收、支总计各减少2157.14万元，下降15.47%。主要变动原因</w:t>
      </w:r>
      <w:r>
        <w:rPr>
          <w:rFonts w:eastAsia="仿宋_GB2312"/>
          <w:sz w:val="32"/>
          <w:szCs w:val="32"/>
        </w:rPr>
        <w:t>是2021年项目拨款减少所致。</w:t>
      </w:r>
    </w:p>
    <w:p>
      <w:pPr>
        <w:pStyle w:val="2"/>
        <w:spacing w:before="93"/>
        <w:jc w:val="center"/>
        <w:rPr>
          <w:rFonts w:ascii="Times New Roman"/>
        </w:rPr>
      </w:pPr>
      <w:r>
        <w:rPr>
          <w:rFonts w:ascii="Times New Roman"/>
        </w:rP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eastAsia="仿宋"/>
          <w:sz w:val="32"/>
          <w:szCs w:val="32"/>
        </w:rPr>
      </w:pPr>
      <w:r>
        <w:rPr>
          <w:rFonts w:eastAsia="仿宋"/>
          <w:sz w:val="32"/>
          <w:szCs w:val="32"/>
        </w:rPr>
        <w:t>（图1：收、支决算总计变动情况图）</w:t>
      </w:r>
    </w:p>
    <w:p>
      <w:pPr>
        <w:spacing w:line="600" w:lineRule="exact"/>
        <w:ind w:firstLine="640" w:firstLineChars="200"/>
        <w:jc w:val="left"/>
        <w:rPr>
          <w:rFonts w:eastAsia="仿宋_GB2312"/>
          <w:sz w:val="32"/>
          <w:szCs w:val="32"/>
        </w:rPr>
      </w:pPr>
    </w:p>
    <w:p>
      <w:pPr>
        <w:pStyle w:val="25"/>
        <w:spacing w:line="600" w:lineRule="exact"/>
        <w:ind w:left="640" w:firstLine="0" w:firstLineChars="0"/>
        <w:outlineLvl w:val="1"/>
        <w:rPr>
          <w:rStyle w:val="27"/>
          <w:rFonts w:ascii="Times New Roman" w:hAnsi="Times New Roman" w:eastAsia="黑体" w:cs="Times New Roman"/>
          <w:b w:val="0"/>
        </w:rPr>
      </w:pPr>
      <w:bookmarkStart w:id="54" w:name="_Toc12662"/>
      <w:bookmarkStart w:id="55" w:name="_Toc15377206"/>
      <w:bookmarkStart w:id="56" w:name="_Toc8067"/>
      <w:bookmarkStart w:id="57" w:name="_Toc15396604"/>
      <w:bookmarkStart w:id="58" w:name="_Toc10509"/>
      <w:bookmarkStart w:id="59" w:name="_Toc28809"/>
      <w:r>
        <w:rPr>
          <w:rFonts w:eastAsia="黑体"/>
          <w:sz w:val="32"/>
          <w:szCs w:val="32"/>
        </w:rPr>
        <w:t>二、收</w:t>
      </w:r>
      <w:r>
        <w:rPr>
          <w:rStyle w:val="27"/>
          <w:rFonts w:ascii="Times New Roman" w:hAnsi="Times New Roman" w:eastAsia="黑体" w:cs="Times New Roman"/>
          <w:b w:val="0"/>
        </w:rPr>
        <w:t>入决算情况说明</w:t>
      </w:r>
      <w:bookmarkEnd w:id="54"/>
      <w:bookmarkEnd w:id="55"/>
      <w:bookmarkEnd w:id="56"/>
      <w:bookmarkEnd w:id="57"/>
      <w:bookmarkEnd w:id="58"/>
      <w:bookmarkEnd w:id="59"/>
    </w:p>
    <w:p>
      <w:pPr>
        <w:spacing w:line="600" w:lineRule="exact"/>
        <w:ind w:firstLine="640" w:firstLineChars="200"/>
        <w:rPr>
          <w:rFonts w:eastAsia="仿宋"/>
          <w:sz w:val="32"/>
          <w:szCs w:val="32"/>
        </w:rPr>
      </w:pPr>
      <w:r>
        <w:rPr>
          <w:rFonts w:eastAsia="仿宋"/>
          <w:sz w:val="32"/>
          <w:szCs w:val="32"/>
        </w:rPr>
        <w:t>2021年本年收入合计11470.42万元，其中：一般公共预算财政拨款收入11059.41万元，占96.42%；政府性基金预算财政拨款收入3</w:t>
      </w:r>
      <w:r>
        <w:rPr>
          <w:rFonts w:hint="eastAsia" w:eastAsia="仿宋"/>
          <w:sz w:val="32"/>
          <w:szCs w:val="32"/>
        </w:rPr>
        <w:t>1</w:t>
      </w:r>
      <w:r>
        <w:rPr>
          <w:rFonts w:eastAsia="仿宋"/>
          <w:sz w:val="32"/>
          <w:szCs w:val="32"/>
        </w:rPr>
        <w:t>4.00万元，占2.74%；其他收入97.01万元，占0.84%。</w:t>
      </w:r>
    </w:p>
    <w:p>
      <w:pPr>
        <w:pStyle w:val="2"/>
        <w:spacing w:before="93"/>
        <w:jc w:val="center"/>
        <w:rPr>
          <w:rFonts w:ascii="Times New Roman"/>
        </w:rPr>
      </w:pPr>
      <w:r>
        <w:rPr>
          <w:rFonts w:ascii="Times New Roman"/>
        </w:rPr>
        <w:drawing>
          <wp:inline distT="0" distB="0" distL="114300" distR="114300">
            <wp:extent cx="4572000" cy="2743200"/>
            <wp:effectExtent l="4445" t="4445" r="1460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rPr>
          <w:rFonts w:eastAsia="仿宋"/>
          <w:sz w:val="32"/>
          <w:szCs w:val="32"/>
        </w:rPr>
      </w:pPr>
      <w:r>
        <w:rPr>
          <w:rFonts w:eastAsia="仿宋"/>
          <w:sz w:val="32"/>
          <w:szCs w:val="32"/>
        </w:rPr>
        <w:t>（图2：收入决算结构图）</w:t>
      </w:r>
    </w:p>
    <w:p>
      <w:pPr>
        <w:spacing w:line="600" w:lineRule="exact"/>
        <w:ind w:firstLine="640" w:firstLineChars="200"/>
        <w:rPr>
          <w:rFonts w:eastAsia="仿宋_GB2312"/>
          <w:sz w:val="32"/>
          <w:szCs w:val="32"/>
        </w:rPr>
      </w:pPr>
    </w:p>
    <w:p>
      <w:pPr>
        <w:pStyle w:val="25"/>
        <w:spacing w:line="600" w:lineRule="exact"/>
        <w:ind w:left="640" w:firstLine="0" w:firstLineChars="0"/>
        <w:outlineLvl w:val="1"/>
        <w:rPr>
          <w:rStyle w:val="27"/>
          <w:rFonts w:ascii="Times New Roman" w:hAnsi="Times New Roman" w:eastAsia="黑体" w:cs="Times New Roman"/>
          <w:b w:val="0"/>
        </w:rPr>
      </w:pPr>
      <w:bookmarkStart w:id="60" w:name="_Toc15377207"/>
      <w:bookmarkStart w:id="61" w:name="_Toc15396605"/>
      <w:bookmarkStart w:id="62" w:name="_Toc21916"/>
      <w:bookmarkStart w:id="63" w:name="_Toc25177"/>
      <w:bookmarkStart w:id="64" w:name="_Toc18389"/>
      <w:bookmarkStart w:id="65" w:name="_Toc461"/>
      <w:r>
        <w:rPr>
          <w:rFonts w:eastAsia="黑体"/>
          <w:sz w:val="32"/>
          <w:szCs w:val="32"/>
        </w:rPr>
        <w:t>三、支</w:t>
      </w:r>
      <w:r>
        <w:rPr>
          <w:rStyle w:val="27"/>
          <w:rFonts w:ascii="Times New Roman" w:hAnsi="Times New Roman" w:eastAsia="黑体" w:cs="Times New Roman"/>
          <w:b w:val="0"/>
        </w:rPr>
        <w:t>出决算情况说明</w:t>
      </w:r>
      <w:bookmarkEnd w:id="60"/>
      <w:bookmarkEnd w:id="61"/>
      <w:bookmarkEnd w:id="62"/>
      <w:bookmarkEnd w:id="63"/>
      <w:bookmarkEnd w:id="64"/>
      <w:bookmarkEnd w:id="65"/>
    </w:p>
    <w:p>
      <w:pPr>
        <w:spacing w:line="600" w:lineRule="exact"/>
        <w:ind w:firstLine="640" w:firstLineChars="200"/>
        <w:rPr>
          <w:rFonts w:eastAsia="仿宋"/>
          <w:sz w:val="32"/>
          <w:szCs w:val="32"/>
        </w:rPr>
      </w:pPr>
      <w:r>
        <w:rPr>
          <w:rFonts w:eastAsia="仿宋"/>
          <w:sz w:val="32"/>
          <w:szCs w:val="32"/>
        </w:rPr>
        <w:t>2021年本年支出合计11783.77万元，其中：基本支出8523.88万元，占72.34%；项目支出3259.89万元，占27.66%。</w:t>
      </w:r>
    </w:p>
    <w:p>
      <w:pPr>
        <w:pStyle w:val="2"/>
        <w:spacing w:before="93"/>
        <w:jc w:val="center"/>
        <w:rPr>
          <w:rFonts w:ascii="Times New Roman"/>
        </w:rPr>
      </w:pPr>
      <w:r>
        <w:rPr>
          <w:rFonts w:ascii="Times New Roman"/>
        </w:rP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eastAsia="仿宋"/>
          <w:sz w:val="32"/>
          <w:szCs w:val="32"/>
        </w:rPr>
      </w:pPr>
      <w:r>
        <w:rPr>
          <w:rFonts w:eastAsia="仿宋"/>
          <w:sz w:val="32"/>
          <w:szCs w:val="32"/>
        </w:rPr>
        <w:t>（图3：支出决算结构图）</w:t>
      </w:r>
    </w:p>
    <w:p>
      <w:pPr>
        <w:spacing w:line="600" w:lineRule="exact"/>
        <w:ind w:firstLine="640" w:firstLineChars="200"/>
        <w:rPr>
          <w:rFonts w:eastAsia="仿宋_GB2312"/>
          <w:sz w:val="32"/>
          <w:szCs w:val="32"/>
        </w:rPr>
      </w:pPr>
    </w:p>
    <w:p>
      <w:pPr>
        <w:spacing w:line="600" w:lineRule="exact"/>
        <w:ind w:firstLine="640" w:firstLineChars="200"/>
        <w:outlineLvl w:val="1"/>
        <w:rPr>
          <w:rStyle w:val="27"/>
          <w:rFonts w:ascii="Times New Roman" w:hAnsi="Times New Roman" w:eastAsia="黑体" w:cs="Times New Roman"/>
          <w:b w:val="0"/>
        </w:rPr>
      </w:pPr>
      <w:bookmarkStart w:id="66" w:name="_Toc24322"/>
      <w:bookmarkStart w:id="67" w:name="_Toc506"/>
      <w:bookmarkStart w:id="68" w:name="_Toc23817"/>
      <w:bookmarkStart w:id="69" w:name="_Toc15396606"/>
      <w:bookmarkStart w:id="70" w:name="_Toc15377208"/>
      <w:bookmarkStart w:id="71" w:name="_Toc15077"/>
      <w:r>
        <w:rPr>
          <w:rFonts w:eastAsia="黑体"/>
          <w:sz w:val="32"/>
          <w:szCs w:val="32"/>
        </w:rPr>
        <w:t>四、财</w:t>
      </w:r>
      <w:r>
        <w:rPr>
          <w:rStyle w:val="27"/>
          <w:rFonts w:ascii="Times New Roman" w:hAnsi="Times New Roman" w:eastAsia="黑体" w:cs="Times New Roman"/>
          <w:b w:val="0"/>
        </w:rPr>
        <w:t>政拨款收入支出决算总体情况说明</w:t>
      </w:r>
      <w:bookmarkEnd w:id="66"/>
      <w:bookmarkEnd w:id="67"/>
      <w:bookmarkEnd w:id="68"/>
      <w:bookmarkEnd w:id="69"/>
      <w:bookmarkEnd w:id="70"/>
      <w:bookmarkEnd w:id="71"/>
    </w:p>
    <w:p>
      <w:pPr>
        <w:spacing w:line="600" w:lineRule="exact"/>
        <w:ind w:firstLine="640"/>
        <w:rPr>
          <w:rFonts w:eastAsia="仿宋_GB2312"/>
          <w:sz w:val="32"/>
          <w:szCs w:val="32"/>
        </w:rPr>
      </w:pPr>
      <w:r>
        <w:rPr>
          <w:rFonts w:eastAsia="仿宋"/>
          <w:sz w:val="32"/>
          <w:szCs w:val="32"/>
        </w:rPr>
        <w:t>2021年财政拨款收、支总计11683.75万元。与2020年相比，财政拨款收、支总计各减少1925.18万元，下降14.15%。主要变动原因是</w:t>
      </w:r>
      <w:r>
        <w:rPr>
          <w:rFonts w:eastAsia="仿宋_GB2312"/>
          <w:sz w:val="32"/>
          <w:szCs w:val="32"/>
        </w:rPr>
        <w:t>2021年项目拨款减少所致。</w:t>
      </w:r>
    </w:p>
    <w:p>
      <w:pPr>
        <w:pStyle w:val="2"/>
        <w:spacing w:before="93"/>
        <w:jc w:val="center"/>
        <w:rPr>
          <w:rFonts w:ascii="Times New Roman"/>
        </w:rPr>
      </w:pPr>
      <w:r>
        <w:rPr>
          <w:rFonts w:ascii="Times New Roman"/>
        </w:rPr>
        <w:drawing>
          <wp:inline distT="0" distB="0" distL="114300" distR="114300">
            <wp:extent cx="4572000" cy="2781300"/>
            <wp:effectExtent l="4445" t="4445" r="14605" b="1460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jc w:val="center"/>
        <w:rPr>
          <w:rFonts w:eastAsia="仿宋"/>
          <w:sz w:val="32"/>
          <w:szCs w:val="32"/>
        </w:rPr>
      </w:pPr>
      <w:r>
        <w:rPr>
          <w:rFonts w:eastAsia="仿宋"/>
          <w:sz w:val="32"/>
          <w:szCs w:val="32"/>
        </w:rPr>
        <w:t>（图4：财政拨款收、支决算总计变动情况）</w:t>
      </w:r>
    </w:p>
    <w:p>
      <w:pPr>
        <w:spacing w:line="600" w:lineRule="exact"/>
        <w:ind w:firstLine="640"/>
        <w:rPr>
          <w:rFonts w:eastAsia="仿宋"/>
          <w:b/>
          <w:sz w:val="32"/>
          <w:szCs w:val="32"/>
        </w:rPr>
      </w:pPr>
    </w:p>
    <w:p>
      <w:pPr>
        <w:spacing w:line="600" w:lineRule="exact"/>
        <w:ind w:firstLine="640" w:firstLineChars="200"/>
        <w:outlineLvl w:val="1"/>
        <w:rPr>
          <w:rStyle w:val="27"/>
          <w:rFonts w:ascii="Times New Roman" w:hAnsi="Times New Roman" w:eastAsia="黑体" w:cs="Times New Roman"/>
          <w:b w:val="0"/>
        </w:rPr>
      </w:pPr>
      <w:bookmarkStart w:id="72" w:name="_Toc14509"/>
      <w:bookmarkStart w:id="73" w:name="_Toc30974"/>
      <w:bookmarkStart w:id="74" w:name="_Toc15396607"/>
      <w:bookmarkStart w:id="75" w:name="_Toc7417"/>
      <w:bookmarkStart w:id="76" w:name="_Toc15377209"/>
      <w:bookmarkStart w:id="77" w:name="_Toc8777"/>
      <w:r>
        <w:rPr>
          <w:rFonts w:eastAsia="黑体"/>
          <w:sz w:val="32"/>
          <w:szCs w:val="32"/>
        </w:rPr>
        <w:t>五、</w:t>
      </w:r>
      <w:r>
        <w:rPr>
          <w:rFonts w:eastAsia="黑体"/>
          <w:b/>
          <w:sz w:val="32"/>
          <w:szCs w:val="32"/>
        </w:rPr>
        <w:t>一</w:t>
      </w:r>
      <w:r>
        <w:rPr>
          <w:rStyle w:val="27"/>
          <w:rFonts w:ascii="Times New Roman" w:hAnsi="Times New Roman" w:eastAsia="黑体" w:cs="Times New Roman"/>
          <w:b w:val="0"/>
        </w:rPr>
        <w:t>般公共预算财政拨款支出决算情况说明</w:t>
      </w:r>
      <w:bookmarkEnd w:id="72"/>
      <w:bookmarkEnd w:id="73"/>
      <w:bookmarkEnd w:id="74"/>
      <w:bookmarkEnd w:id="75"/>
      <w:bookmarkEnd w:id="76"/>
      <w:bookmarkEnd w:id="77"/>
    </w:p>
    <w:p>
      <w:pPr>
        <w:spacing w:line="600" w:lineRule="exact"/>
        <w:ind w:firstLine="643" w:firstLineChars="200"/>
        <w:rPr>
          <w:rFonts w:eastAsia="仿宋"/>
          <w:b/>
          <w:sz w:val="32"/>
          <w:szCs w:val="32"/>
        </w:rPr>
      </w:pPr>
      <w:bookmarkStart w:id="78" w:name="_Toc15377210"/>
      <w:r>
        <w:rPr>
          <w:rFonts w:eastAsia="仿宋"/>
          <w:b/>
          <w:sz w:val="32"/>
          <w:szCs w:val="32"/>
        </w:rPr>
        <w:t>（一）一般公共预算财政拨款支出决算总体情况</w:t>
      </w:r>
      <w:bookmarkEnd w:id="78"/>
    </w:p>
    <w:p>
      <w:pPr>
        <w:spacing w:line="600" w:lineRule="exact"/>
        <w:ind w:firstLine="640" w:firstLineChars="200"/>
        <w:rPr>
          <w:rFonts w:eastAsia="仿宋"/>
          <w:sz w:val="32"/>
          <w:szCs w:val="32"/>
        </w:rPr>
      </w:pPr>
      <w:r>
        <w:rPr>
          <w:rFonts w:eastAsia="仿宋"/>
          <w:sz w:val="32"/>
          <w:szCs w:val="32"/>
        </w:rPr>
        <w:t>2021年一般公共预算财政拨款支出11369.75万元，占本年支出合计的96.49%。与2020年相比，一般公共预算财政拨款支出增加1560.03万元，增长15.90%。主要变动原因是2020年由</w:t>
      </w:r>
      <w:r>
        <w:rPr>
          <w:rStyle w:val="16"/>
          <w:rFonts w:eastAsia="仿宋"/>
          <w:b w:val="0"/>
          <w:bCs/>
          <w:color w:val="000000"/>
          <w:sz w:val="32"/>
          <w:szCs w:val="32"/>
        </w:rPr>
        <w:t>政府性基金预算安排的部分支出在2021年调整为</w:t>
      </w:r>
      <w:r>
        <w:rPr>
          <w:rFonts w:eastAsia="仿宋"/>
          <w:sz w:val="32"/>
          <w:szCs w:val="32"/>
        </w:rPr>
        <w:t>一般公共预算财政拨款支出所致。</w:t>
      </w:r>
    </w:p>
    <w:p>
      <w:pPr>
        <w:spacing w:line="600" w:lineRule="exact"/>
        <w:ind w:firstLine="640" w:firstLineChars="200"/>
        <w:rPr>
          <w:rFonts w:eastAsia="仿宋"/>
          <w:sz w:val="32"/>
          <w:szCs w:val="32"/>
        </w:rPr>
      </w:pPr>
    </w:p>
    <w:p>
      <w:pPr>
        <w:pStyle w:val="2"/>
        <w:spacing w:before="93"/>
        <w:rPr>
          <w:rFonts w:ascii="Times New Roman" w:eastAsia="仿宋"/>
          <w:sz w:val="32"/>
          <w:szCs w:val="32"/>
        </w:rPr>
      </w:pPr>
    </w:p>
    <w:p>
      <w:pPr>
        <w:pStyle w:val="2"/>
        <w:spacing w:before="93"/>
        <w:jc w:val="center"/>
        <w:rPr>
          <w:rFonts w:ascii="Times New Roman" w:eastAsia="仿宋"/>
          <w:sz w:val="32"/>
          <w:szCs w:val="32"/>
        </w:rPr>
      </w:pPr>
      <w:r>
        <w:rPr>
          <w:rFonts w:ascii="Times New Roman"/>
        </w:rPr>
        <w:drawing>
          <wp:inline distT="0" distB="0" distL="114300" distR="114300">
            <wp:extent cx="4572000" cy="3009900"/>
            <wp:effectExtent l="4445" t="4445" r="14605" b="1460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eastAsia="仿宋"/>
          <w:w w:val="99"/>
          <w:sz w:val="32"/>
          <w:szCs w:val="32"/>
        </w:rPr>
      </w:pPr>
      <w:r>
        <w:rPr>
          <w:rFonts w:eastAsia="仿宋"/>
          <w:w w:val="99"/>
          <w:sz w:val="32"/>
          <w:szCs w:val="32"/>
        </w:rPr>
        <w:t>（图5：一般公共预算财政拨款支出决算变动情况）</w:t>
      </w:r>
    </w:p>
    <w:p>
      <w:pPr>
        <w:spacing w:line="600" w:lineRule="exact"/>
        <w:ind w:firstLine="640" w:firstLineChars="200"/>
        <w:rPr>
          <w:rFonts w:eastAsia="仿宋"/>
          <w:sz w:val="32"/>
          <w:szCs w:val="32"/>
        </w:rPr>
      </w:pPr>
    </w:p>
    <w:p>
      <w:pPr>
        <w:spacing w:line="600" w:lineRule="exact"/>
        <w:ind w:firstLine="643" w:firstLineChars="200"/>
        <w:rPr>
          <w:rFonts w:eastAsia="仿宋"/>
          <w:b/>
          <w:sz w:val="32"/>
          <w:szCs w:val="32"/>
        </w:rPr>
      </w:pPr>
      <w:bookmarkStart w:id="79" w:name="_Toc15377211"/>
      <w:r>
        <w:rPr>
          <w:rFonts w:eastAsia="仿宋"/>
          <w:b/>
          <w:sz w:val="32"/>
          <w:szCs w:val="32"/>
        </w:rPr>
        <w:t>（二）一般公共预算财政拨款支出决算结构情况</w:t>
      </w:r>
      <w:bookmarkEnd w:id="79"/>
    </w:p>
    <w:p>
      <w:pPr>
        <w:spacing w:line="600" w:lineRule="exact"/>
        <w:ind w:firstLine="640"/>
        <w:rPr>
          <w:rFonts w:eastAsia="仿宋"/>
          <w:sz w:val="32"/>
          <w:szCs w:val="32"/>
        </w:rPr>
      </w:pPr>
      <w:r>
        <w:rPr>
          <w:rFonts w:eastAsia="仿宋"/>
          <w:sz w:val="32"/>
          <w:szCs w:val="32"/>
        </w:rPr>
        <w:t>2021年一般公共预算财政拨款支出11369.75万元，主要用于以下方面</w:t>
      </w:r>
      <w:r>
        <w:rPr>
          <w:rFonts w:hint="eastAsia" w:eastAsia="仿宋"/>
          <w:sz w:val="32"/>
          <w:szCs w:val="32"/>
        </w:rPr>
        <w:t>：</w:t>
      </w:r>
      <w:r>
        <w:rPr>
          <w:rFonts w:eastAsia="仿宋"/>
          <w:b/>
          <w:sz w:val="32"/>
          <w:szCs w:val="32"/>
        </w:rPr>
        <w:t>一般公共服务（类）</w:t>
      </w:r>
      <w:r>
        <w:rPr>
          <w:rFonts w:eastAsia="仿宋"/>
          <w:sz w:val="32"/>
          <w:szCs w:val="32"/>
        </w:rPr>
        <w:t>支出91.62万元，占0.81%；</w:t>
      </w:r>
      <w:r>
        <w:rPr>
          <w:rFonts w:eastAsia="仿宋"/>
          <w:b/>
          <w:sz w:val="32"/>
          <w:szCs w:val="32"/>
        </w:rPr>
        <w:t>科学技术（类）</w:t>
      </w:r>
      <w:r>
        <w:rPr>
          <w:rFonts w:eastAsia="仿宋"/>
          <w:sz w:val="32"/>
          <w:szCs w:val="32"/>
        </w:rPr>
        <w:t>支出17.90万元，占0.16%；</w:t>
      </w:r>
      <w:r>
        <w:rPr>
          <w:rFonts w:eastAsia="仿宋"/>
          <w:b/>
          <w:bCs/>
          <w:sz w:val="32"/>
          <w:szCs w:val="32"/>
        </w:rPr>
        <w:t>文化旅游体育与传媒（类）</w:t>
      </w:r>
      <w:r>
        <w:rPr>
          <w:rFonts w:eastAsia="仿宋"/>
          <w:sz w:val="32"/>
          <w:szCs w:val="32"/>
        </w:rPr>
        <w:t>支出9487.66万元，占83.45%；</w:t>
      </w:r>
      <w:r>
        <w:rPr>
          <w:rFonts w:eastAsia="仿宋"/>
          <w:b/>
          <w:sz w:val="32"/>
          <w:szCs w:val="32"/>
        </w:rPr>
        <w:t>社会保障和就业（类）</w:t>
      </w:r>
      <w:r>
        <w:rPr>
          <w:rFonts w:eastAsia="仿宋"/>
          <w:sz w:val="32"/>
          <w:szCs w:val="32"/>
        </w:rPr>
        <w:t>支出1321.48万元，占11.62%；</w:t>
      </w:r>
      <w:r>
        <w:rPr>
          <w:rFonts w:eastAsia="仿宋"/>
          <w:b/>
          <w:bCs/>
          <w:color w:val="000000"/>
          <w:sz w:val="32"/>
          <w:szCs w:val="32"/>
        </w:rPr>
        <w:t>城乡社区（类）</w:t>
      </w:r>
      <w:r>
        <w:rPr>
          <w:rFonts w:eastAsia="仿宋"/>
          <w:color w:val="000000"/>
          <w:sz w:val="32"/>
          <w:szCs w:val="32"/>
        </w:rPr>
        <w:t>支出52.50万元，占0.45%；</w:t>
      </w:r>
      <w:r>
        <w:rPr>
          <w:rFonts w:eastAsia="仿宋"/>
          <w:b/>
          <w:bCs/>
          <w:color w:val="000000"/>
          <w:sz w:val="32"/>
          <w:szCs w:val="32"/>
        </w:rPr>
        <w:t>住房保障（类）</w:t>
      </w:r>
      <w:r>
        <w:rPr>
          <w:rFonts w:eastAsia="仿宋"/>
          <w:sz w:val="32"/>
          <w:szCs w:val="32"/>
        </w:rPr>
        <w:t>支出398.59万元，占3.51%。</w:t>
      </w:r>
    </w:p>
    <w:p>
      <w:pPr>
        <w:spacing w:line="600" w:lineRule="exact"/>
        <w:ind w:firstLine="640" w:firstLineChars="200"/>
        <w:rPr>
          <w:rFonts w:eastAsia="仿宋"/>
          <w:sz w:val="32"/>
          <w:szCs w:val="32"/>
        </w:rPr>
      </w:pPr>
    </w:p>
    <w:p>
      <w:pPr>
        <w:pStyle w:val="2"/>
        <w:spacing w:before="93"/>
        <w:jc w:val="center"/>
        <w:rPr>
          <w:rFonts w:ascii="Times New Roman"/>
        </w:rPr>
      </w:pPr>
      <w:r>
        <w:rPr>
          <w:rFonts w:ascii="Times New Roman"/>
        </w:rPr>
        <w:drawing>
          <wp:inline distT="0" distB="0" distL="114300" distR="114300">
            <wp:extent cx="4572000" cy="3581400"/>
            <wp:effectExtent l="0" t="0" r="19050" b="1905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jc w:val="center"/>
        <w:rPr>
          <w:rFonts w:eastAsia="仿宋"/>
          <w:sz w:val="32"/>
          <w:szCs w:val="32"/>
        </w:rPr>
      </w:pPr>
      <w:r>
        <w:rPr>
          <w:rFonts w:eastAsia="仿宋"/>
          <w:sz w:val="32"/>
          <w:szCs w:val="32"/>
        </w:rPr>
        <w:t>（图6：一般公共预算财政拨款支出决算结构）</w:t>
      </w:r>
    </w:p>
    <w:p>
      <w:pPr>
        <w:spacing w:line="600" w:lineRule="exact"/>
        <w:ind w:firstLine="640" w:firstLineChars="200"/>
        <w:rPr>
          <w:rFonts w:eastAsia="仿宋"/>
          <w:sz w:val="32"/>
          <w:szCs w:val="32"/>
        </w:rPr>
      </w:pPr>
    </w:p>
    <w:p>
      <w:pPr>
        <w:spacing w:line="600" w:lineRule="exact"/>
        <w:ind w:firstLine="643" w:firstLineChars="200"/>
        <w:rPr>
          <w:rFonts w:eastAsia="仿宋"/>
          <w:b/>
          <w:sz w:val="32"/>
          <w:szCs w:val="32"/>
        </w:rPr>
      </w:pPr>
      <w:bookmarkStart w:id="80" w:name="_Toc15377212"/>
      <w:r>
        <w:rPr>
          <w:rFonts w:eastAsia="仿宋"/>
          <w:b/>
          <w:sz w:val="32"/>
          <w:szCs w:val="32"/>
        </w:rPr>
        <w:t>（三）一般公共预算财政拨款支出决算具体情况</w:t>
      </w:r>
      <w:bookmarkEnd w:id="80"/>
    </w:p>
    <w:p>
      <w:pPr>
        <w:spacing w:line="600" w:lineRule="exact"/>
        <w:ind w:firstLine="643" w:firstLineChars="200"/>
        <w:rPr>
          <w:rFonts w:eastAsia="仿宋"/>
          <w:sz w:val="32"/>
          <w:szCs w:val="32"/>
        </w:rPr>
      </w:pPr>
      <w:bookmarkStart w:id="81" w:name="_Toc15377213"/>
      <w:bookmarkStart w:id="82" w:name="_Toc15377444"/>
      <w:bookmarkStart w:id="83" w:name="_Toc15378460"/>
      <w:r>
        <w:rPr>
          <w:rFonts w:eastAsia="仿宋"/>
          <w:b/>
          <w:sz w:val="32"/>
          <w:szCs w:val="32"/>
        </w:rPr>
        <w:t>2021年一般公共预算支出决算数为</w:t>
      </w:r>
      <w:r>
        <w:rPr>
          <w:rFonts w:eastAsia="仿宋"/>
          <w:sz w:val="32"/>
          <w:szCs w:val="32"/>
        </w:rPr>
        <w:t>11369.75万元，</w:t>
      </w:r>
      <w:r>
        <w:rPr>
          <w:rStyle w:val="16"/>
          <w:rFonts w:eastAsia="仿宋"/>
          <w:bCs/>
          <w:sz w:val="32"/>
          <w:szCs w:val="32"/>
        </w:rPr>
        <w:t>完成预算100%。其中：</w:t>
      </w:r>
      <w:bookmarkEnd w:id="81"/>
      <w:bookmarkEnd w:id="82"/>
      <w:bookmarkEnd w:id="83"/>
    </w:p>
    <w:p>
      <w:pPr>
        <w:spacing w:line="600" w:lineRule="exact"/>
        <w:ind w:firstLine="643" w:firstLineChars="200"/>
        <w:rPr>
          <w:rFonts w:eastAsia="仿宋"/>
          <w:b/>
          <w:sz w:val="32"/>
          <w:szCs w:val="32"/>
        </w:rPr>
      </w:pPr>
      <w:r>
        <w:rPr>
          <w:rStyle w:val="16"/>
          <w:rFonts w:eastAsia="仿宋"/>
          <w:bCs/>
          <w:sz w:val="32"/>
          <w:szCs w:val="32"/>
        </w:rPr>
        <w:t>1</w:t>
      </w:r>
      <w:r>
        <w:rPr>
          <w:b/>
          <w:bCs/>
          <w:sz w:val="32"/>
          <w:szCs w:val="32"/>
        </w:rPr>
        <w:t>．</w:t>
      </w:r>
      <w:r>
        <w:rPr>
          <w:rStyle w:val="16"/>
          <w:rFonts w:eastAsia="仿宋"/>
          <w:bCs/>
          <w:sz w:val="32"/>
          <w:szCs w:val="32"/>
        </w:rPr>
        <w:t>一般公共服务（类）商贸事务（款）招商引资（项）</w:t>
      </w:r>
      <w:r>
        <w:rPr>
          <w:rStyle w:val="16"/>
          <w:rFonts w:eastAsia="仿宋"/>
          <w:bCs/>
          <w:color w:val="000000"/>
          <w:sz w:val="32"/>
          <w:szCs w:val="32"/>
        </w:rPr>
        <w:t>：</w:t>
      </w:r>
      <w:r>
        <w:rPr>
          <w:rStyle w:val="16"/>
          <w:rFonts w:eastAsia="仿宋"/>
          <w:b w:val="0"/>
          <w:bCs/>
          <w:sz w:val="32"/>
          <w:szCs w:val="32"/>
        </w:rPr>
        <w:t>支出决算为27.13万元，完成预算100%。</w:t>
      </w:r>
    </w:p>
    <w:p>
      <w:pPr>
        <w:spacing w:line="600" w:lineRule="exact"/>
        <w:ind w:firstLine="643" w:firstLineChars="200"/>
        <w:rPr>
          <w:rFonts w:eastAsia="仿宋"/>
          <w:b/>
          <w:sz w:val="32"/>
          <w:szCs w:val="32"/>
        </w:rPr>
      </w:pPr>
      <w:r>
        <w:rPr>
          <w:rStyle w:val="16"/>
          <w:rFonts w:eastAsia="仿宋"/>
          <w:bCs/>
          <w:sz w:val="32"/>
          <w:szCs w:val="32"/>
        </w:rPr>
        <w:t>2</w:t>
      </w:r>
      <w:r>
        <w:rPr>
          <w:b/>
          <w:bCs/>
          <w:sz w:val="32"/>
          <w:szCs w:val="32"/>
        </w:rPr>
        <w:t>．</w:t>
      </w:r>
      <w:r>
        <w:rPr>
          <w:rStyle w:val="16"/>
          <w:rFonts w:eastAsia="仿宋"/>
          <w:bCs/>
          <w:color w:val="000000"/>
          <w:sz w:val="32"/>
          <w:szCs w:val="32"/>
        </w:rPr>
        <w:t>一般公共服务（类）组织事务（款）其他组织事务支出（项）：</w:t>
      </w:r>
      <w:r>
        <w:rPr>
          <w:rStyle w:val="16"/>
          <w:rFonts w:eastAsia="仿宋"/>
          <w:b w:val="0"/>
          <w:bCs/>
          <w:color w:val="000000"/>
          <w:sz w:val="32"/>
          <w:szCs w:val="32"/>
        </w:rPr>
        <w:t>支出决算为15.95万元，完成预算100%。</w:t>
      </w:r>
    </w:p>
    <w:p>
      <w:pPr>
        <w:spacing w:line="600" w:lineRule="exact"/>
        <w:ind w:firstLine="643" w:firstLineChars="200"/>
        <w:rPr>
          <w:rStyle w:val="16"/>
          <w:rFonts w:eastAsia="仿宋"/>
          <w:bCs/>
          <w:sz w:val="32"/>
          <w:szCs w:val="32"/>
        </w:rPr>
      </w:pPr>
      <w:r>
        <w:rPr>
          <w:rStyle w:val="16"/>
          <w:rFonts w:eastAsia="仿宋"/>
          <w:bCs/>
          <w:sz w:val="32"/>
          <w:szCs w:val="32"/>
        </w:rPr>
        <w:t>3</w:t>
      </w:r>
      <w:r>
        <w:rPr>
          <w:b/>
          <w:bCs/>
          <w:sz w:val="32"/>
          <w:szCs w:val="32"/>
        </w:rPr>
        <w:t>．</w:t>
      </w:r>
      <w:r>
        <w:rPr>
          <w:rStyle w:val="16"/>
          <w:rFonts w:eastAsia="仿宋"/>
          <w:bCs/>
          <w:color w:val="000000"/>
          <w:sz w:val="32"/>
          <w:szCs w:val="32"/>
        </w:rPr>
        <w:t>一般公共服务（类）宣传事务（款）其他宣传事务支出（项）：</w:t>
      </w:r>
      <w:r>
        <w:rPr>
          <w:rStyle w:val="16"/>
          <w:rFonts w:eastAsia="仿宋"/>
          <w:b w:val="0"/>
          <w:bCs/>
          <w:color w:val="000000"/>
          <w:sz w:val="32"/>
          <w:szCs w:val="32"/>
        </w:rPr>
        <w:t>支出决算为48.54万元，完成预算100%。</w:t>
      </w:r>
    </w:p>
    <w:p>
      <w:pPr>
        <w:spacing w:line="600" w:lineRule="exact"/>
        <w:ind w:firstLine="643" w:firstLineChars="200"/>
        <w:rPr>
          <w:rFonts w:eastAsia="仿宋"/>
          <w:b/>
          <w:sz w:val="32"/>
          <w:szCs w:val="32"/>
        </w:rPr>
      </w:pPr>
      <w:r>
        <w:rPr>
          <w:rStyle w:val="16"/>
          <w:rFonts w:eastAsia="仿宋"/>
          <w:bCs/>
          <w:sz w:val="32"/>
          <w:szCs w:val="32"/>
        </w:rPr>
        <w:t>4</w:t>
      </w:r>
      <w:r>
        <w:rPr>
          <w:b/>
          <w:bCs/>
          <w:sz w:val="32"/>
          <w:szCs w:val="32"/>
        </w:rPr>
        <w:t>．</w:t>
      </w:r>
      <w:r>
        <w:rPr>
          <w:rStyle w:val="16"/>
          <w:rFonts w:eastAsia="仿宋"/>
          <w:bCs/>
          <w:color w:val="000000"/>
          <w:sz w:val="32"/>
          <w:szCs w:val="32"/>
        </w:rPr>
        <w:t>科学技术（类）其他科学技术支出（款）其他科学技术支出（项）：</w:t>
      </w:r>
      <w:r>
        <w:rPr>
          <w:rStyle w:val="16"/>
          <w:rFonts w:eastAsia="仿宋"/>
          <w:b w:val="0"/>
          <w:bCs/>
          <w:color w:val="000000"/>
          <w:sz w:val="32"/>
          <w:szCs w:val="32"/>
        </w:rPr>
        <w:t>支出决算为17.90万元，完成预算100%。</w:t>
      </w:r>
    </w:p>
    <w:p>
      <w:pPr>
        <w:spacing w:line="600" w:lineRule="exact"/>
        <w:ind w:firstLine="643" w:firstLineChars="200"/>
        <w:rPr>
          <w:rFonts w:eastAsia="仿宋"/>
          <w:b/>
          <w:sz w:val="32"/>
          <w:szCs w:val="32"/>
        </w:rPr>
      </w:pPr>
      <w:r>
        <w:rPr>
          <w:rStyle w:val="16"/>
          <w:rFonts w:eastAsia="仿宋"/>
          <w:bCs/>
          <w:sz w:val="32"/>
          <w:szCs w:val="32"/>
        </w:rPr>
        <w:t>5</w:t>
      </w:r>
      <w:r>
        <w:rPr>
          <w:b/>
          <w:bCs/>
          <w:sz w:val="32"/>
          <w:szCs w:val="32"/>
        </w:rPr>
        <w:t>．</w:t>
      </w:r>
      <w:r>
        <w:rPr>
          <w:rStyle w:val="16"/>
          <w:rFonts w:eastAsia="仿宋"/>
          <w:bCs/>
          <w:color w:val="000000"/>
          <w:sz w:val="32"/>
          <w:szCs w:val="32"/>
        </w:rPr>
        <w:t>文化旅游体育与传媒（类）文化和旅游（款）行政运行（项）：</w:t>
      </w:r>
      <w:r>
        <w:rPr>
          <w:rStyle w:val="16"/>
          <w:rFonts w:eastAsia="仿宋"/>
          <w:b w:val="0"/>
          <w:bCs/>
          <w:color w:val="000000"/>
          <w:sz w:val="32"/>
          <w:szCs w:val="32"/>
        </w:rPr>
        <w:t>支出决算为1295.09万元，完成预算100%。</w:t>
      </w:r>
    </w:p>
    <w:p>
      <w:pPr>
        <w:spacing w:line="600" w:lineRule="exact"/>
        <w:ind w:firstLine="643" w:firstLineChars="200"/>
        <w:rPr>
          <w:rFonts w:eastAsia="仿宋"/>
          <w:b/>
          <w:sz w:val="32"/>
          <w:szCs w:val="32"/>
        </w:rPr>
      </w:pPr>
      <w:r>
        <w:rPr>
          <w:rStyle w:val="16"/>
          <w:rFonts w:eastAsia="仿宋"/>
          <w:bCs/>
          <w:sz w:val="32"/>
          <w:szCs w:val="32"/>
        </w:rPr>
        <w:t>6</w:t>
      </w:r>
      <w:r>
        <w:rPr>
          <w:b/>
          <w:bCs/>
          <w:sz w:val="32"/>
          <w:szCs w:val="32"/>
        </w:rPr>
        <w:t>．</w:t>
      </w:r>
      <w:r>
        <w:rPr>
          <w:rStyle w:val="16"/>
          <w:rFonts w:eastAsia="仿宋"/>
          <w:bCs/>
          <w:color w:val="000000"/>
          <w:sz w:val="32"/>
          <w:szCs w:val="32"/>
        </w:rPr>
        <w:t>文化旅游体育与传媒（类）文化和旅游（款）一般行政管理事务（项）：</w:t>
      </w:r>
      <w:r>
        <w:rPr>
          <w:rStyle w:val="16"/>
          <w:rFonts w:eastAsia="仿宋"/>
          <w:b w:val="0"/>
          <w:bCs/>
          <w:color w:val="000000"/>
          <w:sz w:val="32"/>
          <w:szCs w:val="32"/>
        </w:rPr>
        <w:t>支出决算为31.27万元，完成预算100%。</w:t>
      </w:r>
    </w:p>
    <w:p>
      <w:pPr>
        <w:spacing w:line="600" w:lineRule="exact"/>
        <w:ind w:firstLine="643" w:firstLineChars="200"/>
        <w:rPr>
          <w:rStyle w:val="16"/>
          <w:rFonts w:eastAsia="仿宋"/>
          <w:b w:val="0"/>
          <w:bCs/>
          <w:color w:val="000000"/>
          <w:sz w:val="32"/>
          <w:szCs w:val="32"/>
        </w:rPr>
      </w:pPr>
      <w:r>
        <w:rPr>
          <w:rStyle w:val="16"/>
          <w:rFonts w:eastAsia="仿宋"/>
          <w:bCs/>
          <w:color w:val="000000"/>
          <w:sz w:val="32"/>
          <w:szCs w:val="32"/>
        </w:rPr>
        <w:t>7．文化旅游体育与传媒（类）文化和旅游（款）图书馆（项）：</w:t>
      </w:r>
      <w:r>
        <w:rPr>
          <w:rStyle w:val="16"/>
          <w:rFonts w:eastAsia="仿宋"/>
          <w:b w:val="0"/>
          <w:bCs/>
          <w:color w:val="000000"/>
          <w:sz w:val="32"/>
          <w:szCs w:val="32"/>
        </w:rPr>
        <w:t>支出决算为413.69万元，完成预算100%。</w:t>
      </w:r>
    </w:p>
    <w:p>
      <w:pPr>
        <w:spacing w:line="600" w:lineRule="exact"/>
        <w:ind w:firstLine="643" w:firstLineChars="200"/>
        <w:rPr>
          <w:rStyle w:val="16"/>
          <w:rFonts w:eastAsia="仿宋"/>
          <w:b w:val="0"/>
          <w:bCs/>
          <w:color w:val="000000"/>
          <w:sz w:val="32"/>
          <w:szCs w:val="32"/>
        </w:rPr>
      </w:pPr>
      <w:r>
        <w:rPr>
          <w:rStyle w:val="16"/>
          <w:rFonts w:eastAsia="仿宋"/>
          <w:bCs/>
          <w:color w:val="000000"/>
          <w:sz w:val="32"/>
          <w:szCs w:val="32"/>
        </w:rPr>
        <w:t>8．文化旅游体育与传媒（类）文化和旅游（款）艺术表演团体（项）：</w:t>
      </w:r>
      <w:r>
        <w:rPr>
          <w:rStyle w:val="16"/>
          <w:rFonts w:eastAsia="仿宋"/>
          <w:b w:val="0"/>
          <w:bCs/>
          <w:color w:val="000000"/>
          <w:sz w:val="32"/>
          <w:szCs w:val="32"/>
        </w:rPr>
        <w:t>支出决算为1884.53万元，完成预算100%。</w:t>
      </w:r>
    </w:p>
    <w:p>
      <w:pPr>
        <w:pStyle w:val="2"/>
        <w:spacing w:before="93"/>
        <w:ind w:firstLine="643" w:firstLineChars="200"/>
        <w:rPr>
          <w:rStyle w:val="16"/>
          <w:rFonts w:ascii="Times New Roman" w:eastAsia="仿宋"/>
          <w:b w:val="0"/>
          <w:bCs/>
          <w:color w:val="000000"/>
          <w:kern w:val="2"/>
          <w:sz w:val="32"/>
          <w:szCs w:val="32"/>
        </w:rPr>
      </w:pPr>
      <w:r>
        <w:rPr>
          <w:rStyle w:val="16"/>
          <w:rFonts w:ascii="Times New Roman" w:eastAsia="仿宋"/>
          <w:bCs/>
          <w:color w:val="000000"/>
          <w:kern w:val="2"/>
          <w:sz w:val="32"/>
          <w:szCs w:val="32"/>
        </w:rPr>
        <w:t>9．文化</w:t>
      </w:r>
      <w:r>
        <w:rPr>
          <w:rStyle w:val="16"/>
          <w:rFonts w:ascii="Times New Roman" w:eastAsia="仿宋"/>
          <w:bCs/>
          <w:color w:val="000000"/>
          <w:sz w:val="32"/>
          <w:szCs w:val="32"/>
        </w:rPr>
        <w:t>旅游体育与传媒（类）文化和旅游（款）群众文化（项）：</w:t>
      </w:r>
      <w:r>
        <w:rPr>
          <w:rStyle w:val="16"/>
          <w:rFonts w:ascii="Times New Roman" w:eastAsia="仿宋"/>
          <w:b w:val="0"/>
          <w:bCs/>
          <w:color w:val="000000"/>
          <w:kern w:val="2"/>
          <w:sz w:val="32"/>
          <w:szCs w:val="32"/>
        </w:rPr>
        <w:t>支出决算为432.78万元，完成预算100%。</w:t>
      </w:r>
    </w:p>
    <w:p>
      <w:pPr>
        <w:pStyle w:val="2"/>
        <w:spacing w:before="93"/>
        <w:ind w:firstLine="643" w:firstLineChars="200"/>
        <w:rPr>
          <w:rStyle w:val="16"/>
          <w:rFonts w:ascii="Times New Roman" w:eastAsia="仿宋"/>
          <w:b w:val="0"/>
          <w:bCs/>
          <w:color w:val="000000"/>
          <w:kern w:val="2"/>
          <w:sz w:val="32"/>
          <w:szCs w:val="32"/>
        </w:rPr>
      </w:pPr>
      <w:r>
        <w:rPr>
          <w:rStyle w:val="16"/>
          <w:rFonts w:ascii="Times New Roman" w:eastAsia="仿宋"/>
          <w:bCs/>
          <w:color w:val="000000"/>
          <w:kern w:val="2"/>
          <w:sz w:val="32"/>
          <w:szCs w:val="32"/>
        </w:rPr>
        <w:t>10．</w:t>
      </w:r>
      <w:r>
        <w:rPr>
          <w:rStyle w:val="16"/>
          <w:rFonts w:ascii="Times New Roman" w:eastAsia="仿宋"/>
          <w:bCs/>
          <w:color w:val="000000"/>
          <w:sz w:val="32"/>
          <w:szCs w:val="32"/>
        </w:rPr>
        <w:t>文化旅游体育与传媒（类）文化和旅游（款）文化创作与保护（项）：</w:t>
      </w:r>
      <w:r>
        <w:rPr>
          <w:rStyle w:val="16"/>
          <w:rFonts w:ascii="Times New Roman" w:eastAsia="仿宋"/>
          <w:b w:val="0"/>
          <w:bCs/>
          <w:color w:val="000000"/>
          <w:kern w:val="2"/>
          <w:sz w:val="32"/>
          <w:szCs w:val="32"/>
        </w:rPr>
        <w:t>支出决算为85.78万元，完成预算100%。</w:t>
      </w:r>
    </w:p>
    <w:p>
      <w:pPr>
        <w:pStyle w:val="2"/>
        <w:spacing w:before="93"/>
        <w:ind w:firstLine="643" w:firstLineChars="200"/>
        <w:rPr>
          <w:rStyle w:val="16"/>
          <w:rFonts w:ascii="Times New Roman" w:eastAsia="仿宋"/>
          <w:b w:val="0"/>
          <w:bCs/>
          <w:color w:val="000000"/>
          <w:kern w:val="2"/>
          <w:sz w:val="32"/>
          <w:szCs w:val="32"/>
        </w:rPr>
      </w:pPr>
      <w:r>
        <w:rPr>
          <w:rStyle w:val="16"/>
          <w:rFonts w:ascii="Times New Roman" w:eastAsia="仿宋"/>
          <w:bCs/>
          <w:color w:val="000000"/>
          <w:kern w:val="2"/>
          <w:sz w:val="32"/>
          <w:szCs w:val="32"/>
        </w:rPr>
        <w:t>11．</w:t>
      </w:r>
      <w:r>
        <w:rPr>
          <w:rStyle w:val="16"/>
          <w:rFonts w:ascii="Times New Roman" w:eastAsia="仿宋"/>
          <w:bCs/>
          <w:color w:val="000000"/>
          <w:sz w:val="32"/>
          <w:szCs w:val="32"/>
        </w:rPr>
        <w:t>文化旅游体育与传媒（类）文化和旅游（款）其他文化和旅游支出（项）：</w:t>
      </w:r>
      <w:r>
        <w:rPr>
          <w:rStyle w:val="16"/>
          <w:rFonts w:ascii="Times New Roman" w:eastAsia="仿宋"/>
          <w:b w:val="0"/>
          <w:bCs/>
          <w:color w:val="000000"/>
          <w:kern w:val="2"/>
          <w:sz w:val="32"/>
          <w:szCs w:val="32"/>
        </w:rPr>
        <w:t>支出决算为605.20万元，完成预算100%。</w:t>
      </w:r>
    </w:p>
    <w:p>
      <w:pPr>
        <w:spacing w:line="600" w:lineRule="exact"/>
        <w:ind w:firstLine="643" w:firstLineChars="200"/>
        <w:rPr>
          <w:rStyle w:val="16"/>
          <w:rFonts w:eastAsia="仿宋"/>
          <w:b w:val="0"/>
          <w:bCs/>
          <w:color w:val="000000"/>
          <w:sz w:val="32"/>
          <w:szCs w:val="32"/>
        </w:rPr>
      </w:pPr>
      <w:r>
        <w:rPr>
          <w:rStyle w:val="16"/>
          <w:rFonts w:eastAsia="仿宋"/>
          <w:bCs/>
          <w:color w:val="000000"/>
          <w:sz w:val="32"/>
          <w:szCs w:val="32"/>
        </w:rPr>
        <w:t>12．文化旅游体育与传媒（类）文物（款）文物保护（项）：</w:t>
      </w:r>
      <w:r>
        <w:rPr>
          <w:rStyle w:val="16"/>
          <w:rFonts w:eastAsia="仿宋"/>
          <w:b w:val="0"/>
          <w:bCs/>
          <w:color w:val="000000"/>
          <w:sz w:val="32"/>
          <w:szCs w:val="32"/>
        </w:rPr>
        <w:t>支出决算为30.00万元，完成预算100%。</w:t>
      </w:r>
    </w:p>
    <w:p>
      <w:pPr>
        <w:pStyle w:val="2"/>
        <w:spacing w:before="93"/>
        <w:ind w:firstLine="643" w:firstLineChars="200"/>
        <w:rPr>
          <w:rStyle w:val="16"/>
          <w:rFonts w:ascii="Times New Roman" w:eastAsia="仿宋"/>
          <w:b w:val="0"/>
          <w:bCs/>
          <w:color w:val="000000"/>
          <w:kern w:val="2"/>
          <w:sz w:val="32"/>
          <w:szCs w:val="32"/>
        </w:rPr>
      </w:pPr>
      <w:r>
        <w:rPr>
          <w:rStyle w:val="16"/>
          <w:rFonts w:ascii="Times New Roman" w:eastAsia="仿宋"/>
          <w:bCs/>
          <w:color w:val="000000"/>
          <w:kern w:val="2"/>
          <w:sz w:val="32"/>
          <w:szCs w:val="32"/>
        </w:rPr>
        <w:t>13．文化旅游体</w:t>
      </w:r>
      <w:r>
        <w:rPr>
          <w:rStyle w:val="16"/>
          <w:rFonts w:ascii="Times New Roman" w:eastAsia="仿宋"/>
          <w:bCs/>
          <w:color w:val="000000"/>
          <w:sz w:val="32"/>
          <w:szCs w:val="32"/>
        </w:rPr>
        <w:t>育与传媒（类）文物（款）博物馆（项）：</w:t>
      </w:r>
      <w:r>
        <w:rPr>
          <w:rStyle w:val="16"/>
          <w:rFonts w:ascii="Times New Roman" w:eastAsia="仿宋"/>
          <w:b w:val="0"/>
          <w:bCs/>
          <w:color w:val="000000"/>
          <w:kern w:val="2"/>
          <w:sz w:val="32"/>
          <w:szCs w:val="32"/>
        </w:rPr>
        <w:t>支出决算为850.15万元，完成预算100%。</w:t>
      </w:r>
    </w:p>
    <w:p>
      <w:pPr>
        <w:pStyle w:val="2"/>
        <w:spacing w:before="93"/>
        <w:ind w:firstLine="643" w:firstLineChars="200"/>
        <w:rPr>
          <w:rStyle w:val="16"/>
          <w:rFonts w:ascii="Times New Roman" w:eastAsia="仿宋"/>
          <w:b w:val="0"/>
          <w:bCs/>
          <w:color w:val="000000"/>
          <w:kern w:val="2"/>
          <w:sz w:val="32"/>
          <w:szCs w:val="32"/>
        </w:rPr>
      </w:pPr>
      <w:r>
        <w:rPr>
          <w:rStyle w:val="16"/>
          <w:rFonts w:ascii="Times New Roman" w:eastAsia="仿宋"/>
          <w:bCs/>
          <w:color w:val="000000"/>
          <w:kern w:val="2"/>
          <w:sz w:val="32"/>
          <w:szCs w:val="32"/>
        </w:rPr>
        <w:t>14．</w:t>
      </w:r>
      <w:r>
        <w:rPr>
          <w:rStyle w:val="16"/>
          <w:rFonts w:ascii="Times New Roman" w:eastAsia="仿宋"/>
          <w:bCs/>
          <w:color w:val="000000"/>
          <w:sz w:val="32"/>
          <w:szCs w:val="32"/>
        </w:rPr>
        <w:t>文化旅游体育与传媒（类）广播电视（款）广播电视事务（项）：</w:t>
      </w:r>
      <w:r>
        <w:rPr>
          <w:rStyle w:val="16"/>
          <w:rFonts w:ascii="Times New Roman" w:eastAsia="仿宋"/>
          <w:b w:val="0"/>
          <w:bCs/>
          <w:color w:val="000000"/>
          <w:kern w:val="2"/>
          <w:sz w:val="32"/>
          <w:szCs w:val="32"/>
        </w:rPr>
        <w:t>支出决算为3420.53万元，完成预算100%。</w:t>
      </w:r>
    </w:p>
    <w:p>
      <w:pPr>
        <w:pStyle w:val="2"/>
        <w:spacing w:before="93"/>
        <w:ind w:firstLine="643" w:firstLineChars="200"/>
        <w:rPr>
          <w:rStyle w:val="16"/>
          <w:rFonts w:ascii="Times New Roman" w:eastAsia="仿宋"/>
          <w:b w:val="0"/>
          <w:bCs/>
          <w:color w:val="000000"/>
          <w:kern w:val="2"/>
          <w:sz w:val="32"/>
          <w:szCs w:val="32"/>
        </w:rPr>
      </w:pPr>
      <w:r>
        <w:rPr>
          <w:rStyle w:val="16"/>
          <w:rFonts w:ascii="Times New Roman" w:eastAsia="仿宋"/>
          <w:bCs/>
          <w:color w:val="000000"/>
          <w:kern w:val="2"/>
          <w:sz w:val="32"/>
          <w:szCs w:val="32"/>
        </w:rPr>
        <w:t>15．文化旅游体育与传媒（类）广播电视（款）其他广播电视支出（项</w:t>
      </w:r>
      <w:r>
        <w:rPr>
          <w:rStyle w:val="16"/>
          <w:rFonts w:ascii="Times New Roman" w:eastAsia="仿宋"/>
          <w:bCs/>
          <w:color w:val="000000"/>
          <w:sz w:val="32"/>
          <w:szCs w:val="32"/>
        </w:rPr>
        <w:t>）：</w:t>
      </w:r>
      <w:r>
        <w:rPr>
          <w:rStyle w:val="16"/>
          <w:rFonts w:ascii="Times New Roman" w:eastAsia="仿宋"/>
          <w:b w:val="0"/>
          <w:bCs/>
          <w:color w:val="000000"/>
          <w:sz w:val="32"/>
          <w:szCs w:val="32"/>
        </w:rPr>
        <w:t>支</w:t>
      </w:r>
      <w:r>
        <w:rPr>
          <w:rStyle w:val="16"/>
          <w:rFonts w:ascii="Times New Roman" w:eastAsia="仿宋"/>
          <w:b w:val="0"/>
          <w:bCs/>
          <w:color w:val="000000"/>
          <w:kern w:val="2"/>
          <w:sz w:val="32"/>
          <w:szCs w:val="32"/>
        </w:rPr>
        <w:t>出决算为62.80万元，完成预算100%。</w:t>
      </w:r>
    </w:p>
    <w:p>
      <w:pPr>
        <w:pStyle w:val="2"/>
        <w:spacing w:before="93"/>
        <w:ind w:firstLine="643" w:firstLineChars="200"/>
        <w:rPr>
          <w:rStyle w:val="16"/>
          <w:rFonts w:ascii="Times New Roman" w:eastAsia="仿宋"/>
          <w:b w:val="0"/>
          <w:bCs/>
          <w:color w:val="000000"/>
          <w:kern w:val="2"/>
          <w:sz w:val="32"/>
          <w:szCs w:val="32"/>
        </w:rPr>
      </w:pPr>
      <w:r>
        <w:rPr>
          <w:rStyle w:val="16"/>
          <w:rFonts w:ascii="Times New Roman" w:eastAsia="仿宋"/>
          <w:bCs/>
          <w:color w:val="000000"/>
          <w:kern w:val="2"/>
          <w:sz w:val="32"/>
          <w:szCs w:val="32"/>
        </w:rPr>
        <w:t>16．文化</w:t>
      </w:r>
      <w:r>
        <w:rPr>
          <w:rStyle w:val="16"/>
          <w:rFonts w:ascii="Times New Roman" w:eastAsia="仿宋"/>
          <w:bCs/>
          <w:color w:val="000000"/>
          <w:sz w:val="32"/>
          <w:szCs w:val="32"/>
        </w:rPr>
        <w:t>旅游体育与传媒（类）其他文化旅游体育与传媒支出（款）宣传文化发展专项支出（项）：</w:t>
      </w:r>
      <w:r>
        <w:rPr>
          <w:rStyle w:val="16"/>
          <w:rFonts w:ascii="Times New Roman" w:eastAsia="仿宋"/>
          <w:b w:val="0"/>
          <w:bCs/>
          <w:color w:val="000000"/>
          <w:kern w:val="2"/>
          <w:sz w:val="32"/>
          <w:szCs w:val="32"/>
        </w:rPr>
        <w:t>支出决算为3.85万元，完成预算100%。</w:t>
      </w:r>
    </w:p>
    <w:p>
      <w:pPr>
        <w:pStyle w:val="2"/>
        <w:spacing w:before="93"/>
        <w:ind w:firstLine="643" w:firstLineChars="200"/>
        <w:rPr>
          <w:rStyle w:val="16"/>
          <w:rFonts w:ascii="Times New Roman" w:eastAsia="仿宋"/>
          <w:b w:val="0"/>
          <w:bCs/>
          <w:color w:val="000000"/>
          <w:kern w:val="2"/>
          <w:sz w:val="32"/>
          <w:szCs w:val="32"/>
        </w:rPr>
      </w:pPr>
      <w:r>
        <w:rPr>
          <w:rStyle w:val="16"/>
          <w:rFonts w:ascii="Times New Roman" w:eastAsia="仿宋"/>
          <w:bCs/>
          <w:color w:val="000000"/>
          <w:kern w:val="2"/>
          <w:sz w:val="32"/>
          <w:szCs w:val="32"/>
        </w:rPr>
        <w:t>17．</w:t>
      </w:r>
      <w:r>
        <w:rPr>
          <w:rStyle w:val="16"/>
          <w:rFonts w:ascii="Times New Roman" w:eastAsia="仿宋"/>
          <w:bCs/>
          <w:color w:val="000000"/>
          <w:sz w:val="32"/>
          <w:szCs w:val="32"/>
        </w:rPr>
        <w:t>文化旅游体育与传媒（类）其他文化旅游体育与传媒支出（款）其他文化旅游体育与传媒支出（项）：</w:t>
      </w:r>
      <w:r>
        <w:rPr>
          <w:rStyle w:val="16"/>
          <w:rFonts w:ascii="Times New Roman" w:eastAsia="仿宋"/>
          <w:b w:val="0"/>
          <w:bCs/>
          <w:color w:val="000000"/>
          <w:kern w:val="2"/>
          <w:sz w:val="32"/>
          <w:szCs w:val="32"/>
        </w:rPr>
        <w:t>支出决算为371.99万元，完成预算100%。</w:t>
      </w:r>
    </w:p>
    <w:p>
      <w:pPr>
        <w:spacing w:line="600" w:lineRule="exact"/>
        <w:ind w:firstLine="643" w:firstLineChars="200"/>
        <w:rPr>
          <w:rStyle w:val="16"/>
          <w:rFonts w:eastAsia="仿宋"/>
          <w:bCs/>
          <w:color w:val="000000"/>
          <w:sz w:val="32"/>
          <w:szCs w:val="32"/>
        </w:rPr>
      </w:pPr>
      <w:r>
        <w:rPr>
          <w:rStyle w:val="16"/>
          <w:rFonts w:eastAsia="仿宋"/>
          <w:bCs/>
          <w:color w:val="000000"/>
          <w:sz w:val="32"/>
          <w:szCs w:val="32"/>
        </w:rPr>
        <w:t>18．社会保障和就业（类）人力资源和社会保障管理事务（款）其他人力资源和社会保障管理事务支出（项）：</w:t>
      </w:r>
      <w:r>
        <w:rPr>
          <w:rStyle w:val="16"/>
          <w:rFonts w:eastAsia="仿宋"/>
          <w:b w:val="0"/>
          <w:bCs/>
          <w:color w:val="000000"/>
          <w:sz w:val="32"/>
          <w:szCs w:val="32"/>
        </w:rPr>
        <w:t>支出决算为62.6</w:t>
      </w:r>
      <w:r>
        <w:rPr>
          <w:rStyle w:val="16"/>
          <w:rFonts w:hint="eastAsia" w:eastAsia="仿宋"/>
          <w:b w:val="0"/>
          <w:bCs/>
          <w:color w:val="000000"/>
          <w:sz w:val="32"/>
          <w:szCs w:val="32"/>
        </w:rPr>
        <w:t>0</w:t>
      </w:r>
      <w:r>
        <w:rPr>
          <w:rStyle w:val="16"/>
          <w:rFonts w:eastAsia="仿宋"/>
          <w:b w:val="0"/>
          <w:bCs/>
          <w:color w:val="000000"/>
          <w:sz w:val="32"/>
          <w:szCs w:val="32"/>
        </w:rPr>
        <w:t>万元，完成预算100%。</w:t>
      </w:r>
    </w:p>
    <w:p>
      <w:pPr>
        <w:spacing w:line="600" w:lineRule="exact"/>
        <w:ind w:firstLine="643" w:firstLineChars="200"/>
        <w:rPr>
          <w:rStyle w:val="16"/>
          <w:rFonts w:eastAsia="仿宋"/>
          <w:b w:val="0"/>
          <w:bCs/>
          <w:color w:val="000000"/>
          <w:sz w:val="32"/>
          <w:szCs w:val="32"/>
        </w:rPr>
      </w:pPr>
      <w:r>
        <w:rPr>
          <w:rStyle w:val="16"/>
          <w:rFonts w:eastAsia="仿宋"/>
          <w:bCs/>
          <w:color w:val="000000"/>
          <w:sz w:val="32"/>
          <w:szCs w:val="32"/>
        </w:rPr>
        <w:t>19．社会保障和就业（类）行政事业单位养老支出（款）行政单位离退休（项）：</w:t>
      </w:r>
      <w:r>
        <w:rPr>
          <w:rStyle w:val="16"/>
          <w:rFonts w:eastAsia="仿宋"/>
          <w:b w:val="0"/>
          <w:bCs/>
          <w:color w:val="000000"/>
          <w:sz w:val="32"/>
          <w:szCs w:val="32"/>
        </w:rPr>
        <w:t>支出决算为178.41万元，完成预算100%。</w:t>
      </w:r>
    </w:p>
    <w:p>
      <w:pPr>
        <w:spacing w:line="600" w:lineRule="exact"/>
        <w:ind w:firstLine="643" w:firstLineChars="200"/>
        <w:rPr>
          <w:rStyle w:val="16"/>
          <w:rFonts w:eastAsia="仿宋"/>
          <w:b w:val="0"/>
          <w:bCs/>
          <w:color w:val="000000"/>
          <w:sz w:val="32"/>
          <w:szCs w:val="32"/>
        </w:rPr>
      </w:pPr>
      <w:r>
        <w:rPr>
          <w:rStyle w:val="16"/>
          <w:rFonts w:eastAsia="仿宋"/>
          <w:bCs/>
          <w:color w:val="000000"/>
          <w:sz w:val="32"/>
          <w:szCs w:val="32"/>
        </w:rPr>
        <w:t>20</w:t>
      </w:r>
      <w:r>
        <w:rPr>
          <w:b/>
          <w:bCs/>
          <w:sz w:val="32"/>
          <w:szCs w:val="32"/>
        </w:rPr>
        <w:t>．</w:t>
      </w:r>
      <w:r>
        <w:rPr>
          <w:rStyle w:val="16"/>
          <w:rFonts w:eastAsia="仿宋"/>
          <w:bCs/>
          <w:color w:val="000000"/>
          <w:sz w:val="32"/>
          <w:szCs w:val="32"/>
        </w:rPr>
        <w:t>社会保障和就业（类）行政事业单位养老支出（款）事业单位离退休（项）：</w:t>
      </w:r>
      <w:r>
        <w:rPr>
          <w:rStyle w:val="16"/>
          <w:rFonts w:eastAsia="仿宋"/>
          <w:b w:val="0"/>
          <w:bCs/>
          <w:color w:val="000000"/>
          <w:sz w:val="32"/>
          <w:szCs w:val="32"/>
        </w:rPr>
        <w:t>支出决算为551.00万元，完成预算100%。</w:t>
      </w:r>
    </w:p>
    <w:p>
      <w:pPr>
        <w:spacing w:line="600" w:lineRule="exact"/>
        <w:ind w:firstLine="643" w:firstLineChars="200"/>
        <w:rPr>
          <w:rStyle w:val="16"/>
          <w:rFonts w:eastAsia="仿宋"/>
          <w:b w:val="0"/>
          <w:bCs/>
          <w:color w:val="000000"/>
          <w:sz w:val="32"/>
          <w:szCs w:val="32"/>
        </w:rPr>
      </w:pPr>
      <w:r>
        <w:rPr>
          <w:rStyle w:val="16"/>
          <w:rFonts w:eastAsia="仿宋"/>
          <w:bCs/>
          <w:color w:val="000000"/>
          <w:sz w:val="32"/>
          <w:szCs w:val="32"/>
        </w:rPr>
        <w:t>21</w:t>
      </w:r>
      <w:r>
        <w:rPr>
          <w:b/>
          <w:bCs/>
          <w:sz w:val="32"/>
          <w:szCs w:val="32"/>
        </w:rPr>
        <w:t>．</w:t>
      </w:r>
      <w:r>
        <w:rPr>
          <w:rStyle w:val="16"/>
          <w:rFonts w:eastAsia="仿宋"/>
          <w:bCs/>
          <w:color w:val="000000"/>
          <w:sz w:val="32"/>
          <w:szCs w:val="32"/>
        </w:rPr>
        <w:t>社会保障和就业（类）行政事业单位养老支出（款）机关事业单位基本养老保险缴费支出（项）：</w:t>
      </w:r>
      <w:r>
        <w:rPr>
          <w:rStyle w:val="16"/>
          <w:rFonts w:eastAsia="仿宋"/>
          <w:b w:val="0"/>
          <w:bCs/>
          <w:color w:val="000000"/>
          <w:sz w:val="32"/>
          <w:szCs w:val="32"/>
        </w:rPr>
        <w:t>支出决算为411.87万元，完成预算100%。</w:t>
      </w:r>
    </w:p>
    <w:p>
      <w:pPr>
        <w:spacing w:line="600" w:lineRule="exact"/>
        <w:ind w:firstLine="643" w:firstLineChars="200"/>
      </w:pPr>
      <w:r>
        <w:rPr>
          <w:rStyle w:val="16"/>
          <w:rFonts w:eastAsia="仿宋"/>
          <w:bCs/>
          <w:color w:val="000000"/>
          <w:sz w:val="32"/>
          <w:szCs w:val="32"/>
        </w:rPr>
        <w:t>22</w:t>
      </w:r>
      <w:r>
        <w:rPr>
          <w:b/>
          <w:bCs/>
          <w:sz w:val="32"/>
          <w:szCs w:val="32"/>
        </w:rPr>
        <w:t>．</w:t>
      </w:r>
      <w:r>
        <w:rPr>
          <w:rStyle w:val="16"/>
          <w:rFonts w:eastAsia="仿宋"/>
          <w:bCs/>
          <w:color w:val="000000"/>
          <w:sz w:val="32"/>
          <w:szCs w:val="32"/>
        </w:rPr>
        <w:t>社会保障和就业（类）行政事业单位养老支出（款）其他行政事业单位养老支出（项）：</w:t>
      </w:r>
      <w:r>
        <w:rPr>
          <w:rStyle w:val="16"/>
          <w:rFonts w:eastAsia="仿宋"/>
          <w:b w:val="0"/>
          <w:bCs/>
          <w:color w:val="000000"/>
          <w:sz w:val="32"/>
          <w:szCs w:val="32"/>
        </w:rPr>
        <w:t>支出决算为0.33万元，完成预算100%。</w:t>
      </w:r>
    </w:p>
    <w:p>
      <w:pPr>
        <w:spacing w:line="600" w:lineRule="exact"/>
        <w:ind w:firstLine="643" w:firstLineChars="200"/>
        <w:rPr>
          <w:rStyle w:val="16"/>
          <w:rFonts w:eastAsia="仿宋"/>
          <w:b w:val="0"/>
          <w:bCs/>
          <w:color w:val="000000"/>
          <w:sz w:val="32"/>
          <w:szCs w:val="32"/>
        </w:rPr>
      </w:pPr>
      <w:r>
        <w:rPr>
          <w:rStyle w:val="16"/>
          <w:rFonts w:eastAsia="仿宋"/>
          <w:bCs/>
          <w:color w:val="000000"/>
          <w:sz w:val="32"/>
          <w:szCs w:val="32"/>
        </w:rPr>
        <w:t>23</w:t>
      </w:r>
      <w:r>
        <w:rPr>
          <w:b/>
          <w:bCs/>
          <w:sz w:val="32"/>
          <w:szCs w:val="32"/>
        </w:rPr>
        <w:t>．</w:t>
      </w:r>
      <w:r>
        <w:rPr>
          <w:rStyle w:val="16"/>
          <w:rFonts w:eastAsia="仿宋"/>
          <w:bCs/>
          <w:color w:val="000000"/>
          <w:sz w:val="32"/>
          <w:szCs w:val="32"/>
        </w:rPr>
        <w:t>社会保障和就业（类）抚恤（款）死亡抚恤（项）：</w:t>
      </w:r>
      <w:r>
        <w:rPr>
          <w:rStyle w:val="16"/>
          <w:rFonts w:eastAsia="仿宋"/>
          <w:b w:val="0"/>
          <w:bCs/>
          <w:color w:val="000000"/>
          <w:sz w:val="32"/>
          <w:szCs w:val="32"/>
        </w:rPr>
        <w:t>支出决算为115.97万元，完成预算100%。</w:t>
      </w:r>
    </w:p>
    <w:p>
      <w:pPr>
        <w:spacing w:line="600" w:lineRule="exact"/>
        <w:ind w:firstLine="643" w:firstLineChars="200"/>
        <w:rPr>
          <w:rStyle w:val="16"/>
          <w:rFonts w:eastAsia="仿宋"/>
          <w:b w:val="0"/>
          <w:bCs/>
          <w:color w:val="000000"/>
          <w:sz w:val="32"/>
          <w:szCs w:val="32"/>
        </w:rPr>
      </w:pPr>
      <w:r>
        <w:rPr>
          <w:rStyle w:val="16"/>
          <w:rFonts w:eastAsia="仿宋"/>
          <w:bCs/>
          <w:color w:val="000000"/>
          <w:sz w:val="32"/>
          <w:szCs w:val="32"/>
        </w:rPr>
        <w:t>24</w:t>
      </w:r>
      <w:r>
        <w:rPr>
          <w:b/>
          <w:bCs/>
          <w:sz w:val="32"/>
          <w:szCs w:val="32"/>
        </w:rPr>
        <w:t>．</w:t>
      </w:r>
      <w:r>
        <w:rPr>
          <w:rStyle w:val="16"/>
          <w:rFonts w:eastAsia="仿宋"/>
          <w:bCs/>
          <w:color w:val="000000"/>
          <w:sz w:val="32"/>
          <w:szCs w:val="32"/>
        </w:rPr>
        <w:t>社会保障和就业（类）社会福利（款）儿童福利（项）：</w:t>
      </w:r>
      <w:r>
        <w:rPr>
          <w:rStyle w:val="16"/>
          <w:rFonts w:eastAsia="仿宋"/>
          <w:b w:val="0"/>
          <w:bCs/>
          <w:color w:val="000000"/>
          <w:sz w:val="32"/>
          <w:szCs w:val="32"/>
        </w:rPr>
        <w:t>支出决算为1.30万元，完成预算100%。</w:t>
      </w:r>
    </w:p>
    <w:p>
      <w:pPr>
        <w:pStyle w:val="2"/>
        <w:spacing w:before="93"/>
        <w:ind w:firstLine="643" w:firstLineChars="200"/>
        <w:rPr>
          <w:rStyle w:val="16"/>
          <w:rFonts w:ascii="Times New Roman" w:eastAsia="仿宋"/>
          <w:b w:val="0"/>
          <w:bCs/>
          <w:color w:val="000000"/>
          <w:kern w:val="2"/>
          <w:sz w:val="32"/>
          <w:szCs w:val="32"/>
        </w:rPr>
      </w:pPr>
      <w:r>
        <w:rPr>
          <w:rStyle w:val="16"/>
          <w:rFonts w:ascii="Times New Roman" w:eastAsia="仿宋"/>
          <w:bCs/>
          <w:color w:val="000000"/>
          <w:kern w:val="2"/>
          <w:sz w:val="32"/>
          <w:szCs w:val="32"/>
        </w:rPr>
        <w:t>25．</w:t>
      </w:r>
      <w:r>
        <w:rPr>
          <w:rStyle w:val="16"/>
          <w:rFonts w:ascii="Times New Roman" w:eastAsia="仿宋"/>
          <w:bCs/>
          <w:color w:val="000000"/>
          <w:sz w:val="32"/>
          <w:szCs w:val="32"/>
        </w:rPr>
        <w:t>城乡社区（类）城乡社区公共设施（款）其他城乡社区公共设施支出（项）：</w:t>
      </w:r>
      <w:r>
        <w:rPr>
          <w:rStyle w:val="16"/>
          <w:rFonts w:ascii="Times New Roman" w:eastAsia="仿宋"/>
          <w:b w:val="0"/>
          <w:bCs/>
          <w:color w:val="000000"/>
          <w:kern w:val="2"/>
          <w:sz w:val="32"/>
          <w:szCs w:val="32"/>
        </w:rPr>
        <w:t>支出决算为52.50万元，完成预算100%。</w:t>
      </w:r>
    </w:p>
    <w:p>
      <w:pPr>
        <w:spacing w:line="600" w:lineRule="exact"/>
        <w:ind w:firstLine="643" w:firstLineChars="200"/>
        <w:rPr>
          <w:rStyle w:val="16"/>
          <w:rFonts w:eastAsia="仿宋"/>
          <w:b w:val="0"/>
          <w:bCs/>
          <w:color w:val="000000"/>
          <w:sz w:val="32"/>
          <w:szCs w:val="32"/>
        </w:rPr>
      </w:pPr>
      <w:r>
        <w:rPr>
          <w:rStyle w:val="16"/>
          <w:rFonts w:eastAsia="仿宋"/>
          <w:bCs/>
          <w:color w:val="000000"/>
          <w:sz w:val="32"/>
          <w:szCs w:val="32"/>
        </w:rPr>
        <w:t>26．住房保障支出（类）住房改革支出（款）住房公积金（项）：</w:t>
      </w:r>
      <w:r>
        <w:rPr>
          <w:rStyle w:val="16"/>
          <w:rFonts w:eastAsia="仿宋"/>
          <w:b w:val="0"/>
          <w:bCs/>
          <w:color w:val="000000"/>
          <w:sz w:val="32"/>
          <w:szCs w:val="32"/>
        </w:rPr>
        <w:t>支出决算为398.59万元，完成预算100%。</w:t>
      </w:r>
    </w:p>
    <w:p>
      <w:pPr>
        <w:spacing w:line="600" w:lineRule="exact"/>
        <w:ind w:firstLine="640"/>
        <w:rPr>
          <w:rFonts w:eastAsia="仿宋"/>
          <w:b/>
          <w:sz w:val="32"/>
          <w:szCs w:val="32"/>
        </w:rPr>
      </w:pPr>
    </w:p>
    <w:p>
      <w:pPr>
        <w:tabs>
          <w:tab w:val="right" w:pos="8306"/>
        </w:tabs>
        <w:spacing w:line="600" w:lineRule="exact"/>
        <w:ind w:firstLine="640"/>
        <w:outlineLvl w:val="1"/>
        <w:rPr>
          <w:rStyle w:val="27"/>
          <w:rFonts w:ascii="Times New Roman" w:hAnsi="Times New Roman" w:cs="Times New Roman"/>
        </w:rPr>
      </w:pPr>
      <w:bookmarkStart w:id="84" w:name="_Toc9425"/>
      <w:bookmarkStart w:id="85" w:name="_Toc15396608"/>
      <w:bookmarkStart w:id="86" w:name="_Toc15377214"/>
      <w:bookmarkStart w:id="87" w:name="_Toc31984"/>
      <w:bookmarkStart w:id="88" w:name="_Toc11103"/>
      <w:bookmarkStart w:id="89" w:name="_Toc26642"/>
      <w:r>
        <w:rPr>
          <w:rFonts w:eastAsia="黑体"/>
          <w:sz w:val="32"/>
          <w:szCs w:val="32"/>
        </w:rPr>
        <w:t>六</w:t>
      </w:r>
      <w:r>
        <w:rPr>
          <w:rFonts w:eastAsia="黑体"/>
          <w:b/>
          <w:sz w:val="32"/>
          <w:szCs w:val="32"/>
        </w:rPr>
        <w:t>、一</w:t>
      </w:r>
      <w:r>
        <w:rPr>
          <w:rStyle w:val="27"/>
          <w:rFonts w:ascii="Times New Roman" w:hAnsi="Times New Roman" w:eastAsia="黑体" w:cs="Times New Roman"/>
          <w:b w:val="0"/>
        </w:rPr>
        <w:t>般公共预算财政拨款基本支出决算情况说明</w:t>
      </w:r>
      <w:bookmarkEnd w:id="84"/>
      <w:bookmarkEnd w:id="85"/>
      <w:bookmarkEnd w:id="86"/>
      <w:bookmarkEnd w:id="87"/>
      <w:bookmarkEnd w:id="88"/>
      <w:bookmarkEnd w:id="89"/>
    </w:p>
    <w:p>
      <w:pPr>
        <w:spacing w:line="600" w:lineRule="exact"/>
        <w:ind w:firstLine="645"/>
        <w:rPr>
          <w:rFonts w:eastAsia="仿宋"/>
          <w:sz w:val="32"/>
          <w:szCs w:val="32"/>
        </w:rPr>
      </w:pPr>
      <w:r>
        <w:rPr>
          <w:rFonts w:eastAsia="仿宋"/>
          <w:sz w:val="32"/>
          <w:szCs w:val="32"/>
        </w:rPr>
        <w:t>2021年一般公共预算财政拨款基本支出8522.01万元，其中：人员经费7857.59万元，主要包括：基本工资2133.11万元、津贴补贴924.15万元、奖金55.19万元、绩效工资1817.62万元、机关事业单位基本养老保险缴费411.87万元、职工基本医疗保险缴费327.97万元、公务员医疗补助缴费46.73万元、其他社会保障缴费233.93万元、其他工资福利支出389.88万元、离休费56.15万元、抚恤金115.97万元、生活补助890.91万元、医疗费补助15.52万元、住房公积金398.59万元、其他对个人和家庭的补助支出40.00万元等。</w:t>
      </w:r>
    </w:p>
    <w:p>
      <w:pPr>
        <w:spacing w:line="600" w:lineRule="exact"/>
        <w:ind w:firstLine="645"/>
        <w:rPr>
          <w:rFonts w:eastAsia="仿宋"/>
          <w:sz w:val="32"/>
          <w:szCs w:val="32"/>
        </w:rPr>
      </w:pPr>
      <w:r>
        <w:rPr>
          <w:rFonts w:eastAsia="仿宋"/>
          <w:sz w:val="32"/>
          <w:szCs w:val="32"/>
        </w:rPr>
        <w:t>公用经费664.42万元，主要包括：办公费19.65万元、印刷费1.99万元、咨询费0.61万元、手续费0.22万元、水费7.55万元、电费23.49万元、邮电费25.52万元、物业管理费4.77万元、差旅费111.68万元、维修（护）费3.98万元、培训费2.23万元、公务接待费6.36万元、专用材料费0.31万元、劳务费27.32万元、委托业务费10.81万元、工会经费78.82万元、福利费67.55万元、公务用车运行维护费72.85万元、其他交通费用73.86万元、税金及附加费用1.36万元、其他商品和服务支出114.59万元、办公设备购置1.81万元、信息网络及软件购置更新7.09万元等。</w:t>
      </w:r>
    </w:p>
    <w:p>
      <w:pPr>
        <w:spacing w:line="600" w:lineRule="exact"/>
        <w:ind w:firstLine="640"/>
        <w:rPr>
          <w:rFonts w:eastAsia="仿宋"/>
          <w:b/>
          <w:sz w:val="32"/>
          <w:szCs w:val="32"/>
        </w:rPr>
      </w:pPr>
    </w:p>
    <w:p>
      <w:pPr>
        <w:spacing w:line="600" w:lineRule="exact"/>
        <w:ind w:firstLine="640"/>
        <w:outlineLvl w:val="1"/>
        <w:rPr>
          <w:rStyle w:val="27"/>
          <w:rFonts w:ascii="Times New Roman" w:hAnsi="Times New Roman" w:eastAsia="黑体" w:cs="Times New Roman"/>
          <w:b w:val="0"/>
        </w:rPr>
      </w:pPr>
      <w:bookmarkStart w:id="90" w:name="_Toc10697"/>
      <w:bookmarkStart w:id="91" w:name="_Toc18484"/>
      <w:bookmarkStart w:id="92" w:name="_Toc15377215"/>
      <w:bookmarkStart w:id="93" w:name="_Toc11880"/>
      <w:bookmarkStart w:id="94" w:name="_Toc28764"/>
      <w:bookmarkStart w:id="95" w:name="_Toc15396609"/>
      <w:r>
        <w:rPr>
          <w:rFonts w:eastAsia="黑体"/>
          <w:sz w:val="32"/>
          <w:szCs w:val="32"/>
        </w:rPr>
        <w:t>七、</w:t>
      </w:r>
      <w:r>
        <w:rPr>
          <w:rStyle w:val="27"/>
          <w:rFonts w:ascii="Times New Roman" w:hAnsi="Times New Roman" w:eastAsia="黑体" w:cs="Times New Roman"/>
        </w:rPr>
        <w:t>“</w:t>
      </w:r>
      <w:r>
        <w:rPr>
          <w:rStyle w:val="27"/>
          <w:rFonts w:ascii="Times New Roman" w:hAnsi="Times New Roman" w:eastAsia="黑体" w:cs="Times New Roman"/>
          <w:b w:val="0"/>
        </w:rPr>
        <w:t>三公”经费财政拨款支出决算情况说明</w:t>
      </w:r>
      <w:bookmarkEnd w:id="90"/>
      <w:bookmarkEnd w:id="91"/>
      <w:bookmarkEnd w:id="92"/>
      <w:bookmarkEnd w:id="93"/>
      <w:bookmarkEnd w:id="94"/>
      <w:bookmarkEnd w:id="95"/>
    </w:p>
    <w:p>
      <w:pPr>
        <w:spacing w:line="600" w:lineRule="exact"/>
        <w:ind w:firstLine="640"/>
        <w:rPr>
          <w:rFonts w:eastAsia="仿宋"/>
          <w:b/>
          <w:sz w:val="32"/>
          <w:szCs w:val="32"/>
        </w:rPr>
      </w:pPr>
      <w:bookmarkStart w:id="96" w:name="_Toc15377216"/>
      <w:r>
        <w:rPr>
          <w:rFonts w:eastAsia="仿宋"/>
          <w:b/>
          <w:sz w:val="32"/>
          <w:szCs w:val="32"/>
        </w:rPr>
        <w:t>（一）“三公”经费财政拨款支出决算总体情况说明</w:t>
      </w:r>
      <w:bookmarkEnd w:id="96"/>
    </w:p>
    <w:p>
      <w:pPr>
        <w:spacing w:line="600" w:lineRule="exact"/>
        <w:ind w:firstLine="640"/>
        <w:rPr>
          <w:rFonts w:eastAsia="仿宋"/>
          <w:sz w:val="32"/>
          <w:szCs w:val="32"/>
        </w:rPr>
      </w:pPr>
      <w:r>
        <w:rPr>
          <w:rFonts w:eastAsia="仿宋"/>
          <w:sz w:val="32"/>
          <w:szCs w:val="32"/>
        </w:rPr>
        <w:t>2021年“三公”经费财政拨款支出决算为101.39万元，完成预算100%。</w:t>
      </w:r>
    </w:p>
    <w:p>
      <w:pPr>
        <w:spacing w:line="600" w:lineRule="exact"/>
        <w:ind w:firstLine="640"/>
        <w:rPr>
          <w:rFonts w:eastAsia="仿宋"/>
          <w:b/>
          <w:sz w:val="32"/>
          <w:szCs w:val="32"/>
        </w:rPr>
      </w:pPr>
      <w:bookmarkStart w:id="97" w:name="_Toc15377217"/>
      <w:r>
        <w:rPr>
          <w:rFonts w:eastAsia="仿宋"/>
          <w:b/>
          <w:sz w:val="32"/>
          <w:szCs w:val="32"/>
        </w:rPr>
        <w:t>（二）“三公”经费财政拨款支出决算具体情况说明</w:t>
      </w:r>
      <w:bookmarkEnd w:id="97"/>
    </w:p>
    <w:p>
      <w:pPr>
        <w:spacing w:line="600" w:lineRule="exact"/>
        <w:ind w:firstLine="640"/>
        <w:rPr>
          <w:rFonts w:eastAsia="仿宋"/>
          <w:sz w:val="32"/>
          <w:szCs w:val="32"/>
        </w:rPr>
      </w:pPr>
      <w:r>
        <w:rPr>
          <w:rFonts w:eastAsia="仿宋"/>
          <w:sz w:val="32"/>
          <w:szCs w:val="32"/>
        </w:rPr>
        <w:t>2021年“三公”经费财政拨款支出决算中，因公出国（境）费支出决算0万元，占0%；公务用车购置及运行维护费支出决算92.90万元，占91.63%；公务接待费支出决算8.49万元，占8.37%。具体情况如下：</w:t>
      </w:r>
    </w:p>
    <w:p>
      <w:pPr>
        <w:pStyle w:val="2"/>
        <w:spacing w:before="93"/>
        <w:rPr>
          <w:rFonts w:ascii="Times New Roman" w:eastAsia="仿宋"/>
          <w:sz w:val="32"/>
          <w:szCs w:val="32"/>
        </w:rPr>
      </w:pPr>
    </w:p>
    <w:p>
      <w:pPr>
        <w:pStyle w:val="2"/>
        <w:spacing w:before="93"/>
        <w:jc w:val="center"/>
        <w:rPr>
          <w:rFonts w:ascii="Times New Roman" w:eastAsia="仿宋"/>
          <w:sz w:val="32"/>
          <w:szCs w:val="32"/>
        </w:rPr>
      </w:pPr>
      <w:r>
        <w:rPr>
          <w:rFonts w:ascii="Times New Roman"/>
        </w:rPr>
        <w:drawing>
          <wp:inline distT="0" distB="0" distL="114300" distR="114300">
            <wp:extent cx="4572000" cy="2743200"/>
            <wp:effectExtent l="4445" t="4445" r="14605" b="14605"/>
            <wp:docPr id="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eastAsia="仿宋"/>
          <w:sz w:val="32"/>
          <w:szCs w:val="32"/>
        </w:rPr>
      </w:pPr>
      <w:r>
        <w:rPr>
          <w:rFonts w:eastAsia="仿宋"/>
          <w:sz w:val="32"/>
          <w:szCs w:val="32"/>
        </w:rPr>
        <w:t>（图7：“三公”经费财政拨款支出结构）</w:t>
      </w:r>
    </w:p>
    <w:p>
      <w:pPr>
        <w:spacing w:line="600" w:lineRule="exact"/>
        <w:ind w:firstLine="640"/>
        <w:rPr>
          <w:rFonts w:eastAsia="仿宋_GB2312"/>
          <w:b/>
          <w:sz w:val="32"/>
          <w:szCs w:val="32"/>
        </w:rPr>
      </w:pPr>
      <w:r>
        <w:rPr>
          <w:rFonts w:eastAsia="仿宋_GB2312"/>
          <w:b/>
          <w:sz w:val="32"/>
          <w:szCs w:val="32"/>
        </w:rPr>
        <w:t>1</w:t>
      </w:r>
      <w:r>
        <w:rPr>
          <w:rStyle w:val="16"/>
          <w:rFonts w:eastAsia="仿宋"/>
          <w:bCs/>
          <w:color w:val="000000"/>
          <w:sz w:val="32"/>
          <w:szCs w:val="32"/>
        </w:rPr>
        <w:t>．</w:t>
      </w:r>
      <w:r>
        <w:rPr>
          <w:rFonts w:eastAsia="仿宋_GB2312"/>
          <w:b/>
          <w:sz w:val="32"/>
          <w:szCs w:val="32"/>
        </w:rPr>
        <w:t>因公出国（境）经费支出</w:t>
      </w:r>
      <w:r>
        <w:rPr>
          <w:rFonts w:eastAsia="仿宋_GB2312"/>
          <w:sz w:val="32"/>
          <w:szCs w:val="32"/>
        </w:rPr>
        <w:t>0万元，</w:t>
      </w:r>
      <w:r>
        <w:rPr>
          <w:rStyle w:val="16"/>
          <w:rFonts w:eastAsia="仿宋"/>
          <w:b w:val="0"/>
          <w:bCs/>
          <w:sz w:val="32"/>
          <w:szCs w:val="32"/>
        </w:rPr>
        <w:t>完成预算0%。</w:t>
      </w:r>
      <w:r>
        <w:rPr>
          <w:rFonts w:eastAsia="仿宋_GB2312"/>
          <w:sz w:val="32"/>
          <w:szCs w:val="32"/>
        </w:rPr>
        <w:t>全年安排因公出国（境）团组0次，出国（境）0人。因公出国（境）支出决算与2020年持平。</w:t>
      </w:r>
    </w:p>
    <w:p>
      <w:pPr>
        <w:spacing w:line="600" w:lineRule="exact"/>
        <w:ind w:firstLine="640"/>
        <w:rPr>
          <w:rFonts w:eastAsia="仿宋_GB2312"/>
          <w:b/>
          <w:sz w:val="32"/>
          <w:szCs w:val="32"/>
        </w:rPr>
      </w:pPr>
      <w:r>
        <w:rPr>
          <w:rFonts w:eastAsia="仿宋_GB2312"/>
          <w:b/>
          <w:sz w:val="32"/>
          <w:szCs w:val="32"/>
        </w:rPr>
        <w:t>2</w:t>
      </w:r>
      <w:r>
        <w:rPr>
          <w:rStyle w:val="16"/>
          <w:rFonts w:eastAsia="仿宋"/>
          <w:bCs/>
          <w:color w:val="000000"/>
          <w:sz w:val="32"/>
          <w:szCs w:val="32"/>
        </w:rPr>
        <w:t>．</w:t>
      </w:r>
      <w:r>
        <w:rPr>
          <w:rFonts w:eastAsia="仿宋_GB2312"/>
          <w:b/>
          <w:sz w:val="32"/>
          <w:szCs w:val="32"/>
        </w:rPr>
        <w:t>公务用车购置及运行维护费支出</w:t>
      </w:r>
      <w:r>
        <w:rPr>
          <w:rFonts w:eastAsia="仿宋"/>
          <w:sz w:val="32"/>
          <w:szCs w:val="32"/>
        </w:rPr>
        <w:t>92.90</w:t>
      </w:r>
      <w:r>
        <w:rPr>
          <w:rFonts w:eastAsia="仿宋_GB2312"/>
          <w:sz w:val="32"/>
          <w:szCs w:val="32"/>
        </w:rPr>
        <w:t>万元</w:t>
      </w:r>
      <w:r>
        <w:rPr>
          <w:rFonts w:hint="eastAsia" w:eastAsia="仿宋_GB2312"/>
          <w:sz w:val="32"/>
          <w:szCs w:val="32"/>
        </w:rPr>
        <w:t>，</w:t>
      </w:r>
      <w:r>
        <w:rPr>
          <w:rStyle w:val="16"/>
          <w:rFonts w:eastAsia="仿宋"/>
          <w:b w:val="0"/>
          <w:bCs/>
          <w:sz w:val="32"/>
          <w:szCs w:val="32"/>
        </w:rPr>
        <w:t>完成预算100%。</w:t>
      </w:r>
      <w:r>
        <w:rPr>
          <w:rFonts w:eastAsia="仿宋_GB2312"/>
          <w:sz w:val="32"/>
          <w:szCs w:val="32"/>
        </w:rPr>
        <w:t>公务用车购置及运行维护费支出决算比2020年减少59.99万元，下降39.24%。主要原因是2021年公务用车购置支出比2020年减少了50.27万元所致。</w:t>
      </w:r>
    </w:p>
    <w:p>
      <w:pPr>
        <w:spacing w:line="600" w:lineRule="exact"/>
        <w:ind w:firstLine="640" w:firstLineChars="200"/>
        <w:rPr>
          <w:rFonts w:eastAsia="仿宋_GB2312"/>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8.30万元。全年按规定更新购置公务用车1辆，其中：货车1辆、金额8.30万元，主要用于文化旅游新闻出版执法检查。截至2021年12月底，单位共有公务用车43辆，其中：轿车16辆、越野车6辆、载客汽车11辆、货车10辆。</w:t>
      </w:r>
    </w:p>
    <w:p>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84.60万元。主要用于</w:t>
      </w:r>
      <w:r>
        <w:rPr>
          <w:rFonts w:eastAsia="仿宋"/>
          <w:sz w:val="32"/>
          <w:szCs w:val="32"/>
        </w:rPr>
        <w:t>调研、检查督导、考察的车辆使用、接送机</w:t>
      </w:r>
      <w:r>
        <w:rPr>
          <w:rFonts w:eastAsia="仿宋_GB2312"/>
          <w:sz w:val="32"/>
          <w:szCs w:val="32"/>
        </w:rPr>
        <w:t>等所需的公务用车燃料费、维修费、过路过桥费、保险费等支出。</w:t>
      </w:r>
    </w:p>
    <w:p>
      <w:pPr>
        <w:spacing w:line="600" w:lineRule="exact"/>
        <w:ind w:firstLine="640"/>
        <w:rPr>
          <w:rFonts w:eastAsia="仿宋_GB2312"/>
          <w:sz w:val="32"/>
          <w:szCs w:val="32"/>
        </w:rPr>
      </w:pPr>
      <w:r>
        <w:rPr>
          <w:rFonts w:eastAsia="仿宋_GB2312"/>
          <w:b/>
          <w:sz w:val="32"/>
          <w:szCs w:val="32"/>
        </w:rPr>
        <w:t>3</w:t>
      </w:r>
      <w:r>
        <w:rPr>
          <w:rStyle w:val="16"/>
          <w:rFonts w:eastAsia="仿宋"/>
          <w:bCs/>
          <w:color w:val="000000"/>
          <w:sz w:val="32"/>
          <w:szCs w:val="32"/>
        </w:rPr>
        <w:t>．</w:t>
      </w:r>
      <w:r>
        <w:rPr>
          <w:rFonts w:eastAsia="仿宋_GB2312"/>
          <w:b/>
          <w:sz w:val="32"/>
          <w:szCs w:val="32"/>
        </w:rPr>
        <w:t>公务接待费支出</w:t>
      </w:r>
      <w:r>
        <w:rPr>
          <w:rFonts w:eastAsia="仿宋_GB2312"/>
          <w:sz w:val="32"/>
          <w:szCs w:val="32"/>
        </w:rPr>
        <w:t>8.49万元，</w:t>
      </w:r>
      <w:r>
        <w:rPr>
          <w:rStyle w:val="16"/>
          <w:rFonts w:eastAsia="仿宋"/>
          <w:b w:val="0"/>
          <w:bCs/>
          <w:sz w:val="32"/>
          <w:szCs w:val="32"/>
        </w:rPr>
        <w:t>完成预算100%。</w:t>
      </w:r>
      <w:r>
        <w:rPr>
          <w:rFonts w:eastAsia="仿宋_GB2312"/>
          <w:sz w:val="32"/>
          <w:szCs w:val="32"/>
        </w:rPr>
        <w:t>公务接待费支出决算比2020年增加1.02万元，增长13.65%。主要</w:t>
      </w:r>
      <w:r>
        <w:rPr>
          <w:rFonts w:hint="eastAsia" w:eastAsia="仿宋_GB2312"/>
          <w:sz w:val="32"/>
          <w:szCs w:val="32"/>
        </w:rPr>
        <w:t>原因是</w:t>
      </w:r>
      <w:r>
        <w:rPr>
          <w:rFonts w:eastAsia="仿宋_GB2312"/>
          <w:sz w:val="32"/>
          <w:szCs w:val="32"/>
        </w:rPr>
        <w:t>督导检查、调研等增加所致。其中：</w:t>
      </w:r>
    </w:p>
    <w:p>
      <w:pPr>
        <w:spacing w:line="600" w:lineRule="exact"/>
        <w:ind w:firstLine="640"/>
        <w:rPr>
          <w:rFonts w:eastAsia="仿宋_GB2312"/>
          <w:sz w:val="32"/>
          <w:szCs w:val="32"/>
        </w:rPr>
      </w:pPr>
      <w:r>
        <w:rPr>
          <w:rFonts w:eastAsia="仿宋"/>
          <w:b/>
          <w:sz w:val="32"/>
          <w:szCs w:val="32"/>
        </w:rPr>
        <w:t>国内公务接待支出</w:t>
      </w:r>
      <w:r>
        <w:rPr>
          <w:rFonts w:eastAsia="仿宋"/>
          <w:sz w:val="32"/>
          <w:szCs w:val="32"/>
        </w:rPr>
        <w:t>8.49</w:t>
      </w:r>
      <w:r>
        <w:rPr>
          <w:rFonts w:eastAsia="仿宋_GB2312"/>
          <w:sz w:val="32"/>
          <w:szCs w:val="32"/>
        </w:rPr>
        <w:t>万元，主要用于执行公务、开展业务活动开支的交通费、住宿费、用餐费等。国内公务接待173批次，1110人次（不包括陪同人员），共计支出8.49万元，具体内容包括：</w:t>
      </w:r>
      <w:r>
        <w:rPr>
          <w:rStyle w:val="16"/>
          <w:rFonts w:eastAsia="仿宋"/>
          <w:b w:val="0"/>
          <w:bCs/>
          <w:color w:val="000000"/>
          <w:sz w:val="32"/>
          <w:szCs w:val="32"/>
        </w:rPr>
        <w:t>接待上级检查及调研142批次，874人次，支出6.12万元；接待友好市州考察交流27批次，216人次，支出1.89万元；接待院团等交流合作4批次，20人次，支出0.48万元</w:t>
      </w:r>
      <w:r>
        <w:rPr>
          <w:rFonts w:eastAsia="仿宋_GB2312"/>
          <w:sz w:val="32"/>
          <w:szCs w:val="32"/>
        </w:rPr>
        <w:t>。</w:t>
      </w:r>
    </w:p>
    <w:p>
      <w:pPr>
        <w:spacing w:line="600" w:lineRule="exact"/>
        <w:ind w:firstLine="643" w:firstLineChars="200"/>
        <w:rPr>
          <w:rFonts w:eastAsia="仿宋_GB2312"/>
          <w:sz w:val="32"/>
          <w:szCs w:val="32"/>
        </w:rPr>
      </w:pPr>
      <w:r>
        <w:rPr>
          <w:rFonts w:eastAsia="仿宋"/>
          <w:b/>
          <w:sz w:val="32"/>
          <w:szCs w:val="32"/>
        </w:rPr>
        <w:t>外事接待支出</w:t>
      </w:r>
      <w:r>
        <w:rPr>
          <w:rFonts w:eastAsia="仿宋"/>
          <w:sz w:val="32"/>
          <w:szCs w:val="32"/>
        </w:rPr>
        <w:t>0</w:t>
      </w:r>
      <w:r>
        <w:rPr>
          <w:rFonts w:eastAsia="仿宋_GB2312"/>
          <w:sz w:val="32"/>
          <w:szCs w:val="32"/>
        </w:rPr>
        <w:t>万元，外事接待0批次，0人，共计支出0万元。</w:t>
      </w:r>
    </w:p>
    <w:p>
      <w:pPr>
        <w:spacing w:line="600" w:lineRule="exact"/>
        <w:ind w:firstLine="640"/>
        <w:rPr>
          <w:rFonts w:eastAsia="黑体"/>
          <w:sz w:val="32"/>
          <w:szCs w:val="32"/>
        </w:rPr>
      </w:pPr>
      <w:bookmarkStart w:id="98" w:name="_Toc15396610"/>
      <w:bookmarkStart w:id="99" w:name="_Toc15377218"/>
    </w:p>
    <w:p>
      <w:pPr>
        <w:spacing w:line="600" w:lineRule="exact"/>
        <w:ind w:firstLine="640"/>
        <w:outlineLvl w:val="1"/>
        <w:rPr>
          <w:rStyle w:val="27"/>
          <w:rFonts w:ascii="Times New Roman" w:hAnsi="Times New Roman" w:eastAsia="黑体" w:cs="Times New Roman"/>
        </w:rPr>
      </w:pPr>
      <w:bookmarkStart w:id="100" w:name="_Toc26075"/>
      <w:bookmarkStart w:id="101" w:name="_Toc2324"/>
      <w:bookmarkStart w:id="102" w:name="_Toc14242"/>
      <w:bookmarkStart w:id="103" w:name="_Toc22176"/>
      <w:r>
        <w:rPr>
          <w:rFonts w:eastAsia="黑体"/>
          <w:sz w:val="32"/>
          <w:szCs w:val="32"/>
        </w:rPr>
        <w:t>八、</w:t>
      </w:r>
      <w:r>
        <w:rPr>
          <w:rStyle w:val="27"/>
          <w:rFonts w:ascii="Times New Roman" w:hAnsi="Times New Roman" w:eastAsia="黑体" w:cs="Times New Roman"/>
          <w:b w:val="0"/>
        </w:rPr>
        <w:t>政府性基金预算支出决算情况说明</w:t>
      </w:r>
      <w:bookmarkEnd w:id="98"/>
      <w:bookmarkEnd w:id="99"/>
      <w:bookmarkEnd w:id="100"/>
      <w:bookmarkEnd w:id="101"/>
      <w:bookmarkEnd w:id="102"/>
      <w:bookmarkEnd w:id="103"/>
    </w:p>
    <w:p>
      <w:pPr>
        <w:spacing w:line="600" w:lineRule="exact"/>
        <w:ind w:firstLine="640"/>
        <w:rPr>
          <w:rFonts w:eastAsia="仿宋_GB2312"/>
          <w:sz w:val="32"/>
          <w:szCs w:val="32"/>
        </w:rPr>
      </w:pPr>
      <w:r>
        <w:rPr>
          <w:rFonts w:eastAsia="仿宋_GB2312"/>
          <w:sz w:val="32"/>
          <w:szCs w:val="32"/>
        </w:rPr>
        <w:t>2021年政府性基金预算财政拨款支出314.00万元。</w:t>
      </w:r>
    </w:p>
    <w:p>
      <w:pPr>
        <w:spacing w:line="600" w:lineRule="exact"/>
        <w:ind w:firstLine="640"/>
        <w:rPr>
          <w:rFonts w:eastAsia="仿宋_GB2312"/>
          <w:sz w:val="32"/>
          <w:szCs w:val="32"/>
        </w:rPr>
      </w:pPr>
    </w:p>
    <w:p>
      <w:pPr>
        <w:spacing w:line="600" w:lineRule="exact"/>
        <w:ind w:firstLine="640" w:firstLineChars="200"/>
        <w:outlineLvl w:val="1"/>
        <w:rPr>
          <w:rStyle w:val="27"/>
          <w:rFonts w:ascii="Times New Roman" w:hAnsi="Times New Roman" w:eastAsia="黑体" w:cs="Times New Roman"/>
          <w:b w:val="0"/>
        </w:rPr>
      </w:pPr>
      <w:bookmarkStart w:id="104" w:name="_Toc14484"/>
      <w:bookmarkStart w:id="105" w:name="_Toc15377219"/>
      <w:bookmarkStart w:id="106" w:name="_Toc16967"/>
      <w:bookmarkStart w:id="107" w:name="_Toc15396611"/>
      <w:bookmarkStart w:id="108" w:name="_Toc12804"/>
      <w:bookmarkStart w:id="109" w:name="_Toc9452"/>
      <w:r>
        <w:rPr>
          <w:rStyle w:val="27"/>
          <w:rFonts w:ascii="Times New Roman" w:hAnsi="Times New Roman" w:eastAsia="黑体" w:cs="Times New Roman"/>
          <w:b w:val="0"/>
        </w:rPr>
        <w:t>九、国有资本经营预算支出决算情况说明</w:t>
      </w:r>
      <w:bookmarkEnd w:id="104"/>
      <w:bookmarkEnd w:id="105"/>
      <w:bookmarkEnd w:id="106"/>
      <w:bookmarkEnd w:id="107"/>
      <w:bookmarkEnd w:id="108"/>
      <w:bookmarkEnd w:id="109"/>
    </w:p>
    <w:p>
      <w:pPr>
        <w:spacing w:line="600" w:lineRule="exact"/>
        <w:ind w:firstLine="640"/>
        <w:rPr>
          <w:rFonts w:eastAsia="仿宋_GB2312"/>
          <w:sz w:val="32"/>
          <w:szCs w:val="32"/>
        </w:rPr>
      </w:pPr>
      <w:r>
        <w:rPr>
          <w:rFonts w:eastAsia="仿宋_GB2312"/>
          <w:sz w:val="32"/>
          <w:szCs w:val="32"/>
        </w:rPr>
        <w:t>2021年国有资本经营预算财政拨款支出0万元。</w:t>
      </w:r>
    </w:p>
    <w:p>
      <w:pPr>
        <w:spacing w:line="580" w:lineRule="exact"/>
        <w:jc w:val="center"/>
        <w:rPr>
          <w:rFonts w:eastAsia="方正小标宋简体"/>
          <w:sz w:val="44"/>
          <w:szCs w:val="44"/>
        </w:rPr>
      </w:pPr>
    </w:p>
    <w:p>
      <w:pPr>
        <w:spacing w:line="600" w:lineRule="exact"/>
        <w:ind w:firstLine="640" w:firstLineChars="200"/>
        <w:outlineLvl w:val="1"/>
        <w:rPr>
          <w:rStyle w:val="27"/>
          <w:rFonts w:ascii="Times New Roman" w:hAnsi="Times New Roman" w:eastAsia="黑体" w:cs="Times New Roman"/>
          <w:b w:val="0"/>
        </w:rPr>
      </w:pPr>
      <w:bookmarkStart w:id="110" w:name="_Toc14264"/>
      <w:bookmarkStart w:id="111" w:name="_Toc579"/>
      <w:bookmarkStart w:id="112" w:name="_Toc15396612"/>
      <w:bookmarkStart w:id="113" w:name="_Toc15377221"/>
      <w:bookmarkStart w:id="114" w:name="_Toc24060"/>
      <w:bookmarkStart w:id="115" w:name="_Toc10377"/>
      <w:r>
        <w:rPr>
          <w:rStyle w:val="27"/>
          <w:rFonts w:ascii="Times New Roman" w:hAnsi="Times New Roman" w:eastAsia="黑体" w:cs="Times New Roman"/>
          <w:b w:val="0"/>
        </w:rPr>
        <w:t>十、其他重要事项的情况说明</w:t>
      </w:r>
      <w:bookmarkEnd w:id="110"/>
      <w:bookmarkEnd w:id="111"/>
      <w:bookmarkEnd w:id="112"/>
      <w:bookmarkEnd w:id="113"/>
      <w:bookmarkEnd w:id="114"/>
      <w:bookmarkEnd w:id="115"/>
    </w:p>
    <w:p>
      <w:pPr>
        <w:spacing w:line="600" w:lineRule="exact"/>
        <w:ind w:firstLine="643" w:firstLineChars="200"/>
        <w:rPr>
          <w:rFonts w:eastAsia="仿宋"/>
          <w:sz w:val="32"/>
          <w:szCs w:val="32"/>
        </w:rPr>
      </w:pPr>
      <w:bookmarkStart w:id="116" w:name="_Toc15377222"/>
      <w:r>
        <w:rPr>
          <w:rFonts w:eastAsia="仿宋"/>
          <w:b/>
          <w:sz w:val="32"/>
          <w:szCs w:val="32"/>
        </w:rPr>
        <w:t>（一）机关运行经费支出情况</w:t>
      </w:r>
      <w:bookmarkEnd w:id="116"/>
    </w:p>
    <w:p>
      <w:pPr>
        <w:spacing w:line="600" w:lineRule="exact"/>
        <w:ind w:firstLine="640" w:firstLineChars="200"/>
        <w:rPr>
          <w:rFonts w:eastAsia="仿宋_GB2312"/>
          <w:sz w:val="32"/>
          <w:szCs w:val="32"/>
        </w:rPr>
      </w:pPr>
      <w:r>
        <w:rPr>
          <w:rFonts w:eastAsia="仿宋_GB2312"/>
          <w:sz w:val="32"/>
          <w:szCs w:val="32"/>
        </w:rPr>
        <w:t>2021年，</w:t>
      </w:r>
      <w:r>
        <w:rPr>
          <w:rStyle w:val="16"/>
          <w:rFonts w:eastAsia="仿宋"/>
          <w:b w:val="0"/>
          <w:bCs/>
          <w:color w:val="000000"/>
          <w:sz w:val="32"/>
          <w:szCs w:val="32"/>
        </w:rPr>
        <w:t>攀枝花市文化广播电视和旅游系统</w:t>
      </w:r>
      <w:r>
        <w:rPr>
          <w:rFonts w:eastAsia="仿宋_GB2312"/>
          <w:sz w:val="32"/>
          <w:szCs w:val="32"/>
        </w:rPr>
        <w:t>机关运行经费支出206.94万元，比2020年减少10.00万元，下降4.61%。主要原因是机关运行经费预算进一步压缩</w:t>
      </w:r>
      <w:r>
        <w:rPr>
          <w:rFonts w:hint="eastAsia" w:eastAsia="仿宋_GB2312"/>
          <w:sz w:val="32"/>
          <w:szCs w:val="32"/>
        </w:rPr>
        <w:t>所致</w:t>
      </w:r>
      <w:r>
        <w:rPr>
          <w:rFonts w:eastAsia="仿宋_GB2312"/>
          <w:sz w:val="32"/>
          <w:szCs w:val="32"/>
        </w:rPr>
        <w:t>。</w:t>
      </w:r>
    </w:p>
    <w:p>
      <w:pPr>
        <w:autoSpaceDE w:val="0"/>
        <w:autoSpaceDN w:val="0"/>
        <w:adjustRightInd w:val="0"/>
        <w:spacing w:line="600" w:lineRule="exact"/>
        <w:ind w:firstLine="643" w:firstLineChars="200"/>
        <w:jc w:val="left"/>
        <w:rPr>
          <w:rFonts w:eastAsia="仿宋"/>
          <w:b/>
          <w:sz w:val="32"/>
          <w:szCs w:val="32"/>
        </w:rPr>
      </w:pPr>
      <w:bookmarkStart w:id="117" w:name="_Toc15377223"/>
      <w:r>
        <w:rPr>
          <w:rFonts w:eastAsia="仿宋"/>
          <w:b/>
          <w:sz w:val="32"/>
          <w:szCs w:val="32"/>
        </w:rPr>
        <w:t>（二）政府采购支出情况</w:t>
      </w:r>
      <w:bookmarkEnd w:id="117"/>
    </w:p>
    <w:p>
      <w:pPr>
        <w:spacing w:line="600" w:lineRule="exact"/>
        <w:ind w:firstLine="640" w:firstLineChars="200"/>
        <w:rPr>
          <w:rFonts w:eastAsia="仿宋_GB2312"/>
          <w:sz w:val="32"/>
          <w:szCs w:val="32"/>
        </w:rPr>
      </w:pPr>
      <w:r>
        <w:rPr>
          <w:rFonts w:eastAsia="仿宋_GB2312"/>
          <w:sz w:val="32"/>
          <w:szCs w:val="32"/>
        </w:rPr>
        <w:t>2021年，</w:t>
      </w:r>
      <w:r>
        <w:rPr>
          <w:rStyle w:val="16"/>
          <w:rFonts w:eastAsia="仿宋"/>
          <w:b w:val="0"/>
          <w:bCs/>
          <w:color w:val="000000"/>
          <w:sz w:val="32"/>
          <w:szCs w:val="32"/>
        </w:rPr>
        <w:t>攀枝花市文化广播电视和旅游系统</w:t>
      </w:r>
      <w:r>
        <w:rPr>
          <w:rFonts w:eastAsia="仿宋_GB2312"/>
          <w:sz w:val="32"/>
          <w:szCs w:val="32"/>
        </w:rPr>
        <w:t>政府采购支出总额500.43万元，其中：政府采购货物支出208.59万元、政府采购工程支出71.84万元、政府采购服务支出220.00万元。主要用于广播电视设施设备更新、文旅融合及配套休闲设施建设、博物馆后勤保障购买服务、办公设备更新、购置文化旅游新闻出版执法检查车1辆。授予中小企业合同金额500.43万元，占政府采购支出总额的100%，其中：授予小微企业合同金额312.57万元，占政府采购支出总额的62.46%。</w:t>
      </w:r>
    </w:p>
    <w:p>
      <w:pPr>
        <w:autoSpaceDE w:val="0"/>
        <w:autoSpaceDN w:val="0"/>
        <w:adjustRightInd w:val="0"/>
        <w:spacing w:line="600" w:lineRule="exact"/>
        <w:ind w:firstLine="643" w:firstLineChars="200"/>
        <w:jc w:val="left"/>
        <w:rPr>
          <w:rFonts w:eastAsia="仿宋"/>
          <w:b/>
          <w:sz w:val="32"/>
          <w:szCs w:val="32"/>
        </w:rPr>
      </w:pPr>
      <w:bookmarkStart w:id="118" w:name="_Toc15377224"/>
      <w:r>
        <w:rPr>
          <w:rFonts w:eastAsia="仿宋"/>
          <w:b/>
          <w:sz w:val="32"/>
          <w:szCs w:val="32"/>
        </w:rPr>
        <w:t>（三）国有资产占有使用情况</w:t>
      </w:r>
      <w:bookmarkEnd w:id="118"/>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截至2021年12月31日，</w:t>
      </w:r>
      <w:r>
        <w:rPr>
          <w:rStyle w:val="16"/>
          <w:rFonts w:eastAsia="仿宋"/>
          <w:b w:val="0"/>
          <w:bCs/>
          <w:color w:val="000000"/>
          <w:sz w:val="32"/>
          <w:szCs w:val="32"/>
        </w:rPr>
        <w:t>攀枝花市文化广播电视和旅游系统</w:t>
      </w:r>
      <w:r>
        <w:rPr>
          <w:rFonts w:eastAsia="仿宋_GB2312"/>
          <w:sz w:val="32"/>
          <w:szCs w:val="32"/>
        </w:rPr>
        <w:t>共有车辆43辆，其中：主要领导干部用车0辆、机要通信用车0辆、应急保障用车2辆、执法执勤用车2辆、其他用车39辆。其他用车主要是用于</w:t>
      </w:r>
      <w:r>
        <w:rPr>
          <w:rStyle w:val="16"/>
          <w:rFonts w:eastAsia="仿宋"/>
          <w:b w:val="0"/>
          <w:bCs/>
          <w:color w:val="000000"/>
          <w:sz w:val="32"/>
          <w:szCs w:val="32"/>
        </w:rPr>
        <w:t>单位的日常公务使用</w:t>
      </w:r>
      <w:r>
        <w:rPr>
          <w:rFonts w:eastAsia="仿宋_GB2312"/>
          <w:sz w:val="32"/>
          <w:szCs w:val="32"/>
        </w:rPr>
        <w:t>。单价50万元以上通用设备9台（套），单价100万元以上专用设备0台（套）。</w:t>
      </w:r>
    </w:p>
    <w:p>
      <w:pPr>
        <w:autoSpaceDE w:val="0"/>
        <w:autoSpaceDN w:val="0"/>
        <w:adjustRightInd w:val="0"/>
        <w:spacing w:line="600" w:lineRule="exact"/>
        <w:ind w:firstLine="643" w:firstLineChars="200"/>
        <w:jc w:val="left"/>
        <w:rPr>
          <w:rFonts w:eastAsia="仿宋"/>
          <w:b/>
          <w:sz w:val="32"/>
          <w:szCs w:val="32"/>
        </w:rPr>
      </w:pPr>
      <w:r>
        <w:rPr>
          <w:rFonts w:eastAsia="仿宋"/>
          <w:b/>
          <w:sz w:val="32"/>
          <w:szCs w:val="32"/>
        </w:rPr>
        <w:t>（四）预算绩效管理情况</w:t>
      </w:r>
    </w:p>
    <w:p>
      <w:pPr>
        <w:spacing w:line="580" w:lineRule="exact"/>
        <w:ind w:firstLine="640" w:firstLineChars="200"/>
      </w:pPr>
      <w:r>
        <w:rPr>
          <w:rFonts w:eastAsia="仿宋_GB2312"/>
          <w:sz w:val="32"/>
          <w:szCs w:val="32"/>
        </w:rPr>
        <w:t>根据预算绩效管理要求，本部门在年初预算编制阶段，组织对业务运行费、监播运行经费、攀枝花市广播电视安全播出数字检测监管系统设备采购项目、</w:t>
      </w:r>
      <w:r>
        <w:rPr>
          <w:rFonts w:hint="eastAsia" w:eastAsia="仿宋_GB2312"/>
          <w:sz w:val="32"/>
          <w:szCs w:val="32"/>
        </w:rPr>
        <w:t>攀枝花</w:t>
      </w:r>
      <w:r>
        <w:rPr>
          <w:rFonts w:eastAsia="仿宋_GB2312"/>
          <w:sz w:val="32"/>
          <w:szCs w:val="32"/>
        </w:rPr>
        <w:t>市广播电视公共服务体系运维资金、攀枝花康养民宿产业发展论坛等系列活动、援藏援彝干部补助、攀枝花市民讲坛、文化馆公共文化补助经费、文艺创作经费、执法业务运行费、执法车辆购置、文化艺术中心、广播电视业务运行费、大黑山发射台电费、市广播电视台援藏援彝干部补助定额补助经费、阳光问廉栏目经费、讲解费、博物馆业务运行费等18个项目开展了预算事前绩效评估，对年初部门预算确定的18个项目编制了绩效目标，预算执行过程中，选取49个项目开展绩效监控（包括年中追加项目），年终执行完毕后，对49个项目开展了绩效目标完成情况自评。同时，本部门对2021年部门整体开展绩效自评，《2021年攀枝花市文化广播电视和旅游局部门整体绩效评价报告》见附件（第四部分）。</w:t>
      </w:r>
    </w:p>
    <w:p>
      <w:pPr>
        <w:widowControl/>
        <w:jc w:val="left"/>
        <w:rPr>
          <w:rFonts w:eastAsia="仿宋_GB2312"/>
          <w:b/>
          <w:sz w:val="32"/>
          <w:szCs w:val="32"/>
        </w:rPr>
      </w:pPr>
      <w:r>
        <w:rPr>
          <w:rFonts w:eastAsia="仿宋_GB2312"/>
          <w:b/>
          <w:sz w:val="32"/>
          <w:szCs w:val="32"/>
        </w:rPr>
        <w:br w:type="page"/>
      </w:r>
    </w:p>
    <w:p>
      <w:pPr>
        <w:numPr>
          <w:ilvl w:val="0"/>
          <w:numId w:val="1"/>
        </w:numPr>
        <w:spacing w:line="600" w:lineRule="exact"/>
        <w:ind w:firstLine="660" w:firstLineChars="150"/>
        <w:jc w:val="center"/>
        <w:outlineLvl w:val="0"/>
        <w:rPr>
          <w:rStyle w:val="26"/>
          <w:rFonts w:eastAsia="黑体"/>
          <w:b w:val="0"/>
        </w:rPr>
      </w:pPr>
      <w:bookmarkStart w:id="119" w:name="_Toc15396613"/>
      <w:bookmarkStart w:id="120" w:name="_Toc28430"/>
      <w:bookmarkStart w:id="121" w:name="_Toc5352"/>
      <w:bookmarkStart w:id="122" w:name="_Toc15851"/>
      <w:bookmarkStart w:id="123" w:name="_Toc15928"/>
      <w:bookmarkStart w:id="124" w:name="_Toc15377225"/>
      <w:r>
        <w:rPr>
          <w:rFonts w:eastAsia="黑体"/>
          <w:sz w:val="44"/>
          <w:szCs w:val="44"/>
        </w:rPr>
        <w:t>名</w:t>
      </w:r>
      <w:r>
        <w:rPr>
          <w:rStyle w:val="26"/>
          <w:rFonts w:eastAsia="黑体"/>
          <w:b w:val="0"/>
        </w:rPr>
        <w:t>词解释</w:t>
      </w:r>
      <w:bookmarkEnd w:id="119"/>
      <w:bookmarkEnd w:id="120"/>
      <w:bookmarkEnd w:id="121"/>
      <w:bookmarkEnd w:id="122"/>
      <w:bookmarkEnd w:id="123"/>
      <w:bookmarkEnd w:id="124"/>
    </w:p>
    <w:p>
      <w:pPr>
        <w:spacing w:line="600" w:lineRule="exact"/>
        <w:jc w:val="left"/>
        <w:rPr>
          <w:b/>
          <w:sz w:val="44"/>
          <w:szCs w:val="44"/>
        </w:rPr>
      </w:pPr>
    </w:p>
    <w:p>
      <w:pPr>
        <w:pStyle w:val="24"/>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24"/>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2．其他收入：指单位取得的除上述收入以外的各项收入。主要是青鹏人才支持资金、文艺创作扶持资金、剧目补助经费、戏曲进校园扶持资金、四川艺术基金经费、研学基地专项资金及银行存款利息收入等。</w:t>
      </w:r>
    </w:p>
    <w:p>
      <w:pPr>
        <w:pStyle w:val="24"/>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3．年初结转和结余：指以前年度尚未完成、结转到本年按有关规定继续使用的资金。</w:t>
      </w:r>
    </w:p>
    <w:p>
      <w:pPr>
        <w:pStyle w:val="24"/>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4．年末结转和结余：指单位按有关规定结转到下年或以后年度继续使用的资金。</w:t>
      </w:r>
    </w:p>
    <w:p>
      <w:pPr>
        <w:spacing w:line="600" w:lineRule="exact"/>
        <w:ind w:firstLine="640" w:firstLineChars="200"/>
        <w:rPr>
          <w:rFonts w:eastAsia="仿宋"/>
          <w:b/>
          <w:sz w:val="32"/>
          <w:szCs w:val="32"/>
        </w:rPr>
      </w:pPr>
      <w:r>
        <w:rPr>
          <w:rFonts w:eastAsia="仿宋_GB2312"/>
          <w:sz w:val="32"/>
          <w:szCs w:val="32"/>
        </w:rPr>
        <w:t>5．</w:t>
      </w:r>
      <w:r>
        <w:rPr>
          <w:rFonts w:eastAsia="仿宋_GB2312"/>
          <w:kern w:val="0"/>
          <w:sz w:val="32"/>
          <w:szCs w:val="32"/>
        </w:rPr>
        <w:t>一般公共服务（类）商贸事务（款）招商引资（项）：指用于招商引资、优化经济环境等方面的支出。</w:t>
      </w:r>
    </w:p>
    <w:p>
      <w:pPr>
        <w:spacing w:line="600" w:lineRule="exact"/>
        <w:ind w:firstLine="640" w:firstLineChars="200"/>
        <w:rPr>
          <w:rFonts w:eastAsia="仿宋_GB2312"/>
          <w:sz w:val="32"/>
          <w:szCs w:val="32"/>
        </w:rPr>
      </w:pPr>
      <w:r>
        <w:rPr>
          <w:rFonts w:eastAsia="仿宋_GB2312"/>
          <w:sz w:val="32"/>
          <w:szCs w:val="32"/>
        </w:rPr>
        <w:t>6．一般公共服务（类）组织事务（款）其他组织事务支出（项）：</w:t>
      </w:r>
      <w:r>
        <w:rPr>
          <w:rFonts w:eastAsia="仿宋"/>
          <w:sz w:val="32"/>
          <w:szCs w:val="32"/>
        </w:rPr>
        <w:t>指其他用于中国共产党组织部门的事务支出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7．一般公共服务（类）宣传事务（款）其他宣传事务支出（项）：指除上述项目以外其他用于中国共产党宣传部门的事务支出。</w:t>
      </w:r>
    </w:p>
    <w:p>
      <w:pPr>
        <w:spacing w:line="600" w:lineRule="exact"/>
        <w:ind w:firstLine="640" w:firstLineChars="200"/>
        <w:rPr>
          <w:rFonts w:eastAsia="仿宋_GB2312"/>
          <w:sz w:val="32"/>
          <w:szCs w:val="32"/>
        </w:rPr>
      </w:pPr>
      <w:r>
        <w:rPr>
          <w:rFonts w:eastAsia="仿宋_GB2312"/>
          <w:sz w:val="32"/>
          <w:szCs w:val="32"/>
        </w:rPr>
        <w:t>8．科学技术（类）其他科学技术支出（款）其他科学技术支出（项）：指其他用于科学技术普及方面的支出。</w:t>
      </w:r>
    </w:p>
    <w:p>
      <w:pPr>
        <w:spacing w:line="600" w:lineRule="exact"/>
        <w:ind w:firstLine="640" w:firstLineChars="200"/>
        <w:rPr>
          <w:rFonts w:eastAsia="仿宋_GB2312"/>
          <w:sz w:val="32"/>
          <w:szCs w:val="32"/>
        </w:rPr>
      </w:pPr>
      <w:r>
        <w:rPr>
          <w:rFonts w:eastAsia="仿宋_GB2312"/>
          <w:sz w:val="32"/>
          <w:szCs w:val="32"/>
        </w:rPr>
        <w:t>9．文化旅游体育与传媒（类）文化和旅游（款）行政运行（项）：指攀枝花市文化广播电视和旅游局、攀枝花市文化市场综合行政执法支队的基本支出。</w:t>
      </w:r>
    </w:p>
    <w:p>
      <w:pPr>
        <w:spacing w:line="600" w:lineRule="exact"/>
        <w:ind w:firstLine="640" w:firstLineChars="200"/>
        <w:rPr>
          <w:rFonts w:eastAsia="仿宋_GB2312"/>
          <w:sz w:val="32"/>
          <w:szCs w:val="32"/>
        </w:rPr>
      </w:pPr>
      <w:r>
        <w:rPr>
          <w:rFonts w:eastAsia="仿宋_GB2312"/>
          <w:sz w:val="32"/>
          <w:szCs w:val="32"/>
        </w:rPr>
        <w:t>10．文化旅游体育与传媒（类）文化和旅游（款）一般行政管理事务（项）：指</w:t>
      </w:r>
      <w:r>
        <w:rPr>
          <w:rFonts w:eastAsia="仿宋"/>
          <w:sz w:val="32"/>
          <w:szCs w:val="32"/>
        </w:rPr>
        <w:t>攀枝花市文化广播电视和旅游局、攀枝花市文化市场综合行政执法支队未单独设置项级科目的其他项目支出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11．文化旅游体育与传媒（类）文化和旅游（款）图书馆（项）：指</w:t>
      </w:r>
      <w:r>
        <w:rPr>
          <w:rFonts w:eastAsia="仿宋"/>
          <w:sz w:val="32"/>
          <w:szCs w:val="32"/>
        </w:rPr>
        <w:t>攀枝花市图书馆用于人员经费、机构运转经费以及开展专业业务活动的支出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12．文化旅游体育与传媒（类）文化和旅游（款）艺术表演团体（项）：指</w:t>
      </w:r>
      <w:r>
        <w:rPr>
          <w:rFonts w:eastAsia="仿宋"/>
          <w:sz w:val="32"/>
          <w:szCs w:val="32"/>
        </w:rPr>
        <w:t>攀枝花市文化艺术中心用于人员经费、机构运转经费以及开展专业业务活动的支出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13．文化旅游体育与传媒（类）文化和旅游（款）群众文化（项）：指</w:t>
      </w:r>
      <w:r>
        <w:rPr>
          <w:rFonts w:eastAsia="仿宋"/>
          <w:sz w:val="32"/>
          <w:szCs w:val="32"/>
        </w:rPr>
        <w:t>攀枝花市文化馆用于人员经费、机构运转经费、开展专业业务活动等方面的支出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14．文化旅游体育与传媒（类）文化和旅游（款）文化创作与保护（项）：指</w:t>
      </w:r>
      <w:r>
        <w:rPr>
          <w:rFonts w:eastAsia="仿宋"/>
          <w:sz w:val="32"/>
          <w:szCs w:val="32"/>
        </w:rPr>
        <w:t>鼓励文学、艺术创作和</w:t>
      </w:r>
      <w:r>
        <w:rPr>
          <w:rFonts w:hint="eastAsia" w:eastAsia="仿宋"/>
          <w:sz w:val="32"/>
          <w:szCs w:val="32"/>
        </w:rPr>
        <w:t>优秀传统文化</w:t>
      </w:r>
      <w:r>
        <w:rPr>
          <w:rFonts w:eastAsia="仿宋"/>
          <w:sz w:val="32"/>
          <w:szCs w:val="32"/>
        </w:rPr>
        <w:t>保护方面的支出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15．文化旅游体育与传媒（类）文化和旅游（款）其他文化和旅游支出（项）：指</w:t>
      </w:r>
      <w:r>
        <w:rPr>
          <w:rFonts w:eastAsia="仿宋"/>
          <w:sz w:val="32"/>
          <w:szCs w:val="32"/>
        </w:rPr>
        <w:t>上述项目以外用于文化和旅游方面的支</w:t>
      </w:r>
      <w:r>
        <w:rPr>
          <w:rFonts w:hint="eastAsia" w:eastAsia="仿宋"/>
          <w:sz w:val="32"/>
          <w:szCs w:val="32"/>
        </w:rPr>
        <w:t>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16．文化旅游体育与传媒（类）文物（款）文物保护（项）：指</w:t>
      </w:r>
      <w:r>
        <w:rPr>
          <w:rFonts w:eastAsia="仿宋"/>
          <w:sz w:val="32"/>
          <w:szCs w:val="32"/>
        </w:rPr>
        <w:t>考古发掘及文物保护方面的支出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17．文化旅游体育与传媒（类）文物（款）博物馆（项）：指</w:t>
      </w:r>
      <w:r>
        <w:rPr>
          <w:rFonts w:eastAsia="仿宋"/>
          <w:sz w:val="32"/>
          <w:szCs w:val="32"/>
        </w:rPr>
        <w:t>博物馆、纪念馆用于人员经费、机构运转经费以及开展专业业务活动的支出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18．文化旅游体育与传媒（类）广播电视（款）广播电视事务（项）：指攀枝花市广播电视台的支出。</w:t>
      </w:r>
    </w:p>
    <w:p>
      <w:pPr>
        <w:spacing w:line="600" w:lineRule="exact"/>
        <w:ind w:firstLine="640" w:firstLineChars="200"/>
        <w:rPr>
          <w:rFonts w:eastAsia="仿宋_GB2312"/>
          <w:sz w:val="32"/>
          <w:szCs w:val="32"/>
        </w:rPr>
      </w:pPr>
      <w:r>
        <w:rPr>
          <w:rFonts w:eastAsia="仿宋_GB2312"/>
          <w:sz w:val="32"/>
          <w:szCs w:val="32"/>
        </w:rPr>
        <w:t>19．文化旅游体育与传媒（类）广播电视（款）其他广播电视支出（项）：指</w:t>
      </w:r>
      <w:r>
        <w:rPr>
          <w:rFonts w:eastAsia="仿宋"/>
          <w:sz w:val="32"/>
          <w:szCs w:val="32"/>
        </w:rPr>
        <w:t>其他用于广播电视方面的支出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20．文化旅游体育与传媒（类）其他文化旅游体育与传媒支出（款）宣传文化发展专项支出（项）：指</w:t>
      </w:r>
      <w:r>
        <w:rPr>
          <w:rFonts w:eastAsia="仿宋"/>
          <w:sz w:val="32"/>
          <w:szCs w:val="32"/>
        </w:rPr>
        <w:t>按照国家有关政策支持宣传文化单位发展的专项支出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21．文化旅游体育与传媒（类）其他文化旅游体育与传媒支出（款）其他文化旅游体育与传媒支出（项）：指</w:t>
      </w:r>
      <w:r>
        <w:rPr>
          <w:rFonts w:eastAsia="仿宋"/>
          <w:sz w:val="32"/>
          <w:szCs w:val="32"/>
        </w:rPr>
        <w:t>上述项目以外用于其他文化旅游体育与传媒方面的支出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22．社会保障和就业（类）人力资源和社会保障管理事务（款）其他人力资源和社会保障管理事务支出（项）：指其他用于人力资源和社会保障管理事务方面的支出。</w:t>
      </w:r>
    </w:p>
    <w:p>
      <w:pPr>
        <w:spacing w:line="600" w:lineRule="exact"/>
        <w:ind w:firstLine="640" w:firstLineChars="200"/>
        <w:rPr>
          <w:rFonts w:eastAsia="仿宋_GB2312"/>
          <w:sz w:val="32"/>
          <w:szCs w:val="32"/>
        </w:rPr>
      </w:pPr>
      <w:r>
        <w:rPr>
          <w:rFonts w:eastAsia="仿宋_GB2312"/>
          <w:sz w:val="32"/>
          <w:szCs w:val="32"/>
        </w:rPr>
        <w:t>23．社会保障和就业（类）行政事业单位养老支出（款）行政单位离退休（项）：指</w:t>
      </w:r>
      <w:r>
        <w:rPr>
          <w:rFonts w:eastAsia="仿宋"/>
          <w:sz w:val="32"/>
          <w:szCs w:val="32"/>
        </w:rPr>
        <w:t>攀枝花市文化广播电视和旅游局、攀枝花市文化市场综合行政执法支队开支的离退休经费</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24．社会保障和就业（类）行政事业单位养老支出（款）事业单位离退休（项）：指</w:t>
      </w:r>
      <w:r>
        <w:rPr>
          <w:rFonts w:eastAsia="仿宋"/>
          <w:sz w:val="32"/>
          <w:szCs w:val="32"/>
        </w:rPr>
        <w:t>事业单位开支的离退休经费</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25．社会保障和就业（类）行政事业单位养老支出（款）机关事业单位基本养老保险缴费支出（项）：指</w:t>
      </w:r>
      <w:r>
        <w:rPr>
          <w:rFonts w:eastAsia="仿宋"/>
          <w:sz w:val="32"/>
          <w:szCs w:val="32"/>
        </w:rPr>
        <w:t>攀枝花市文化广播电视和旅游局机关及局属预算单位实施养老保险制度由单位缴纳的基本养老保险费支出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26．社会保障和就业（类）行政事业单位养老支出（款）其他行政事业单位养老支出（项）：指其他用于行政事业单位养老方面的支出。</w:t>
      </w:r>
    </w:p>
    <w:p>
      <w:pPr>
        <w:spacing w:line="600" w:lineRule="exact"/>
        <w:ind w:firstLine="640" w:firstLineChars="200"/>
        <w:rPr>
          <w:rFonts w:eastAsia="仿宋_GB2312"/>
          <w:sz w:val="32"/>
          <w:szCs w:val="32"/>
        </w:rPr>
      </w:pPr>
      <w:r>
        <w:rPr>
          <w:rFonts w:eastAsia="仿宋_GB2312"/>
          <w:sz w:val="32"/>
          <w:szCs w:val="32"/>
        </w:rPr>
        <w:t>27．社会保障和就业（类）抚恤（款）死亡抚恤（项）：</w:t>
      </w:r>
      <w:r>
        <w:rPr>
          <w:rFonts w:eastAsia="仿宋"/>
          <w:sz w:val="32"/>
          <w:szCs w:val="32"/>
        </w:rPr>
        <w:t>指病故职工家属的一次性和定期抚恤金以及丧葬补助费</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28．社会保障和就业（类）社会福利（款）儿童福利（项）：指</w:t>
      </w:r>
      <w:r>
        <w:rPr>
          <w:rFonts w:eastAsia="仿宋"/>
          <w:sz w:val="32"/>
          <w:szCs w:val="32"/>
        </w:rPr>
        <w:t>对儿童提供福利服务方面的支出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29．城乡社区（类）城乡社区公共设施（款）其他城乡社区公共设施支出（项）：指</w:t>
      </w:r>
      <w:r>
        <w:rPr>
          <w:rFonts w:eastAsia="仿宋"/>
          <w:sz w:val="32"/>
          <w:szCs w:val="32"/>
        </w:rPr>
        <w:t>其他用于城乡社区公共设施方面的支出</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30．住房保障支出（类）住房改革支出（款）住房公积金（项）：指</w:t>
      </w:r>
      <w:r>
        <w:rPr>
          <w:rFonts w:eastAsia="仿宋"/>
          <w:sz w:val="32"/>
          <w:szCs w:val="32"/>
        </w:rPr>
        <w:t>按照人力资源和社会保障部、财政部规定的基本工资和津贴补贴以及规定比例为职工缴纳的住房公积金</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31．基本支出：指为保障机构正常运转、完成日常工作任务而发生的人员支出和公用支出。</w:t>
      </w:r>
    </w:p>
    <w:p>
      <w:pPr>
        <w:ind w:firstLine="640" w:firstLineChars="200"/>
        <w:rPr>
          <w:rFonts w:eastAsia="仿宋_GB2312"/>
          <w:sz w:val="32"/>
          <w:szCs w:val="32"/>
        </w:rPr>
      </w:pPr>
      <w:r>
        <w:rPr>
          <w:rFonts w:eastAsia="仿宋_GB2312"/>
          <w:sz w:val="32"/>
          <w:szCs w:val="32"/>
        </w:rPr>
        <w:t>32．项目支出：指在基本支出之外为完成特定行政任务和事业发展目标所发生的支出。</w:t>
      </w:r>
    </w:p>
    <w:p>
      <w:pPr>
        <w:pStyle w:val="24"/>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33．</w:t>
      </w:r>
      <w:r>
        <w:rPr>
          <w:rFonts w:ascii="Times New Roman" w:hAnsi="Times New Roman" w:eastAsia="仿宋_GB2312" w:cs="Times New Roman"/>
          <w:color w:val="auto"/>
          <w:sz w:val="32"/>
          <w:szCs w:val="32"/>
        </w:rPr>
        <w:t>“三公”经费：指部门用财政拨款安排的因公出国（境）费、公务用车购置及运行费和公务接待费。其中，因公出国（境）费反映</w:t>
      </w:r>
      <w:r>
        <w:rPr>
          <w:rFonts w:hint="eastAsia" w:ascii="Times New Roman" w:hAnsi="Times New Roman" w:eastAsia="仿宋_GB2312" w:cs="Times New Roman"/>
          <w:color w:val="auto"/>
          <w:sz w:val="32"/>
          <w:szCs w:val="32"/>
        </w:rPr>
        <w:t>部门</w:t>
      </w:r>
      <w:r>
        <w:rPr>
          <w:rFonts w:ascii="Times New Roman" w:hAnsi="Times New Roman" w:eastAsia="仿宋_GB2312" w:cs="Times New Roman"/>
          <w:color w:val="auto"/>
          <w:sz w:val="32"/>
          <w:szCs w:val="32"/>
        </w:rPr>
        <w:t>公务出国（境）的国际旅费、国外城市间交通费、住宿费、伙食费、培训费、公杂费等支出；公务用车购置及运行费反映</w:t>
      </w:r>
      <w:r>
        <w:rPr>
          <w:rFonts w:hint="eastAsia" w:ascii="Times New Roman" w:hAnsi="Times New Roman" w:eastAsia="仿宋_GB2312" w:cs="Times New Roman"/>
          <w:color w:val="auto"/>
          <w:sz w:val="32"/>
          <w:szCs w:val="32"/>
        </w:rPr>
        <w:t>部门</w:t>
      </w:r>
      <w:r>
        <w:rPr>
          <w:rFonts w:ascii="Times New Roman" w:hAnsi="Times New Roman" w:eastAsia="仿宋_GB2312" w:cs="Times New Roman"/>
          <w:color w:val="auto"/>
          <w:sz w:val="32"/>
          <w:szCs w:val="32"/>
        </w:rPr>
        <w:t>公务用车车辆购置支出（含车辆购置税）及租用费、燃料费、维修费、过路过桥费、保险费等支出；公务接待费反映</w:t>
      </w:r>
      <w:r>
        <w:rPr>
          <w:rFonts w:hint="eastAsia" w:ascii="Times New Roman" w:hAnsi="Times New Roman" w:eastAsia="仿宋_GB2312" w:cs="Times New Roman"/>
          <w:color w:val="auto"/>
          <w:sz w:val="32"/>
          <w:szCs w:val="32"/>
        </w:rPr>
        <w:t>部门</w:t>
      </w:r>
      <w:r>
        <w:rPr>
          <w:rFonts w:ascii="Times New Roman" w:hAnsi="Times New Roman" w:eastAsia="仿宋_GB2312" w:cs="Times New Roman"/>
          <w:color w:val="auto"/>
          <w:sz w:val="32"/>
          <w:szCs w:val="32"/>
        </w:rPr>
        <w:t>按规定开支的各类公务接待（含外宾接待）支出。</w:t>
      </w:r>
    </w:p>
    <w:p>
      <w:pPr>
        <w:pStyle w:val="24"/>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34</w:t>
      </w:r>
      <w:r>
        <w:rPr>
          <w:rFonts w:ascii="Times New Roman" w:hAnsi="Times New Roman" w:eastAsia="仿宋_GB2312" w:cs="Times New Roman"/>
          <w:sz w:val="32"/>
          <w:szCs w:val="32"/>
        </w:rPr>
        <w:t>．</w:t>
      </w:r>
      <w:r>
        <w:rPr>
          <w:rFonts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eastAsia="黑体"/>
          <w:b w:val="0"/>
        </w:rPr>
      </w:pPr>
      <w:bookmarkStart w:id="125" w:name="_Toc15377226"/>
      <w:r>
        <w:rPr>
          <w:b/>
          <w:sz w:val="44"/>
          <w:szCs w:val="44"/>
        </w:rPr>
        <w:br w:type="page"/>
      </w:r>
      <w:bookmarkStart w:id="126" w:name="_Toc15396614"/>
      <w:bookmarkStart w:id="127" w:name="_Toc7477"/>
      <w:bookmarkStart w:id="128" w:name="_Toc22641"/>
      <w:bookmarkStart w:id="129" w:name="_Toc22495"/>
      <w:bookmarkStart w:id="130" w:name="_Toc23786"/>
      <w:r>
        <w:rPr>
          <w:rFonts w:eastAsia="黑体"/>
          <w:sz w:val="44"/>
          <w:szCs w:val="44"/>
        </w:rPr>
        <w:t>第</w:t>
      </w:r>
      <w:r>
        <w:rPr>
          <w:rStyle w:val="26"/>
          <w:rFonts w:eastAsia="黑体"/>
          <w:b w:val="0"/>
        </w:rPr>
        <w:t>四部分 附件</w:t>
      </w:r>
      <w:bookmarkEnd w:id="126"/>
      <w:bookmarkEnd w:id="127"/>
      <w:bookmarkEnd w:id="128"/>
      <w:bookmarkEnd w:id="129"/>
      <w:bookmarkEnd w:id="130"/>
    </w:p>
    <w:p>
      <w:pPr>
        <w:spacing w:line="572" w:lineRule="exact"/>
        <w:jc w:val="left"/>
        <w:rPr>
          <w:rFonts w:eastAsia="方正小标宋简体"/>
          <w:sz w:val="44"/>
          <w:szCs w:val="44"/>
        </w:rPr>
      </w:pPr>
      <w:r>
        <w:rPr>
          <w:rFonts w:eastAsia="黑体"/>
          <w:sz w:val="32"/>
          <w:szCs w:val="32"/>
        </w:rPr>
        <w:t>附件1</w:t>
      </w:r>
    </w:p>
    <w:p>
      <w:pPr>
        <w:spacing w:line="572" w:lineRule="exact"/>
        <w:jc w:val="center"/>
        <w:rPr>
          <w:rFonts w:eastAsia="方正小标宋简体"/>
          <w:kern w:val="0"/>
          <w:sz w:val="40"/>
          <w:szCs w:val="44"/>
        </w:rPr>
      </w:pPr>
      <w:r>
        <w:rPr>
          <w:rFonts w:eastAsia="方正小标宋简体"/>
          <w:kern w:val="0"/>
          <w:sz w:val="40"/>
          <w:szCs w:val="44"/>
        </w:rPr>
        <w:t>攀枝花市文化广播电视和旅游局</w:t>
      </w:r>
    </w:p>
    <w:p>
      <w:pPr>
        <w:spacing w:line="572" w:lineRule="exact"/>
        <w:jc w:val="center"/>
        <w:rPr>
          <w:rFonts w:eastAsia="方正小标宋简体"/>
          <w:kern w:val="0"/>
          <w:sz w:val="40"/>
          <w:szCs w:val="44"/>
          <w:lang w:val="zh-CN"/>
        </w:rPr>
      </w:pPr>
      <w:r>
        <w:rPr>
          <w:rFonts w:eastAsia="方正小标宋简体"/>
          <w:kern w:val="0"/>
          <w:sz w:val="40"/>
          <w:szCs w:val="44"/>
        </w:rPr>
        <w:t>2021年部门整体绩效评价报告</w:t>
      </w:r>
    </w:p>
    <w:p>
      <w:pPr>
        <w:widowControl/>
        <w:spacing w:line="572" w:lineRule="exact"/>
        <w:ind w:firstLine="640" w:firstLineChars="200"/>
        <w:contextualSpacing/>
        <w:jc w:val="center"/>
        <w:rPr>
          <w:rFonts w:eastAsia="仿宋_GB2312"/>
          <w:sz w:val="32"/>
          <w:szCs w:val="32"/>
          <w:shd w:val="clear" w:color="auto" w:fill="FFFFFF"/>
        </w:rPr>
      </w:pPr>
      <w:r>
        <w:rPr>
          <w:rFonts w:eastAsia="仿宋_GB2312"/>
          <w:sz w:val="32"/>
          <w:szCs w:val="32"/>
          <w:shd w:val="clear" w:color="auto" w:fill="FFFFFF"/>
        </w:rPr>
        <w:t>（报告范围包括机关和下属单位）</w:t>
      </w:r>
    </w:p>
    <w:p>
      <w:pPr>
        <w:widowControl/>
        <w:adjustRightInd w:val="0"/>
        <w:snapToGrid w:val="0"/>
        <w:spacing w:line="572" w:lineRule="exact"/>
        <w:ind w:firstLine="480" w:firstLineChars="200"/>
        <w:contextualSpacing/>
        <w:jc w:val="left"/>
        <w:rPr>
          <w:rFonts w:eastAsia="黑体"/>
          <w:kern w:val="0"/>
          <w:sz w:val="24"/>
          <w:szCs w:val="32"/>
          <w:shd w:val="clear" w:color="auto" w:fill="FFFFFF"/>
        </w:rPr>
      </w:pPr>
    </w:p>
    <w:p>
      <w:pPr>
        <w:widowControl/>
        <w:adjustRightInd w:val="0"/>
        <w:snapToGrid w:val="0"/>
        <w:spacing w:line="572" w:lineRule="exact"/>
        <w:ind w:firstLine="640" w:firstLineChars="200"/>
        <w:contextualSpacing/>
        <w:jc w:val="left"/>
        <w:rPr>
          <w:rFonts w:eastAsia="黑体"/>
          <w:kern w:val="0"/>
          <w:sz w:val="32"/>
          <w:szCs w:val="32"/>
          <w:shd w:val="clear" w:color="auto" w:fill="FFFFFF"/>
          <w:lang w:val="zh-CN"/>
        </w:rPr>
      </w:pPr>
      <w:r>
        <w:rPr>
          <w:rFonts w:eastAsia="黑体"/>
          <w:kern w:val="0"/>
          <w:sz w:val="32"/>
          <w:szCs w:val="32"/>
          <w:shd w:val="clear" w:color="auto" w:fill="FFFFFF"/>
        </w:rPr>
        <w:t>一、</w:t>
      </w:r>
      <w:r>
        <w:rPr>
          <w:rFonts w:eastAsia="黑体"/>
          <w:kern w:val="0"/>
          <w:sz w:val="32"/>
          <w:szCs w:val="32"/>
          <w:shd w:val="clear" w:color="auto" w:fill="FFFFFF"/>
          <w:lang w:val="zh-CN"/>
        </w:rPr>
        <w:t>部门（单位）概况</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（一）机构组成。</w:t>
      </w:r>
    </w:p>
    <w:p>
      <w:pPr>
        <w:spacing w:line="580" w:lineRule="exact"/>
        <w:ind w:firstLine="640" w:firstLineChars="200"/>
        <w:rPr>
          <w:rFonts w:eastAsia="仿宋"/>
          <w:sz w:val="32"/>
          <w:szCs w:val="32"/>
        </w:rPr>
      </w:pPr>
      <w:r>
        <w:rPr>
          <w:rFonts w:eastAsia="仿宋"/>
          <w:sz w:val="32"/>
          <w:szCs w:val="32"/>
        </w:rPr>
        <w:t>攀枝花市文化广播电视和旅游局为行政单位，下属8个独立核算单位：参照公务员管理事业单位1个（攀枝花市文化市场综合行政执法支队）；代市政府管理事业单位1个（攀枝花中国三线建设博物馆）；其他独立核算事业单位6个（攀枝花市图书馆、攀枝花市文化馆、攀枝花市文艺创评室、攀枝花市文化旅游公共服务中心、攀枝花市文化艺术中心、攀枝花市广播电视台）。</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（二）机构职能。</w:t>
      </w:r>
    </w:p>
    <w:p>
      <w:pPr>
        <w:spacing w:line="580" w:lineRule="exact"/>
        <w:ind w:firstLine="640" w:firstLineChars="200"/>
        <w:rPr>
          <w:rFonts w:eastAsia="仿宋"/>
          <w:sz w:val="32"/>
          <w:szCs w:val="32"/>
        </w:rPr>
      </w:pPr>
      <w:r>
        <w:rPr>
          <w:rFonts w:eastAsia="仿宋"/>
          <w:sz w:val="32"/>
          <w:szCs w:val="32"/>
        </w:rPr>
        <w:t>1</w:t>
      </w:r>
      <w:r>
        <w:rPr>
          <w:bCs/>
          <w:sz w:val="32"/>
          <w:szCs w:val="32"/>
        </w:rPr>
        <w:t>．</w:t>
      </w:r>
      <w:r>
        <w:rPr>
          <w:rFonts w:eastAsia="仿宋"/>
          <w:sz w:val="32"/>
          <w:szCs w:val="32"/>
        </w:rPr>
        <w:t>拟订文化广播电视和旅游政策措施、规范性文件，起草历史文化保护方面的地方性法规，加强文化广播电视阵地建设，把握正确的舆论导向和创作导向，负责本系统、本部门依法行政工作。</w:t>
      </w:r>
    </w:p>
    <w:p>
      <w:pPr>
        <w:spacing w:line="580" w:lineRule="exact"/>
        <w:ind w:firstLine="640" w:firstLineChars="200"/>
        <w:rPr>
          <w:rFonts w:eastAsia="仿宋"/>
          <w:sz w:val="32"/>
          <w:szCs w:val="32"/>
        </w:rPr>
      </w:pPr>
      <w:r>
        <w:rPr>
          <w:rFonts w:eastAsia="仿宋"/>
          <w:sz w:val="32"/>
          <w:szCs w:val="32"/>
        </w:rPr>
        <w:t>2</w:t>
      </w:r>
      <w:r>
        <w:rPr>
          <w:bCs/>
          <w:sz w:val="32"/>
          <w:szCs w:val="32"/>
        </w:rPr>
        <w:t>．</w:t>
      </w:r>
      <w:r>
        <w:rPr>
          <w:rFonts w:eastAsia="仿宋"/>
          <w:sz w:val="32"/>
          <w:szCs w:val="32"/>
        </w:rPr>
        <w:t>组织推动全市文化、广播电视和旅游业发展，拟订发展规划并组织实施，推进文化广播电视和旅游体制机制改革，推进文化广播电视和旅游融合发展。</w:t>
      </w:r>
    </w:p>
    <w:p>
      <w:pPr>
        <w:spacing w:line="580" w:lineRule="exact"/>
        <w:ind w:firstLine="640" w:firstLineChars="200"/>
        <w:rPr>
          <w:rFonts w:eastAsia="仿宋"/>
          <w:sz w:val="32"/>
          <w:szCs w:val="32"/>
        </w:rPr>
      </w:pPr>
      <w:r>
        <w:rPr>
          <w:rFonts w:eastAsia="仿宋"/>
          <w:sz w:val="32"/>
          <w:szCs w:val="32"/>
        </w:rPr>
        <w:t>3</w:t>
      </w:r>
      <w:r>
        <w:rPr>
          <w:bCs/>
          <w:sz w:val="32"/>
          <w:szCs w:val="32"/>
        </w:rPr>
        <w:t>．</w:t>
      </w:r>
      <w:r>
        <w:rPr>
          <w:rFonts w:eastAsia="仿宋"/>
          <w:sz w:val="32"/>
          <w:szCs w:val="32"/>
        </w:rPr>
        <w:t>管理全市重大文化广播电视和旅游活动，指导全市重点文化广播电视和旅游基础设施建设，组织全市文化广播电视和旅游宣传推广，促进文化广播电视和旅游产业对外合作与市场推广，制定旅游市场开发战略并组织实施，推进全域旅游。</w:t>
      </w:r>
    </w:p>
    <w:p>
      <w:pPr>
        <w:spacing w:line="580" w:lineRule="exact"/>
        <w:ind w:firstLine="640" w:firstLineChars="200"/>
        <w:rPr>
          <w:rFonts w:eastAsia="仿宋"/>
          <w:sz w:val="32"/>
          <w:szCs w:val="32"/>
        </w:rPr>
      </w:pPr>
      <w:r>
        <w:rPr>
          <w:rFonts w:eastAsia="仿宋"/>
          <w:sz w:val="32"/>
          <w:szCs w:val="32"/>
        </w:rPr>
        <w:t>4</w:t>
      </w:r>
      <w:r>
        <w:rPr>
          <w:bCs/>
          <w:sz w:val="32"/>
          <w:szCs w:val="32"/>
        </w:rPr>
        <w:t>．</w:t>
      </w:r>
      <w:r>
        <w:rPr>
          <w:rFonts w:eastAsia="仿宋"/>
          <w:sz w:val="32"/>
          <w:szCs w:val="32"/>
        </w:rPr>
        <w:t>指导管理文化艺术、广播电视事业，推动文化艺术、广播电视创作生产，扶持体现社会主义核心价值观、具有导向性代表性示范性的文化艺术、广播电视作品，推动各门类文化艺术及品种发展，推动中华优秀传统文化传承发展。</w:t>
      </w:r>
    </w:p>
    <w:p>
      <w:pPr>
        <w:spacing w:line="580" w:lineRule="exact"/>
        <w:ind w:firstLine="640" w:firstLineChars="200"/>
        <w:rPr>
          <w:rFonts w:eastAsia="仿宋"/>
          <w:sz w:val="32"/>
          <w:szCs w:val="32"/>
        </w:rPr>
      </w:pPr>
      <w:r>
        <w:rPr>
          <w:rFonts w:eastAsia="仿宋"/>
          <w:sz w:val="32"/>
          <w:szCs w:val="32"/>
        </w:rPr>
        <w:t>5</w:t>
      </w:r>
      <w:r>
        <w:rPr>
          <w:bCs/>
          <w:sz w:val="32"/>
          <w:szCs w:val="32"/>
        </w:rPr>
        <w:t>．</w:t>
      </w:r>
      <w:r>
        <w:rPr>
          <w:rFonts w:eastAsia="仿宋"/>
          <w:sz w:val="32"/>
          <w:szCs w:val="32"/>
        </w:rPr>
        <w:t>负责公共文化事业发展，推进全市公共文化服务体系、广播电视基本公共服务和旅游公共服务建设，组织实施公共服务重大公益工程和公益活动，深入实施惠民工程，统筹推进文化和广播电视基本公共服务标准化、均等化。</w:t>
      </w:r>
    </w:p>
    <w:p>
      <w:pPr>
        <w:spacing w:line="580" w:lineRule="exact"/>
        <w:ind w:firstLine="640" w:firstLineChars="200"/>
        <w:rPr>
          <w:rFonts w:eastAsia="仿宋"/>
          <w:sz w:val="32"/>
          <w:szCs w:val="32"/>
        </w:rPr>
      </w:pPr>
      <w:r>
        <w:rPr>
          <w:rFonts w:eastAsia="仿宋"/>
          <w:sz w:val="32"/>
          <w:szCs w:val="32"/>
        </w:rPr>
        <w:t>6</w:t>
      </w:r>
      <w:r>
        <w:rPr>
          <w:bCs/>
          <w:sz w:val="32"/>
          <w:szCs w:val="32"/>
        </w:rPr>
        <w:t>．</w:t>
      </w:r>
      <w:r>
        <w:rPr>
          <w:rFonts w:eastAsia="仿宋"/>
          <w:sz w:val="32"/>
          <w:szCs w:val="32"/>
        </w:rPr>
        <w:t>推进文化广播电视和旅游行业信息化、标准化建设。组织实施文化和旅游资源普查、挖掘、保护与利用工作，促进产业发展。</w:t>
      </w:r>
    </w:p>
    <w:p>
      <w:pPr>
        <w:spacing w:line="580" w:lineRule="exact"/>
        <w:ind w:firstLine="640" w:firstLineChars="200"/>
        <w:rPr>
          <w:rFonts w:eastAsia="仿宋"/>
          <w:sz w:val="32"/>
          <w:szCs w:val="32"/>
        </w:rPr>
      </w:pPr>
      <w:r>
        <w:rPr>
          <w:rFonts w:eastAsia="仿宋"/>
          <w:sz w:val="32"/>
          <w:szCs w:val="32"/>
        </w:rPr>
        <w:t>7</w:t>
      </w:r>
      <w:r>
        <w:rPr>
          <w:bCs/>
          <w:sz w:val="32"/>
          <w:szCs w:val="32"/>
        </w:rPr>
        <w:t>．</w:t>
      </w:r>
      <w:r>
        <w:rPr>
          <w:rFonts w:eastAsia="仿宋"/>
          <w:sz w:val="32"/>
          <w:szCs w:val="32"/>
        </w:rPr>
        <w:t>指导文化广播电视和旅游市场发展，对文化广播电视和旅游市场经营活动进行行业监管，推进行业信用体系建设，依法规范文化广播电视和旅游市场。负责文化旅游市场领域综合行政执法工作，组织查处全市性、跨区域文化、文物、广播电视、旅游等市场的违法行为，督查督办大案要案，维护市场秩序。</w:t>
      </w:r>
    </w:p>
    <w:p>
      <w:pPr>
        <w:spacing w:line="580" w:lineRule="exact"/>
        <w:ind w:firstLine="640" w:firstLineChars="200"/>
        <w:rPr>
          <w:rFonts w:eastAsia="仿宋"/>
          <w:sz w:val="32"/>
          <w:szCs w:val="32"/>
        </w:rPr>
      </w:pPr>
      <w:r>
        <w:rPr>
          <w:rFonts w:eastAsia="仿宋"/>
          <w:sz w:val="32"/>
          <w:szCs w:val="32"/>
        </w:rPr>
        <w:t>8</w:t>
      </w:r>
      <w:r>
        <w:rPr>
          <w:bCs/>
          <w:sz w:val="32"/>
          <w:szCs w:val="32"/>
        </w:rPr>
        <w:t>．</w:t>
      </w:r>
      <w:r>
        <w:rPr>
          <w:rFonts w:eastAsia="仿宋"/>
          <w:sz w:val="32"/>
          <w:szCs w:val="32"/>
        </w:rPr>
        <w:t>管理和指导全市文物保护利用与考古工作，协调、指导和监督全市文物安全，履行文物行政督察职责。监督管理全市文化遗产保护和博物馆事业，负责地方文物保护单位申报工作，推进全市文化遗产地管理、保护、传承、普及、弘扬和振兴工作。</w:t>
      </w:r>
    </w:p>
    <w:p>
      <w:pPr>
        <w:spacing w:line="580" w:lineRule="exact"/>
        <w:ind w:firstLine="640" w:firstLineChars="200"/>
        <w:rPr>
          <w:rFonts w:eastAsia="仿宋"/>
          <w:sz w:val="32"/>
          <w:szCs w:val="32"/>
        </w:rPr>
      </w:pPr>
      <w:r>
        <w:rPr>
          <w:rFonts w:eastAsia="仿宋"/>
          <w:sz w:val="32"/>
          <w:szCs w:val="32"/>
        </w:rPr>
        <w:t>9</w:t>
      </w:r>
      <w:r>
        <w:rPr>
          <w:bCs/>
          <w:sz w:val="32"/>
          <w:szCs w:val="32"/>
        </w:rPr>
        <w:t>．</w:t>
      </w:r>
      <w:r>
        <w:rPr>
          <w:rFonts w:eastAsia="仿宋"/>
          <w:sz w:val="32"/>
          <w:szCs w:val="32"/>
        </w:rPr>
        <w:t>负责对各类广播电视机构进行业务指导和行业监管，会同有关部门对网络视听节目服务机构及内容进行管理。负责广播电视与新媒体新技术新业态融合发展，推进“三网”融合。负责广播电视节目传输覆盖、监测和安全播出的监督管理，指导、推进应急广播电视体系建设。</w:t>
      </w:r>
    </w:p>
    <w:p>
      <w:pPr>
        <w:spacing w:line="580" w:lineRule="exact"/>
        <w:ind w:firstLine="640" w:firstLineChars="200"/>
        <w:rPr>
          <w:rFonts w:eastAsia="仿宋"/>
          <w:sz w:val="32"/>
          <w:szCs w:val="32"/>
        </w:rPr>
      </w:pPr>
      <w:r>
        <w:rPr>
          <w:rFonts w:eastAsia="仿宋"/>
          <w:sz w:val="32"/>
          <w:szCs w:val="32"/>
        </w:rPr>
        <w:t>10</w:t>
      </w:r>
      <w:r>
        <w:rPr>
          <w:bCs/>
          <w:sz w:val="32"/>
          <w:szCs w:val="32"/>
        </w:rPr>
        <w:t>．</w:t>
      </w:r>
      <w:r>
        <w:rPr>
          <w:rFonts w:eastAsia="仿宋"/>
          <w:sz w:val="32"/>
          <w:szCs w:val="32"/>
        </w:rPr>
        <w:t>承担全市文化广播电视和旅游、文物对外及对港澳台的交流与合作。</w:t>
      </w:r>
    </w:p>
    <w:p>
      <w:pPr>
        <w:spacing w:line="580" w:lineRule="exact"/>
        <w:ind w:firstLine="640" w:firstLineChars="200"/>
        <w:rPr>
          <w:rFonts w:eastAsia="仿宋"/>
          <w:sz w:val="32"/>
          <w:szCs w:val="32"/>
        </w:rPr>
      </w:pPr>
      <w:r>
        <w:rPr>
          <w:rFonts w:eastAsia="仿宋"/>
          <w:sz w:val="32"/>
          <w:szCs w:val="32"/>
        </w:rPr>
        <w:t>11</w:t>
      </w:r>
      <w:r>
        <w:rPr>
          <w:bCs/>
          <w:sz w:val="32"/>
          <w:szCs w:val="32"/>
        </w:rPr>
        <w:t>．</w:t>
      </w:r>
      <w:r>
        <w:rPr>
          <w:rFonts w:eastAsia="仿宋"/>
          <w:sz w:val="32"/>
          <w:szCs w:val="32"/>
        </w:rPr>
        <w:t>负责职责范围内的安全生产和职业健康、生态环境保护、审批服务便民化等工作。</w:t>
      </w:r>
    </w:p>
    <w:p>
      <w:pPr>
        <w:spacing w:line="580" w:lineRule="exact"/>
        <w:ind w:firstLine="640" w:firstLineChars="200"/>
        <w:rPr>
          <w:rFonts w:eastAsia="仿宋"/>
          <w:sz w:val="32"/>
          <w:szCs w:val="32"/>
        </w:rPr>
      </w:pPr>
      <w:r>
        <w:rPr>
          <w:rFonts w:eastAsia="仿宋"/>
          <w:sz w:val="32"/>
          <w:szCs w:val="32"/>
        </w:rPr>
        <w:t>12</w:t>
      </w:r>
      <w:r>
        <w:rPr>
          <w:bCs/>
          <w:sz w:val="32"/>
          <w:szCs w:val="32"/>
        </w:rPr>
        <w:t>．</w:t>
      </w:r>
      <w:r>
        <w:rPr>
          <w:rFonts w:eastAsia="仿宋"/>
          <w:sz w:val="32"/>
          <w:szCs w:val="32"/>
        </w:rPr>
        <w:t>完成市委、市政府交办的其他任务。</w:t>
      </w:r>
    </w:p>
    <w:p>
      <w:pPr>
        <w:spacing w:line="580" w:lineRule="exact"/>
        <w:ind w:firstLine="640" w:firstLineChars="200"/>
        <w:rPr>
          <w:rFonts w:eastAsia="仿宋"/>
          <w:sz w:val="32"/>
          <w:szCs w:val="32"/>
        </w:rPr>
      </w:pPr>
      <w:r>
        <w:rPr>
          <w:rFonts w:eastAsia="仿宋"/>
          <w:sz w:val="32"/>
          <w:szCs w:val="32"/>
        </w:rPr>
        <w:t>13</w:t>
      </w:r>
      <w:r>
        <w:rPr>
          <w:bCs/>
          <w:sz w:val="32"/>
          <w:szCs w:val="32"/>
        </w:rPr>
        <w:t>．</w:t>
      </w:r>
      <w:r>
        <w:rPr>
          <w:rFonts w:eastAsia="仿宋"/>
          <w:sz w:val="32"/>
          <w:szCs w:val="32"/>
        </w:rPr>
        <w:t>职能转变。</w:t>
      </w:r>
    </w:p>
    <w:p>
      <w:pPr>
        <w:spacing w:line="580" w:lineRule="exact"/>
        <w:ind w:firstLine="640" w:firstLineChars="200"/>
        <w:rPr>
          <w:rFonts w:eastAsia="仿宋"/>
          <w:sz w:val="32"/>
          <w:szCs w:val="32"/>
        </w:rPr>
      </w:pPr>
      <w:r>
        <w:rPr>
          <w:rFonts w:eastAsia="仿宋"/>
          <w:sz w:val="32"/>
          <w:szCs w:val="32"/>
        </w:rPr>
        <w:t>（1）以人民美好生活为引导，统筹推进文化广播电视和旅游融合发展。协调推动网络视听节目管理健康发展。加强广播电视与新媒体新技术新业态融合发展，优化广播电视资源配置。用好文化创意、科技创新和社会投资等新功能，促进文化广播电视和旅游与相关产业融合发展。深化“放管服”改革，进一步简政放权，强化事中事后监管，推进审批服务便民化。建设国际阳光康养旅游目的地、打造区域文化高地。</w:t>
      </w:r>
    </w:p>
    <w:p>
      <w:pPr>
        <w:spacing w:line="580" w:lineRule="exact"/>
        <w:ind w:firstLine="640" w:firstLineChars="200"/>
        <w:rPr>
          <w:rFonts w:eastAsia="仿宋"/>
          <w:sz w:val="32"/>
          <w:szCs w:val="32"/>
        </w:rPr>
      </w:pPr>
      <w:r>
        <w:rPr>
          <w:rFonts w:eastAsia="仿宋"/>
          <w:sz w:val="32"/>
          <w:szCs w:val="32"/>
        </w:rPr>
        <w:t>（2）统筹推进承担行政职能的事业单位改革。市文物局承担的行政职责，交由市文广旅局承担。</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（三）人员概况。</w:t>
      </w:r>
    </w:p>
    <w:p>
      <w:pPr>
        <w:spacing w:line="580" w:lineRule="exact"/>
        <w:ind w:firstLine="640" w:firstLineChars="200"/>
        <w:rPr>
          <w:rFonts w:eastAsia="仿宋"/>
          <w:sz w:val="32"/>
          <w:szCs w:val="32"/>
        </w:rPr>
      </w:pPr>
      <w:r>
        <w:rPr>
          <w:rFonts w:eastAsia="仿宋"/>
          <w:sz w:val="32"/>
          <w:szCs w:val="32"/>
        </w:rPr>
        <w:t>2021年，部门年末在职人员556人，其中：行政40人，参照公务员管理25人，非参公事业人员360人，经费自理人员128人，其他人员3人（86号</w:t>
      </w:r>
      <w:r>
        <w:rPr>
          <w:rFonts w:hint="eastAsia" w:eastAsia="仿宋"/>
          <w:sz w:val="32"/>
          <w:szCs w:val="32"/>
        </w:rPr>
        <w:t>文</w:t>
      </w:r>
      <w:r>
        <w:rPr>
          <w:rFonts w:eastAsia="仿宋"/>
          <w:sz w:val="32"/>
          <w:szCs w:val="32"/>
        </w:rPr>
        <w:t>临时聘用人员）。</w:t>
      </w:r>
    </w:p>
    <w:p>
      <w:pPr>
        <w:spacing w:line="580" w:lineRule="exact"/>
        <w:ind w:firstLine="640" w:firstLineChars="200"/>
        <w:rPr>
          <w:rFonts w:eastAsia="仿宋"/>
          <w:sz w:val="32"/>
          <w:szCs w:val="32"/>
        </w:rPr>
      </w:pPr>
      <w:r>
        <w:rPr>
          <w:rFonts w:eastAsia="仿宋"/>
          <w:sz w:val="32"/>
          <w:szCs w:val="32"/>
        </w:rPr>
        <w:t>年末遗属人员</w:t>
      </w:r>
      <w:r>
        <w:rPr>
          <w:rFonts w:hint="eastAsia" w:eastAsia="仿宋"/>
          <w:sz w:val="32"/>
          <w:szCs w:val="32"/>
        </w:rPr>
        <w:t>11</w:t>
      </w:r>
      <w:r>
        <w:rPr>
          <w:rFonts w:eastAsia="仿宋"/>
          <w:sz w:val="32"/>
          <w:szCs w:val="32"/>
        </w:rPr>
        <w:t>人。</w:t>
      </w:r>
    </w:p>
    <w:p>
      <w:pPr>
        <w:widowControl/>
        <w:adjustRightInd w:val="0"/>
        <w:snapToGrid w:val="0"/>
        <w:spacing w:line="572" w:lineRule="exact"/>
        <w:ind w:firstLine="640" w:firstLineChars="200"/>
        <w:contextualSpacing/>
        <w:jc w:val="left"/>
        <w:rPr>
          <w:rFonts w:eastAsia="仿宋_GB2312"/>
          <w:kern w:val="0"/>
          <w:sz w:val="32"/>
          <w:szCs w:val="32"/>
          <w:shd w:val="clear" w:color="auto" w:fill="FFFFFF"/>
          <w:lang w:val="zh-CN"/>
        </w:rPr>
      </w:pPr>
      <w:r>
        <w:rPr>
          <w:rFonts w:eastAsia="仿宋"/>
          <w:sz w:val="32"/>
          <w:szCs w:val="32"/>
        </w:rPr>
        <w:t>年末离休人员3人。</w:t>
      </w:r>
    </w:p>
    <w:p>
      <w:pPr>
        <w:widowControl/>
        <w:adjustRightInd w:val="0"/>
        <w:snapToGrid w:val="0"/>
        <w:spacing w:line="572" w:lineRule="exact"/>
        <w:ind w:firstLine="640" w:firstLineChars="200"/>
        <w:contextualSpacing/>
        <w:jc w:val="left"/>
        <w:rPr>
          <w:rFonts w:eastAsia="黑体"/>
          <w:kern w:val="0"/>
          <w:sz w:val="32"/>
          <w:szCs w:val="32"/>
          <w:shd w:val="clear" w:color="auto" w:fill="FFFFFF"/>
        </w:rPr>
      </w:pPr>
      <w:r>
        <w:rPr>
          <w:rFonts w:eastAsia="黑体"/>
          <w:kern w:val="0"/>
          <w:sz w:val="32"/>
          <w:szCs w:val="32"/>
          <w:shd w:val="clear" w:color="auto" w:fill="FFFFFF"/>
        </w:rPr>
        <w:t>二、部门财政资金收支情况</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（一）部门财政资金收入情况。</w:t>
      </w:r>
    </w:p>
    <w:p>
      <w:pPr>
        <w:spacing w:line="580" w:lineRule="exact"/>
        <w:ind w:firstLine="640" w:firstLineChars="200"/>
        <w:rPr>
          <w:rFonts w:eastAsia="仿宋"/>
          <w:sz w:val="32"/>
          <w:szCs w:val="32"/>
        </w:rPr>
      </w:pPr>
      <w:r>
        <w:rPr>
          <w:rFonts w:eastAsia="仿宋"/>
          <w:sz w:val="32"/>
          <w:szCs w:val="32"/>
        </w:rPr>
        <w:t>2021年，</w:t>
      </w:r>
      <w:r>
        <w:rPr>
          <w:rFonts w:eastAsia="仿宋_GB2312"/>
          <w:sz w:val="32"/>
          <w:szCs w:val="32"/>
        </w:rPr>
        <w:t>市文广旅局</w:t>
      </w:r>
      <w:r>
        <w:rPr>
          <w:rFonts w:eastAsia="仿宋"/>
          <w:sz w:val="32"/>
          <w:szCs w:val="32"/>
        </w:rPr>
        <w:t>系统本年财政拨款收入共11373.41万元，其中：一般公共预算财政拨款收入11059.41万元，政府性基金预算财政拨款收入314.00万元。</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（二）部门财政资金支出情况。</w:t>
      </w:r>
    </w:p>
    <w:p>
      <w:pPr>
        <w:spacing w:line="580" w:lineRule="exact"/>
        <w:ind w:firstLine="640" w:firstLineChars="200"/>
        <w:rPr>
          <w:rFonts w:eastAsia="仿宋"/>
          <w:sz w:val="32"/>
          <w:szCs w:val="32"/>
        </w:rPr>
      </w:pPr>
      <w:r>
        <w:rPr>
          <w:rFonts w:eastAsia="仿宋"/>
          <w:sz w:val="32"/>
          <w:szCs w:val="32"/>
        </w:rPr>
        <w:t>2021年，</w:t>
      </w:r>
      <w:r>
        <w:rPr>
          <w:rFonts w:eastAsia="仿宋_GB2312"/>
          <w:sz w:val="32"/>
          <w:szCs w:val="32"/>
        </w:rPr>
        <w:t>市文广旅局</w:t>
      </w:r>
      <w:r>
        <w:rPr>
          <w:rFonts w:eastAsia="仿宋"/>
          <w:sz w:val="32"/>
          <w:szCs w:val="32"/>
        </w:rPr>
        <w:t>系统本年财政拨款支出11683</w:t>
      </w:r>
      <w:r>
        <w:rPr>
          <w:rFonts w:hint="eastAsia" w:eastAsia="仿宋"/>
          <w:sz w:val="32"/>
          <w:szCs w:val="32"/>
        </w:rPr>
        <w:t>.</w:t>
      </w:r>
      <w:r>
        <w:rPr>
          <w:rFonts w:eastAsia="仿宋"/>
          <w:sz w:val="32"/>
          <w:szCs w:val="32"/>
        </w:rPr>
        <w:t>75万元。其中：一般公共服务（类）支出91.61万元，科学技术（类）支出17.90万元，文化旅游体育与传媒（类）支出9487.67万元，社会保障和就业（类）支出1321.48万元，城乡社区（类）支出366.50万元，住房保障支出398.59万元。</w:t>
      </w:r>
    </w:p>
    <w:p>
      <w:pPr>
        <w:widowControl/>
        <w:adjustRightInd w:val="0"/>
        <w:snapToGrid w:val="0"/>
        <w:spacing w:line="572" w:lineRule="exact"/>
        <w:ind w:firstLine="640" w:firstLineChars="200"/>
        <w:contextualSpacing/>
        <w:jc w:val="left"/>
        <w:rPr>
          <w:rFonts w:eastAsia="黑体"/>
          <w:kern w:val="0"/>
          <w:sz w:val="32"/>
          <w:szCs w:val="32"/>
          <w:shd w:val="clear" w:color="auto" w:fill="FFFFFF"/>
        </w:rPr>
      </w:pPr>
      <w:r>
        <w:rPr>
          <w:rFonts w:eastAsia="黑体"/>
          <w:kern w:val="0"/>
          <w:sz w:val="32"/>
          <w:szCs w:val="32"/>
          <w:shd w:val="clear" w:color="auto" w:fill="FFFFFF"/>
        </w:rPr>
        <w:t>三、部门整体预算绩效管理情况</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（一）部门预算项目绩效管理。</w:t>
      </w:r>
    </w:p>
    <w:p>
      <w:pPr>
        <w:widowControl/>
        <w:adjustRightInd w:val="0"/>
        <w:snapToGrid w:val="0"/>
        <w:spacing w:line="572" w:lineRule="exact"/>
        <w:ind w:firstLine="640" w:firstLineChars="200"/>
        <w:contextualSpacing/>
        <w:jc w:val="left"/>
        <w:rPr>
          <w:rFonts w:eastAsia="仿宋_GB2312"/>
          <w:kern w:val="0"/>
          <w:sz w:val="32"/>
          <w:szCs w:val="32"/>
          <w:shd w:val="clear" w:color="auto" w:fill="FFFFFF"/>
          <w:lang w:val="zh-CN"/>
        </w:rPr>
      </w:pPr>
      <w:r>
        <w:rPr>
          <w:rFonts w:eastAsia="仿宋_GB2312"/>
          <w:sz w:val="32"/>
          <w:szCs w:val="32"/>
        </w:rPr>
        <w:t>市文广旅局</w:t>
      </w:r>
      <w:r>
        <w:rPr>
          <w:rFonts w:eastAsia="仿宋"/>
          <w:sz w:val="32"/>
          <w:szCs w:val="32"/>
        </w:rPr>
        <w:t>系统各单位严格预算管理各项规定，强化预算约束，制定绩效目标，各项收入都已经列入部门预算，规范编制基本支出和项目支出，完整编制政府采购预算，结余结转资金管理规范，按规定要求公开了部门预算、部门决算。</w:t>
      </w:r>
      <w:r>
        <w:rPr>
          <w:rFonts w:eastAsia="仿宋_GB2312"/>
          <w:sz w:val="32"/>
          <w:szCs w:val="32"/>
        </w:rPr>
        <w:t>市文广旅局</w:t>
      </w:r>
      <w:r>
        <w:rPr>
          <w:rFonts w:eastAsia="仿宋"/>
          <w:sz w:val="32"/>
          <w:szCs w:val="32"/>
        </w:rPr>
        <w:t>系统各单位在2021年均无违规违纪记录。</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（二）结果应用情况。</w:t>
      </w:r>
    </w:p>
    <w:p>
      <w:pPr>
        <w:widowControl/>
        <w:adjustRightInd w:val="0"/>
        <w:snapToGrid w:val="0"/>
        <w:spacing w:line="572" w:lineRule="exact"/>
        <w:ind w:firstLine="640" w:firstLineChars="200"/>
        <w:contextualSpacing/>
        <w:jc w:val="left"/>
        <w:rPr>
          <w:rFonts w:eastAsia="仿宋_GB2312"/>
          <w:kern w:val="0"/>
          <w:sz w:val="32"/>
          <w:szCs w:val="32"/>
          <w:shd w:val="clear" w:color="auto" w:fill="FFFFFF"/>
          <w:lang w:val="zh-CN"/>
        </w:rPr>
      </w:pPr>
      <w:r>
        <w:rPr>
          <w:rFonts w:eastAsia="仿宋_GB2312"/>
          <w:sz w:val="32"/>
          <w:szCs w:val="32"/>
        </w:rPr>
        <w:t>市文广旅局</w:t>
      </w:r>
      <w:r>
        <w:rPr>
          <w:rFonts w:eastAsia="仿宋"/>
          <w:sz w:val="32"/>
          <w:szCs w:val="32"/>
        </w:rPr>
        <w:t>系统充分重视绩效自评结果，将结果应用在绩效制定的过程中，不断完善绩效制定水平，提高绩效编制的准确性。</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（三）自评质量。</w:t>
      </w:r>
    </w:p>
    <w:p>
      <w:pPr>
        <w:pStyle w:val="8"/>
        <w:spacing w:line="560" w:lineRule="exact"/>
        <w:ind w:firstLine="640" w:firstLineChars="200"/>
        <w:rPr>
          <w:rFonts w:ascii="Times New Roman" w:eastAsia="仿宋_GB2312"/>
          <w:sz w:val="32"/>
          <w:szCs w:val="32"/>
        </w:rPr>
      </w:pPr>
      <w:r>
        <w:rPr>
          <w:rFonts w:ascii="Times New Roman" w:eastAsia="仿宋_GB2312"/>
          <w:sz w:val="32"/>
          <w:szCs w:val="32"/>
        </w:rPr>
        <w:t>2021年度，市文广旅局部门支出绩效指标达到了预期设定的目标值，绩效目标完成较好。</w:t>
      </w:r>
    </w:p>
    <w:p>
      <w:pPr>
        <w:pStyle w:val="8"/>
        <w:spacing w:line="560" w:lineRule="exact"/>
        <w:ind w:firstLine="640" w:firstLineChars="200"/>
        <w:rPr>
          <w:rFonts w:ascii="Times New Roman" w:eastAsia="仿宋_GB2312"/>
          <w:sz w:val="32"/>
          <w:szCs w:val="32"/>
        </w:rPr>
      </w:pPr>
      <w:r>
        <w:rPr>
          <w:rFonts w:ascii="Times New Roman" w:eastAsia="仿宋_GB2312"/>
          <w:sz w:val="32"/>
          <w:szCs w:val="32"/>
        </w:rPr>
        <w:t>1．绩效指标目标完成情况</w:t>
      </w:r>
      <w:r>
        <w:rPr>
          <w:rFonts w:hint="eastAsia" w:ascii="Times New Roman" w:eastAsia="仿宋_GB2312"/>
          <w:sz w:val="32"/>
          <w:szCs w:val="32"/>
        </w:rPr>
        <w:t>。</w:t>
      </w:r>
    </w:p>
    <w:p>
      <w:pPr>
        <w:pStyle w:val="8"/>
        <w:spacing w:line="560" w:lineRule="exact"/>
        <w:ind w:firstLine="640" w:firstLineChars="200"/>
        <w:rPr>
          <w:rFonts w:ascii="Times New Roman" w:eastAsia="仿宋_GB2312"/>
          <w:sz w:val="32"/>
          <w:szCs w:val="32"/>
        </w:rPr>
      </w:pPr>
      <w:r>
        <w:rPr>
          <w:rFonts w:ascii="Times New Roman" w:eastAsia="仿宋_GB2312"/>
          <w:sz w:val="32"/>
          <w:szCs w:val="32"/>
        </w:rPr>
        <w:t>（1）项目决策：2021年度各项工作立项依据充分、程序合规、资金使用计划可行、审批手续齐全。市文广旅局</w:t>
      </w:r>
      <w:r>
        <w:rPr>
          <w:rFonts w:hint="eastAsia" w:ascii="Times New Roman" w:eastAsia="仿宋_GB2312"/>
          <w:sz w:val="32"/>
          <w:szCs w:val="32"/>
        </w:rPr>
        <w:t>系统</w:t>
      </w:r>
      <w:r>
        <w:rPr>
          <w:rFonts w:ascii="Times New Roman" w:eastAsia="仿宋_GB2312"/>
          <w:sz w:val="32"/>
          <w:szCs w:val="32"/>
        </w:rPr>
        <w:t>在制定2021年度资金预算时，明确了文化旅游广播电视等发展工作思路、发展目标和工作任务等。</w:t>
      </w:r>
    </w:p>
    <w:p>
      <w:pPr>
        <w:pStyle w:val="8"/>
        <w:spacing w:line="560" w:lineRule="exact"/>
        <w:ind w:firstLine="640" w:firstLineChars="200"/>
        <w:rPr>
          <w:rFonts w:ascii="Times New Roman" w:eastAsia="仿宋_GB2312"/>
          <w:sz w:val="32"/>
          <w:szCs w:val="32"/>
        </w:rPr>
      </w:pPr>
      <w:r>
        <w:rPr>
          <w:rFonts w:ascii="Times New Roman" w:eastAsia="仿宋_GB2312"/>
          <w:sz w:val="32"/>
          <w:szCs w:val="32"/>
        </w:rPr>
        <w:t>（2）项目管理：项目组织机构健全，分工明确，资金管理制度健全，资金申报、评审、批准、下达程序规范，制定了资金分配方案，资金分配合理，资金使用合规，资金到位率100%。</w:t>
      </w:r>
    </w:p>
    <w:p>
      <w:pPr>
        <w:pStyle w:val="8"/>
        <w:spacing w:line="560" w:lineRule="exact"/>
        <w:ind w:firstLine="640" w:firstLineChars="200"/>
        <w:rPr>
          <w:rFonts w:ascii="Times New Roman" w:eastAsia="仿宋_GB2312"/>
          <w:sz w:val="32"/>
          <w:szCs w:val="32"/>
        </w:rPr>
      </w:pPr>
      <w:r>
        <w:rPr>
          <w:rFonts w:ascii="Times New Roman" w:eastAsia="仿宋_GB2312"/>
          <w:sz w:val="32"/>
          <w:szCs w:val="32"/>
        </w:rPr>
        <w:t>（3）项目产出：项目产出指标实际完成情况基本达到了预期设定的目标值，产出指标的完成情况较好。</w:t>
      </w:r>
    </w:p>
    <w:p>
      <w:pPr>
        <w:pStyle w:val="8"/>
        <w:spacing w:line="560" w:lineRule="exact"/>
        <w:ind w:firstLine="640" w:firstLineChars="200"/>
        <w:rPr>
          <w:rFonts w:ascii="Times New Roman" w:eastAsia="仿宋_GB2312"/>
          <w:sz w:val="32"/>
          <w:szCs w:val="32"/>
        </w:rPr>
      </w:pPr>
      <w:r>
        <w:rPr>
          <w:rFonts w:ascii="Times New Roman" w:eastAsia="仿宋_GB2312"/>
          <w:sz w:val="32"/>
          <w:szCs w:val="32"/>
        </w:rPr>
        <w:t>（4）项目效果：通过项目实施，文旅企业规模得到了较好提升，项目经济效益、社会效益显著，游客满意度显著提高。</w:t>
      </w:r>
    </w:p>
    <w:p>
      <w:pPr>
        <w:pStyle w:val="8"/>
        <w:spacing w:line="560" w:lineRule="exact"/>
        <w:ind w:firstLine="640" w:firstLineChars="200"/>
        <w:rPr>
          <w:rFonts w:ascii="Times New Roman" w:eastAsia="仿宋_GB2312"/>
          <w:sz w:val="32"/>
          <w:szCs w:val="32"/>
        </w:rPr>
      </w:pPr>
      <w:r>
        <w:rPr>
          <w:rFonts w:ascii="Times New Roman" w:eastAsia="仿宋_GB2312"/>
          <w:sz w:val="32"/>
          <w:szCs w:val="32"/>
        </w:rPr>
        <w:t>2．支出绩效</w:t>
      </w:r>
      <w:r>
        <w:rPr>
          <w:rFonts w:hint="eastAsia" w:ascii="Times New Roman" w:eastAsia="仿宋_GB2312"/>
          <w:sz w:val="32"/>
          <w:szCs w:val="32"/>
        </w:rPr>
        <w:t>。</w:t>
      </w:r>
    </w:p>
    <w:p>
      <w:pPr>
        <w:pStyle w:val="8"/>
        <w:spacing w:line="560" w:lineRule="exact"/>
        <w:ind w:firstLine="640" w:firstLineChars="200"/>
        <w:rPr>
          <w:rFonts w:ascii="Times New Roman" w:eastAsia="仿宋_GB2312"/>
          <w:sz w:val="32"/>
          <w:szCs w:val="32"/>
        </w:rPr>
      </w:pPr>
      <w:r>
        <w:rPr>
          <w:rFonts w:ascii="Times New Roman" w:eastAsia="仿宋_GB2312"/>
          <w:sz w:val="32"/>
          <w:szCs w:val="32"/>
        </w:rPr>
        <w:t>市文广旅局系统预算主要用于保障单位部门机构正常运转、完成日常工作任务以及承担全市文化旅游事业发展相关工作。</w:t>
      </w:r>
    </w:p>
    <w:p>
      <w:pPr>
        <w:pStyle w:val="8"/>
        <w:spacing w:line="600" w:lineRule="exact"/>
        <w:ind w:firstLine="640" w:firstLineChars="200"/>
        <w:jc w:val="left"/>
        <w:rPr>
          <w:rFonts w:ascii="Times New Roman" w:eastAsia="仿宋_GB2312"/>
          <w:sz w:val="32"/>
          <w:szCs w:val="32"/>
        </w:rPr>
      </w:pPr>
      <w:r>
        <w:rPr>
          <w:rFonts w:ascii="Times New Roman" w:eastAsia="仿宋_GB2312"/>
          <w:sz w:val="32"/>
          <w:szCs w:val="32"/>
        </w:rPr>
        <w:t>3．部门事业绩效情况。</w:t>
      </w:r>
    </w:p>
    <w:p>
      <w:pPr>
        <w:pStyle w:val="8"/>
        <w:spacing w:line="600" w:lineRule="exact"/>
        <w:ind w:firstLine="640" w:firstLineChars="200"/>
        <w:jc w:val="left"/>
        <w:rPr>
          <w:rFonts w:ascii="Times New Roman" w:eastAsia="仿宋_GB2312"/>
          <w:sz w:val="32"/>
          <w:szCs w:val="32"/>
        </w:rPr>
      </w:pPr>
      <w:r>
        <w:rPr>
          <w:rFonts w:ascii="Times New Roman" w:eastAsia="仿宋_GB2312"/>
          <w:sz w:val="32"/>
          <w:szCs w:val="32"/>
        </w:rPr>
        <w:t>（1）经济效益。</w:t>
      </w:r>
      <w:r>
        <w:rPr>
          <w:rFonts w:ascii="Times New Roman" w:eastAsia="仿宋_GB2312"/>
          <w:color w:val="000000"/>
          <w:sz w:val="32"/>
          <w:szCs w:val="32"/>
        </w:rPr>
        <w:t>实现文化旅游经济增长，实现文化旅游收入增长，促进我市文旅事业高质量发展。</w:t>
      </w:r>
    </w:p>
    <w:p>
      <w:pPr>
        <w:pStyle w:val="8"/>
        <w:spacing w:line="560" w:lineRule="exact"/>
        <w:ind w:firstLine="640" w:firstLineChars="200"/>
        <w:rPr>
          <w:rFonts w:ascii="Times New Roman" w:eastAsia="仿宋_GB2312"/>
          <w:sz w:val="32"/>
          <w:szCs w:val="32"/>
        </w:rPr>
      </w:pPr>
      <w:r>
        <w:rPr>
          <w:rFonts w:ascii="Times New Roman" w:eastAsia="仿宋_GB2312"/>
          <w:sz w:val="32"/>
          <w:szCs w:val="32"/>
        </w:rPr>
        <w:t>（2）社会效益。在新冠疫情常态化情况下，积极引导推进了全市重大重点文旅项目及文化旅游新业态建设，文旅产品不断丰富，多产业融合度不断提升；推进公共服务体系建设，文旅服务功能不断完善和延伸，文化旅游品质不断提升；文化旅游形象、城市竞争力不断提升。</w:t>
      </w:r>
    </w:p>
    <w:p>
      <w:pPr>
        <w:widowControl/>
        <w:adjustRightInd w:val="0"/>
        <w:snapToGrid w:val="0"/>
        <w:spacing w:line="576" w:lineRule="exact"/>
        <w:ind w:firstLine="640" w:firstLineChars="200"/>
        <w:contextualSpacing/>
        <w:jc w:val="left"/>
        <w:rPr>
          <w:rFonts w:eastAsia="黑体"/>
          <w:kern w:val="0"/>
          <w:sz w:val="32"/>
          <w:szCs w:val="32"/>
          <w:shd w:val="clear" w:color="auto" w:fill="FFFFFF"/>
        </w:rPr>
      </w:pPr>
      <w:r>
        <w:rPr>
          <w:rFonts w:eastAsia="黑体"/>
          <w:kern w:val="0"/>
          <w:sz w:val="32"/>
          <w:szCs w:val="32"/>
          <w:shd w:val="clear" w:color="auto" w:fill="FFFFFF"/>
        </w:rPr>
        <w:t>四、评价结论及建议</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（一）评价结论。</w:t>
      </w:r>
    </w:p>
    <w:p>
      <w:pPr>
        <w:spacing w:line="580" w:lineRule="exact"/>
        <w:ind w:firstLine="640" w:firstLineChars="200"/>
        <w:rPr>
          <w:rFonts w:eastAsia="仿宋"/>
          <w:sz w:val="32"/>
          <w:szCs w:val="32"/>
        </w:rPr>
      </w:pPr>
      <w:r>
        <w:rPr>
          <w:rFonts w:eastAsia="仿宋"/>
          <w:sz w:val="32"/>
          <w:szCs w:val="32"/>
        </w:rPr>
        <w:t>2021年，</w:t>
      </w:r>
      <w:r>
        <w:rPr>
          <w:rFonts w:eastAsia="仿宋_GB2312"/>
          <w:sz w:val="32"/>
          <w:szCs w:val="32"/>
        </w:rPr>
        <w:t>市文广旅局</w:t>
      </w:r>
      <w:r>
        <w:rPr>
          <w:rFonts w:eastAsia="仿宋"/>
          <w:sz w:val="32"/>
          <w:szCs w:val="32"/>
        </w:rPr>
        <w:t>系统积极履职，强化管理，较好地完成了年度工作目标。通过加强预算收支管理，不断建立健全内部控制制度，梳理完善内部管理流程，部门整体支出管理水平得到提升。</w:t>
      </w:r>
    </w:p>
    <w:p>
      <w:pPr>
        <w:spacing w:line="580" w:lineRule="exact"/>
        <w:ind w:firstLine="640" w:firstLineChars="200"/>
        <w:rPr>
          <w:rFonts w:eastAsia="仿宋"/>
          <w:sz w:val="32"/>
          <w:szCs w:val="32"/>
        </w:rPr>
      </w:pPr>
      <w:r>
        <w:rPr>
          <w:rFonts w:eastAsia="仿宋"/>
          <w:sz w:val="32"/>
          <w:szCs w:val="32"/>
        </w:rPr>
        <w:t>1</w:t>
      </w:r>
      <w:r>
        <w:rPr>
          <w:bCs/>
          <w:sz w:val="32"/>
          <w:szCs w:val="32"/>
        </w:rPr>
        <w:t>．</w:t>
      </w:r>
      <w:r>
        <w:rPr>
          <w:rFonts w:eastAsia="仿宋"/>
          <w:sz w:val="32"/>
          <w:szCs w:val="32"/>
        </w:rPr>
        <w:t>预算配置控制较好。按照2021年绩效目标编制要求，</w:t>
      </w:r>
      <w:r>
        <w:rPr>
          <w:rFonts w:eastAsia="仿宋_GB2312"/>
          <w:sz w:val="32"/>
          <w:szCs w:val="32"/>
        </w:rPr>
        <w:t>市文广旅局</w:t>
      </w:r>
      <w:r>
        <w:rPr>
          <w:rFonts w:eastAsia="仿宋"/>
          <w:sz w:val="32"/>
          <w:szCs w:val="32"/>
        </w:rPr>
        <w:t>系统在基本支出、项目支出、“三公”经费等经费配置上科学合理，机关各科室，局属各单位配置保障有序，内部控制制度较完善，工作扎实推进。</w:t>
      </w:r>
    </w:p>
    <w:p>
      <w:pPr>
        <w:spacing w:line="580" w:lineRule="exact"/>
        <w:ind w:firstLine="640" w:firstLineChars="200"/>
        <w:rPr>
          <w:rFonts w:eastAsia="仿宋"/>
          <w:sz w:val="32"/>
          <w:szCs w:val="32"/>
        </w:rPr>
      </w:pPr>
      <w:r>
        <w:rPr>
          <w:rFonts w:eastAsia="仿宋"/>
          <w:sz w:val="32"/>
          <w:szCs w:val="32"/>
        </w:rPr>
        <w:t>2</w:t>
      </w:r>
      <w:r>
        <w:rPr>
          <w:bCs/>
          <w:sz w:val="32"/>
          <w:szCs w:val="32"/>
        </w:rPr>
        <w:t>．</w:t>
      </w:r>
      <w:r>
        <w:rPr>
          <w:rFonts w:eastAsia="仿宋"/>
          <w:sz w:val="32"/>
          <w:szCs w:val="32"/>
        </w:rPr>
        <w:t>预算执行到位。2021年</w:t>
      </w:r>
      <w:r>
        <w:rPr>
          <w:rFonts w:eastAsia="仿宋_GB2312"/>
          <w:sz w:val="32"/>
          <w:szCs w:val="32"/>
        </w:rPr>
        <w:t>市文广旅局</w:t>
      </w:r>
      <w:r>
        <w:rPr>
          <w:rFonts w:eastAsia="仿宋"/>
          <w:sz w:val="32"/>
          <w:szCs w:val="32"/>
        </w:rPr>
        <w:t>系统财政拨款收入11683.75万元，财政拨款支出11683.75万元，执行率100%。</w:t>
      </w:r>
    </w:p>
    <w:p>
      <w:pPr>
        <w:spacing w:line="580" w:lineRule="exact"/>
        <w:ind w:firstLine="640" w:firstLineChars="200"/>
        <w:rPr>
          <w:rFonts w:eastAsia="仿宋"/>
          <w:sz w:val="32"/>
          <w:szCs w:val="32"/>
        </w:rPr>
      </w:pPr>
      <w:r>
        <w:rPr>
          <w:rFonts w:eastAsia="仿宋"/>
          <w:sz w:val="32"/>
          <w:szCs w:val="32"/>
        </w:rPr>
        <w:t>部门预算收支严格按年初部门预算方案执行，全年支出总额控制在预算总额以内，全年无截留或滞留专项资金情况，部门预决算、“三公”经费预决算按要求及时进行了公开。</w:t>
      </w:r>
    </w:p>
    <w:p>
      <w:pPr>
        <w:spacing w:line="580" w:lineRule="exact"/>
        <w:ind w:firstLine="640" w:firstLineChars="200"/>
        <w:rPr>
          <w:rFonts w:eastAsia="仿宋"/>
          <w:sz w:val="32"/>
          <w:szCs w:val="32"/>
        </w:rPr>
      </w:pPr>
      <w:r>
        <w:rPr>
          <w:rFonts w:eastAsia="仿宋"/>
          <w:sz w:val="32"/>
          <w:szCs w:val="32"/>
        </w:rPr>
        <w:t>3</w:t>
      </w:r>
      <w:r>
        <w:rPr>
          <w:bCs/>
          <w:sz w:val="32"/>
          <w:szCs w:val="32"/>
        </w:rPr>
        <w:t>．</w:t>
      </w:r>
      <w:r>
        <w:rPr>
          <w:rFonts w:eastAsia="仿宋"/>
          <w:sz w:val="32"/>
          <w:szCs w:val="32"/>
        </w:rPr>
        <w:t>预算管理较完善。</w:t>
      </w:r>
      <w:r>
        <w:rPr>
          <w:rFonts w:eastAsia="仿宋_GB2312"/>
          <w:sz w:val="32"/>
          <w:szCs w:val="32"/>
        </w:rPr>
        <w:t>市文广旅局</w:t>
      </w:r>
      <w:r>
        <w:rPr>
          <w:rFonts w:eastAsia="仿宋"/>
          <w:sz w:val="32"/>
          <w:szCs w:val="32"/>
        </w:rPr>
        <w:t>系统切实加强预算管理，根据年初目标和工作进度，管理执行预算，预算制度执行总体较为有效。</w:t>
      </w:r>
    </w:p>
    <w:p>
      <w:pPr>
        <w:spacing w:line="580" w:lineRule="exact"/>
        <w:ind w:firstLine="640" w:firstLineChars="200"/>
        <w:rPr>
          <w:rFonts w:eastAsia="仿宋"/>
          <w:sz w:val="32"/>
          <w:szCs w:val="32"/>
        </w:rPr>
      </w:pPr>
      <w:r>
        <w:rPr>
          <w:rFonts w:eastAsia="仿宋"/>
          <w:sz w:val="32"/>
          <w:szCs w:val="32"/>
        </w:rPr>
        <w:t>4</w:t>
      </w:r>
      <w:r>
        <w:rPr>
          <w:bCs/>
          <w:sz w:val="32"/>
          <w:szCs w:val="32"/>
        </w:rPr>
        <w:t>．</w:t>
      </w:r>
      <w:r>
        <w:rPr>
          <w:rFonts w:eastAsia="仿宋"/>
          <w:sz w:val="32"/>
          <w:szCs w:val="32"/>
        </w:rPr>
        <w:t>管理制度健全。</w:t>
      </w:r>
      <w:r>
        <w:rPr>
          <w:rFonts w:eastAsia="仿宋_GB2312"/>
          <w:sz w:val="32"/>
          <w:szCs w:val="32"/>
        </w:rPr>
        <w:t>市文广旅局</w:t>
      </w:r>
      <w:r>
        <w:rPr>
          <w:rFonts w:eastAsia="仿宋"/>
          <w:sz w:val="32"/>
          <w:szCs w:val="32"/>
        </w:rPr>
        <w:t>系统制定有较为完善财务管理制度、内部控制制度等管理制度，相关管理制度合法、合规、完整，流程规范，相关管理制度得到有效执行。</w:t>
      </w:r>
    </w:p>
    <w:p>
      <w:pPr>
        <w:spacing w:line="580" w:lineRule="exact"/>
        <w:ind w:firstLine="640" w:firstLineChars="200"/>
        <w:rPr>
          <w:rFonts w:eastAsia="仿宋"/>
          <w:sz w:val="32"/>
          <w:szCs w:val="32"/>
        </w:rPr>
      </w:pPr>
      <w:r>
        <w:rPr>
          <w:rFonts w:eastAsia="仿宋"/>
          <w:sz w:val="32"/>
          <w:szCs w:val="32"/>
        </w:rPr>
        <w:t>5</w:t>
      </w:r>
      <w:r>
        <w:rPr>
          <w:bCs/>
          <w:sz w:val="32"/>
          <w:szCs w:val="32"/>
        </w:rPr>
        <w:t>．</w:t>
      </w:r>
      <w:r>
        <w:rPr>
          <w:rFonts w:eastAsia="仿宋"/>
          <w:sz w:val="32"/>
          <w:szCs w:val="32"/>
        </w:rPr>
        <w:t>资金使用合规。</w:t>
      </w:r>
      <w:r>
        <w:rPr>
          <w:rFonts w:eastAsia="仿宋_GB2312"/>
          <w:sz w:val="32"/>
          <w:szCs w:val="32"/>
        </w:rPr>
        <w:t>市文广旅局</w:t>
      </w:r>
      <w:r>
        <w:rPr>
          <w:rFonts w:eastAsia="仿宋"/>
          <w:sz w:val="32"/>
          <w:szCs w:val="32"/>
        </w:rPr>
        <w:t>系统切实做好厉行节约工作，努力降低行政成本。各项支出严格按照有关财经法规和财务管理制度规定执行，费用开支有审批、有标准、有预算。严格执行公务接待费、差旅费、会议费和培训费审核审批程序，加强对公务用车的管理，会议费和培训费严格按年初计划和制度规定的标准执行。资金使用无截留、挤占、挪用、虚列支出等情况，无大额现金支付现象。</w:t>
      </w:r>
    </w:p>
    <w:p>
      <w:pPr>
        <w:pStyle w:val="2"/>
        <w:spacing w:before="93"/>
        <w:ind w:firstLine="643" w:firstLineChars="201"/>
        <w:rPr>
          <w:rFonts w:ascii="Times New Roman"/>
          <w:lang w:val="zh-CN"/>
        </w:rPr>
      </w:pPr>
      <w:r>
        <w:rPr>
          <w:rFonts w:ascii="Times New Roman" w:eastAsia="仿宋"/>
          <w:kern w:val="2"/>
          <w:sz w:val="32"/>
          <w:szCs w:val="32"/>
        </w:rPr>
        <w:t>6．信息公开及时。</w:t>
      </w:r>
      <w:r>
        <w:rPr>
          <w:rFonts w:ascii="Times New Roman"/>
          <w:sz w:val="32"/>
          <w:szCs w:val="32"/>
        </w:rPr>
        <w:t>市文广旅局</w:t>
      </w:r>
      <w:r>
        <w:rPr>
          <w:rFonts w:hint="eastAsia" w:ascii="Times New Roman"/>
          <w:sz w:val="32"/>
          <w:szCs w:val="32"/>
        </w:rPr>
        <w:t>系统</w:t>
      </w:r>
      <w:r>
        <w:rPr>
          <w:rFonts w:ascii="Times New Roman" w:eastAsia="仿宋"/>
          <w:kern w:val="2"/>
          <w:sz w:val="32"/>
          <w:szCs w:val="32"/>
        </w:rPr>
        <w:t>预决算信息根据各项要求，及时在</w:t>
      </w:r>
      <w:r>
        <w:rPr>
          <w:rFonts w:ascii="Times New Roman" w:eastAsia="仿宋"/>
          <w:sz w:val="32"/>
          <w:szCs w:val="32"/>
        </w:rPr>
        <w:t>财政系统和局政务信息系统中公开。</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（二）存在问题。</w:t>
      </w:r>
    </w:p>
    <w:p>
      <w:pPr>
        <w:widowControl/>
        <w:adjustRightInd w:val="0"/>
        <w:snapToGrid w:val="0"/>
        <w:spacing w:line="580" w:lineRule="exact"/>
        <w:ind w:firstLine="640" w:firstLineChars="200"/>
        <w:contextualSpacing/>
        <w:jc w:val="left"/>
        <w:rPr>
          <w:rFonts w:eastAsia="仿宋"/>
          <w:sz w:val="32"/>
          <w:szCs w:val="32"/>
        </w:rPr>
      </w:pPr>
      <w:r>
        <w:rPr>
          <w:rFonts w:eastAsia="仿宋"/>
          <w:sz w:val="32"/>
          <w:szCs w:val="32"/>
        </w:rPr>
        <w:t>1</w:t>
      </w:r>
      <w:r>
        <w:rPr>
          <w:bCs/>
          <w:sz w:val="32"/>
          <w:szCs w:val="32"/>
        </w:rPr>
        <w:t>．</w:t>
      </w:r>
      <w:r>
        <w:rPr>
          <w:rFonts w:eastAsia="仿宋"/>
          <w:sz w:val="32"/>
          <w:szCs w:val="32"/>
        </w:rPr>
        <w:t>预算编制的合理性需要进一步提高，基本运转经费尤其是人员经费应该确保。每年的社保、公积金缺口较大。同时，项目经费充分听取预算执行单位的意见，确保必需的预算纳入年初预算。</w:t>
      </w:r>
    </w:p>
    <w:p>
      <w:pPr>
        <w:spacing w:line="580" w:lineRule="exact"/>
        <w:ind w:firstLine="640" w:firstLineChars="200"/>
        <w:rPr>
          <w:rFonts w:eastAsia="仿宋"/>
          <w:sz w:val="32"/>
          <w:szCs w:val="32"/>
        </w:rPr>
      </w:pPr>
      <w:r>
        <w:rPr>
          <w:rFonts w:eastAsia="仿宋"/>
          <w:sz w:val="32"/>
          <w:szCs w:val="32"/>
        </w:rPr>
        <w:t>2</w:t>
      </w:r>
      <w:r>
        <w:rPr>
          <w:bCs/>
          <w:sz w:val="32"/>
          <w:szCs w:val="32"/>
        </w:rPr>
        <w:t>．</w:t>
      </w:r>
      <w:r>
        <w:rPr>
          <w:rFonts w:eastAsia="仿宋"/>
          <w:sz w:val="32"/>
          <w:szCs w:val="32"/>
        </w:rPr>
        <w:t>预算编制时间短，任务重，需要财政做更系统的培训和指导。</w:t>
      </w:r>
    </w:p>
    <w:p>
      <w:pPr>
        <w:spacing w:line="580" w:lineRule="exact"/>
        <w:ind w:firstLine="640" w:firstLineChars="200"/>
        <w:rPr>
          <w:rFonts w:eastAsia="仿宋"/>
          <w:sz w:val="32"/>
          <w:szCs w:val="32"/>
        </w:rPr>
      </w:pPr>
      <w:r>
        <w:rPr>
          <w:rFonts w:eastAsia="仿宋"/>
          <w:sz w:val="32"/>
          <w:szCs w:val="32"/>
        </w:rPr>
        <w:t>3．绩效从制定、执行、评价</w:t>
      </w:r>
      <w:r>
        <w:rPr>
          <w:rFonts w:hint="eastAsia" w:eastAsia="仿宋"/>
          <w:sz w:val="32"/>
          <w:szCs w:val="32"/>
        </w:rPr>
        <w:t>、</w:t>
      </w:r>
      <w:r>
        <w:rPr>
          <w:rFonts w:eastAsia="仿宋"/>
          <w:sz w:val="32"/>
          <w:szCs w:val="32"/>
        </w:rPr>
        <w:t>使用</w:t>
      </w:r>
      <w:r>
        <w:rPr>
          <w:rFonts w:hint="eastAsia" w:eastAsia="仿宋"/>
          <w:sz w:val="32"/>
          <w:szCs w:val="32"/>
        </w:rPr>
        <w:t>等方面</w:t>
      </w:r>
      <w:r>
        <w:rPr>
          <w:rFonts w:eastAsia="仿宋"/>
          <w:sz w:val="32"/>
          <w:szCs w:val="32"/>
        </w:rPr>
        <w:t>缺少系统性训练。</w:t>
      </w:r>
    </w:p>
    <w:p>
      <w:pPr>
        <w:pStyle w:val="2"/>
        <w:adjustRightInd w:val="0"/>
        <w:spacing w:before="30" w:beforeLines="0" w:line="560" w:lineRule="exact"/>
        <w:ind w:firstLine="640" w:firstLineChars="200"/>
        <w:rPr>
          <w:rFonts w:ascii="Times New Roman" w:eastAsia="楷体_GB2312"/>
          <w:kern w:val="2"/>
          <w:sz w:val="32"/>
        </w:rPr>
      </w:pPr>
      <w:r>
        <w:rPr>
          <w:rFonts w:ascii="Times New Roman" w:eastAsia="楷体_GB2312"/>
          <w:kern w:val="2"/>
          <w:sz w:val="32"/>
        </w:rPr>
        <w:t>（三）改进建议。</w:t>
      </w:r>
    </w:p>
    <w:p>
      <w:pPr>
        <w:pStyle w:val="2"/>
        <w:spacing w:before="93"/>
        <w:ind w:firstLine="627" w:firstLineChars="196"/>
        <w:rPr>
          <w:rFonts w:ascii="Times New Roman"/>
          <w:sz w:val="32"/>
          <w:szCs w:val="32"/>
          <w:shd w:val="clear" w:color="auto" w:fill="FFFFFF"/>
          <w:lang w:val="zh-CN"/>
        </w:rPr>
      </w:pPr>
      <w:r>
        <w:rPr>
          <w:rFonts w:ascii="Times New Roman" w:eastAsia="仿宋"/>
          <w:sz w:val="32"/>
          <w:szCs w:val="32"/>
        </w:rPr>
        <w:t>加强预算编制的合理性，平衡预算配置，确保社保和公积金等预算资金不留缺口，项目经费充分听取预算执行单位的意见。加强对预算编制和绩效的培训，绩效不仅是在绩效填报上培训，还需要从绩效编制、绩效编制、绩效评价（自评和第三方评价）、绩效结果应用上做一体化培训，促进绩效系统的成熟和稳定。</w:t>
      </w:r>
    </w:p>
    <w:p>
      <w:pPr>
        <w:pStyle w:val="2"/>
        <w:spacing w:before="93"/>
        <w:rPr>
          <w:rFonts w:ascii="Times New Roman"/>
          <w:sz w:val="32"/>
          <w:szCs w:val="32"/>
          <w:shd w:val="clear" w:color="auto" w:fill="FFFFFF"/>
          <w:lang w:val="zh-CN"/>
        </w:rPr>
      </w:pPr>
    </w:p>
    <w:p>
      <w:pPr>
        <w:pStyle w:val="2"/>
        <w:spacing w:before="93"/>
        <w:rPr>
          <w:rFonts w:ascii="Times New Roman"/>
          <w:sz w:val="32"/>
          <w:szCs w:val="32"/>
          <w:shd w:val="clear" w:color="auto" w:fill="FFFFFF"/>
          <w:lang w:val="zh-CN"/>
        </w:rPr>
      </w:pPr>
    </w:p>
    <w:p>
      <w:pPr>
        <w:rPr>
          <w:sz w:val="32"/>
          <w:szCs w:val="32"/>
          <w:shd w:val="clear" w:color="auto" w:fill="FFFFFF"/>
          <w:lang w:val="zh-CN"/>
        </w:rPr>
      </w:pPr>
      <w:r>
        <w:rPr>
          <w:sz w:val="32"/>
          <w:szCs w:val="32"/>
          <w:shd w:val="clear" w:color="auto" w:fill="FFFFFF"/>
          <w:lang w:val="zh-CN"/>
        </w:rPr>
        <w:br w:type="page"/>
      </w:r>
    </w:p>
    <w:p>
      <w:pPr>
        <w:pStyle w:val="2"/>
        <w:spacing w:before="93"/>
        <w:rPr>
          <w:rFonts w:ascii="Times New Roman"/>
          <w:lang w:val="zh-CN"/>
        </w:rPr>
      </w:pPr>
      <w:r>
        <w:rPr>
          <w:rFonts w:ascii="Times New Roman"/>
          <w:sz w:val="32"/>
          <w:szCs w:val="32"/>
          <w:shd w:val="clear" w:color="auto" w:fill="FFFFFF"/>
          <w:lang w:val="zh-CN"/>
        </w:rPr>
        <w:t>附件2-1</w:t>
      </w:r>
    </w:p>
    <w:p>
      <w:pPr>
        <w:pStyle w:val="8"/>
        <w:snapToGrid w:val="0"/>
        <w:spacing w:line="600" w:lineRule="exact"/>
        <w:jc w:val="center"/>
        <w:rPr>
          <w:rFonts w:ascii="Times New Roman" w:eastAsia="方正小标宋_GBK"/>
          <w:sz w:val="44"/>
          <w:szCs w:val="44"/>
        </w:rPr>
      </w:pPr>
      <w:r>
        <w:rPr>
          <w:rFonts w:ascii="Times New Roman" w:eastAsia="方正小标宋_GBK"/>
          <w:sz w:val="44"/>
          <w:szCs w:val="44"/>
        </w:rPr>
        <w:t>攀枝花市文化广播电视和旅游局</w:t>
      </w:r>
    </w:p>
    <w:p>
      <w:pPr>
        <w:pStyle w:val="35"/>
        <w:snapToGrid w:val="0"/>
        <w:spacing w:line="600" w:lineRule="exact"/>
        <w:jc w:val="center"/>
        <w:rPr>
          <w:rFonts w:ascii="Times New Roman" w:hAnsi="Times New Roman" w:eastAsia="方正小标宋简体" w:cs="Times New Roman"/>
          <w:bCs/>
          <w:color w:val="auto"/>
          <w:sz w:val="44"/>
          <w:szCs w:val="44"/>
        </w:rPr>
      </w:pPr>
      <w:r>
        <w:rPr>
          <w:rFonts w:ascii="Times New Roman" w:hAnsi="Times New Roman" w:eastAsia="方正小标宋_GBK" w:cs="Times New Roman"/>
          <w:sz w:val="44"/>
          <w:szCs w:val="44"/>
        </w:rPr>
        <w:t>2021年度部门预算市级文化广播电视和旅游发展专项资金项目支出绩效自评报告</w:t>
      </w:r>
    </w:p>
    <w:p>
      <w:pPr>
        <w:spacing w:line="600" w:lineRule="exact"/>
        <w:rPr>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1．主管部门（单位）在该项目管理中的职能</w:t>
      </w:r>
      <w:r>
        <w:rPr>
          <w:rFonts w:hint="eastAsia" w:eastAsia="仿宋_GB2312"/>
          <w:kern w:val="0"/>
          <w:sz w:val="32"/>
          <w:szCs w:val="32"/>
        </w:rPr>
        <w:t>。</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2021年，为深入贯彻落实市委“一二三五”工作思路，加快打造国际阳光康养旅游目的地和区域文化高地，展现“英雄攀枝花·阳光康养地”城市形象，市文广旅局</w:t>
      </w:r>
      <w:r>
        <w:rPr>
          <w:rFonts w:eastAsia="仿宋_GB2312"/>
          <w:sz w:val="32"/>
          <w:szCs w:val="32"/>
        </w:rPr>
        <w:t>以文旅融合为宗旨，</w:t>
      </w:r>
      <w:r>
        <w:rPr>
          <w:rFonts w:eastAsia="仿宋_GB2312"/>
          <w:kern w:val="0"/>
          <w:sz w:val="32"/>
          <w:szCs w:val="32"/>
        </w:rPr>
        <w:t>围绕政策性兑现及补助、文化旅游产业发展、文旅宣传推广、市场服务体系建设等方面，</w:t>
      </w:r>
      <w:r>
        <w:rPr>
          <w:rFonts w:eastAsia="仿宋_GB2312"/>
          <w:sz w:val="32"/>
          <w:szCs w:val="32"/>
        </w:rPr>
        <w:t>抢抓机遇、主动作为</w:t>
      </w:r>
      <w:r>
        <w:rPr>
          <w:rFonts w:eastAsia="仿宋_GB2312"/>
          <w:kern w:val="0"/>
          <w:sz w:val="32"/>
          <w:szCs w:val="32"/>
        </w:rPr>
        <w:t>，</w:t>
      </w:r>
      <w:r>
        <w:rPr>
          <w:rFonts w:eastAsia="仿宋_GB2312"/>
          <w:sz w:val="32"/>
          <w:szCs w:val="32"/>
        </w:rPr>
        <w:t>促进文化和旅游产业融合，加快建设国际阳光康养旅游目的地和区域文化高地，推动“两城”高质量建设。</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2．项目立项、资金申报的依据</w:t>
      </w:r>
      <w:r>
        <w:rPr>
          <w:rFonts w:hint="eastAsia" w:eastAsia="仿宋_GB2312"/>
          <w:kern w:val="0"/>
          <w:sz w:val="32"/>
          <w:szCs w:val="32"/>
        </w:rPr>
        <w:t>。</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根据市委、市政府相关工作要求，市财政安排2021年市级文化广播电视和旅游发展专项资金年初预算132.80万元，后续追加246.15万元（市文广旅局本级），共计378.95万元，包括康养民宿论坛产业发展活动、第十一届欢乐阳光节、第八届四川国际旅游交易博览会经费、招商引资经费等预算。</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3．资金管理办法制定情况，资金支持具体项目的条件、范围与支持方式概况</w:t>
      </w:r>
      <w:r>
        <w:rPr>
          <w:rFonts w:hint="eastAsia" w:eastAsia="仿宋_GB2312"/>
          <w:kern w:val="0"/>
          <w:sz w:val="32"/>
          <w:szCs w:val="32"/>
        </w:rPr>
        <w:t>。</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根据</w:t>
      </w:r>
      <w:r>
        <w:rPr>
          <w:rFonts w:eastAsia="仿宋_GB2312"/>
          <w:sz w:val="32"/>
          <w:szCs w:val="32"/>
        </w:rPr>
        <w:t>《攀枝花市人民政府办公室关于进一步加强市级财政资金管理的通知》（攀办发〔2017〕161号）《攀枝花市市级旅游发展专项资金管理办法》（攀旅产发〔2016〕3号）</w:t>
      </w:r>
      <w:r>
        <w:rPr>
          <w:rFonts w:eastAsia="仿宋_GB2312"/>
          <w:kern w:val="0"/>
          <w:sz w:val="32"/>
          <w:szCs w:val="32"/>
        </w:rPr>
        <w:t>等</w:t>
      </w:r>
      <w:r>
        <w:rPr>
          <w:rFonts w:eastAsia="仿宋_GB2312"/>
          <w:sz w:val="32"/>
          <w:szCs w:val="32"/>
        </w:rPr>
        <w:t>文件精神</w:t>
      </w:r>
      <w:r>
        <w:rPr>
          <w:rFonts w:eastAsia="仿宋_GB2312"/>
          <w:kern w:val="0"/>
          <w:sz w:val="32"/>
          <w:szCs w:val="32"/>
        </w:rPr>
        <w:t>，资金支持方向具体用于政策性兑现及补助、文化旅游产业发展、文旅宣传推广、市场服务体系建设等。</w:t>
      </w:r>
    </w:p>
    <w:p>
      <w:pPr>
        <w:autoSpaceDE w:val="0"/>
        <w:autoSpaceDN w:val="0"/>
        <w:adjustRightInd w:val="0"/>
        <w:spacing w:line="560" w:lineRule="exact"/>
        <w:ind w:firstLine="640" w:firstLineChars="200"/>
        <w:rPr>
          <w:kern w:val="0"/>
          <w:sz w:val="32"/>
          <w:szCs w:val="32"/>
        </w:rPr>
      </w:pPr>
      <w:r>
        <w:rPr>
          <w:rFonts w:eastAsia="仿宋_GB2312"/>
          <w:kern w:val="0"/>
          <w:sz w:val="32"/>
          <w:szCs w:val="32"/>
        </w:rPr>
        <w:t>资金使用范围主要为康养民宿论坛产业发展活动、第十一届欢乐阳光节、第八届四川国际旅游交易博览会经费、招商引资经费等。</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4．资金分配的原则及考虑因素</w:t>
      </w:r>
      <w:r>
        <w:rPr>
          <w:rFonts w:hint="eastAsia" w:eastAsia="仿宋_GB2312"/>
          <w:kern w:val="0"/>
          <w:sz w:val="32"/>
          <w:szCs w:val="32"/>
        </w:rPr>
        <w:t>。</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资金分配坚持“突出重点、择优扶持、专款专用、保证效益”的原则，根据2021年市委、市政府工作要求及市文广旅局工作任务，按照安排部署，结合重点工作任务分工对资金分配使用。</w:t>
      </w:r>
    </w:p>
    <w:p>
      <w:pPr>
        <w:autoSpaceDE w:val="0"/>
        <w:autoSpaceDN w:val="0"/>
        <w:adjustRightInd w:val="0"/>
        <w:spacing w:line="560" w:lineRule="exact"/>
        <w:ind w:firstLine="640" w:firstLineChars="200"/>
        <w:rPr>
          <w:rFonts w:eastAsia="楷体_GB2312"/>
          <w:kern w:val="0"/>
          <w:sz w:val="32"/>
          <w:szCs w:val="32"/>
        </w:rPr>
      </w:pPr>
      <w:r>
        <w:rPr>
          <w:rFonts w:eastAsia="楷体_GB2312"/>
          <w:kern w:val="0"/>
          <w:sz w:val="32"/>
          <w:szCs w:val="32"/>
        </w:rPr>
        <w:t>（二）项目绩效目标。</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1．项目主要内容</w:t>
      </w:r>
      <w:r>
        <w:rPr>
          <w:rFonts w:hint="eastAsia" w:eastAsia="仿宋_GB2312"/>
          <w:kern w:val="0"/>
          <w:sz w:val="32"/>
          <w:szCs w:val="32"/>
        </w:rPr>
        <w:t>。</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（1）康养民宿论坛产业发展活动经费，用于举办攀枝花康养民宿产业发展论坛等系列活动，以及兑现康养民宿论坛大赛、文创设计大赛获奖作品奖励金款。</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（2）第十一届欢乐阳光节活动经费，用于举办第十一届欢乐阳光节活动。</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（3）第八届四川国际旅游交易博览会经费，用于参加第八届四川国际旅游交易博览会，搭建展台、特色展品促销，大力宣传我市文旅形象。</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（4）招商引资工作经费，用于按照市里统筹，落实好2021年文旅行业招商工作，进行招商接待、专题招商活动等。</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2．项目具体绩效目标</w:t>
      </w:r>
      <w:r>
        <w:rPr>
          <w:rFonts w:hint="eastAsia" w:eastAsia="仿宋_GB2312"/>
          <w:kern w:val="0"/>
          <w:sz w:val="32"/>
          <w:szCs w:val="32"/>
        </w:rPr>
        <w:t>。</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圆满完成2021年文化旅游目标任务，推进攀枝花国际阳光康养旅游目的地建设，促进文化旅游深度融合，打造特色品牌文旅活动，推介攀枝花特色旅游产品，推动攀枝花文化旅游高质量发展，建设文化旅游高地。具体如下：</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（1）康养民宿论坛产业发展活动经费332.80万元，用于举办攀枝花康养民宿产业发展论坛等系列活动文创设计大赛费用尾款及大赛获奖作品奖励金款。</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（2）第十一届欢乐阳光节活动经费14万元，用于欢乐阳光节会务、租车、资料印制等费用。</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（3）第八届四川国际旅游交易博览会经费12万元，用于展位租赁费，特色农产品展示及品尝费，车辆租赁费、旅费等相关费用。</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（4）招商引资专项工作经费20.15万元，用于按照市里统筹，落实好2021年文旅行业招商工作，进行招商接待、专题招商活动等。</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3．申报内容和申报目标</w:t>
      </w:r>
      <w:r>
        <w:rPr>
          <w:rFonts w:hint="eastAsia" w:eastAsia="仿宋_GB2312"/>
          <w:kern w:val="0"/>
          <w:sz w:val="32"/>
          <w:szCs w:val="32"/>
        </w:rPr>
        <w:t>。</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项目内容及绩效结合文化旅游战略目标、年度工作目标以及市委、市政府确定的重点文化旅游工作部署，符合实际情况，项目预算及绩效目标合理可行。</w:t>
      </w:r>
    </w:p>
    <w:p>
      <w:pPr>
        <w:autoSpaceDE w:val="0"/>
        <w:autoSpaceDN w:val="0"/>
        <w:adjustRightInd w:val="0"/>
        <w:spacing w:line="560" w:lineRule="exact"/>
        <w:ind w:firstLine="640" w:firstLineChars="200"/>
        <w:rPr>
          <w:rFonts w:eastAsia="楷体_GB2312"/>
          <w:kern w:val="0"/>
          <w:sz w:val="32"/>
          <w:szCs w:val="32"/>
        </w:rPr>
      </w:pPr>
      <w:r>
        <w:rPr>
          <w:rFonts w:eastAsia="楷体_GB2312"/>
          <w:kern w:val="0"/>
          <w:sz w:val="32"/>
          <w:szCs w:val="32"/>
        </w:rPr>
        <w:t>（三）项目自评步骤及方法。</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项目绩效目标设定以长期战略目标为长远方向，根据年度工作目标细化项目绩效目标。首先由业务科室参照年初工作计划及实际完成情况，梳理绩效自评，财务部门结合资金规模进行补充完善，再由局领导审定。</w:t>
      </w:r>
    </w:p>
    <w:p>
      <w:pPr>
        <w:autoSpaceDE w:val="0"/>
        <w:autoSpaceDN w:val="0"/>
        <w:adjustRightInd w:val="0"/>
        <w:spacing w:line="560" w:lineRule="exact"/>
        <w:ind w:firstLine="640" w:firstLineChars="200"/>
        <w:rPr>
          <w:rFonts w:eastAsia="黑体"/>
          <w:kern w:val="0"/>
          <w:sz w:val="32"/>
          <w:szCs w:val="32"/>
        </w:rPr>
      </w:pPr>
      <w:r>
        <w:rPr>
          <w:rFonts w:eastAsia="黑体"/>
          <w:kern w:val="0"/>
          <w:sz w:val="32"/>
          <w:szCs w:val="32"/>
        </w:rPr>
        <w:t>二、项目资金申报及使用情况</w:t>
      </w:r>
    </w:p>
    <w:p>
      <w:pPr>
        <w:autoSpaceDE w:val="0"/>
        <w:autoSpaceDN w:val="0"/>
        <w:adjustRightInd w:val="0"/>
        <w:spacing w:line="560" w:lineRule="exact"/>
        <w:ind w:firstLine="640" w:firstLineChars="200"/>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根据市文广旅局按照市委、市政府工作要求及市文广旅局工作任务，2021年资金预算计划年初预算下达康养民宿论坛产业发展活动经费132.80万元，其他项目则以“一事一议”的方式专题申报，由市财政追加项目经费预算246.15万元。</w:t>
      </w:r>
    </w:p>
    <w:p>
      <w:pPr>
        <w:autoSpaceDE w:val="0"/>
        <w:autoSpaceDN w:val="0"/>
        <w:adjustRightInd w:val="0"/>
        <w:spacing w:line="560" w:lineRule="exact"/>
        <w:ind w:firstLine="640" w:firstLineChars="200"/>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1．资金计划</w:t>
      </w:r>
      <w:r>
        <w:rPr>
          <w:rFonts w:hint="eastAsia" w:eastAsia="仿宋_GB2312"/>
          <w:kern w:val="0"/>
          <w:sz w:val="32"/>
          <w:szCs w:val="32"/>
        </w:rPr>
        <w:t>。</w:t>
      </w:r>
    </w:p>
    <w:p>
      <w:pPr>
        <w:autoSpaceDE w:val="0"/>
        <w:autoSpaceDN w:val="0"/>
        <w:adjustRightInd w:val="0"/>
        <w:spacing w:line="560" w:lineRule="exact"/>
        <w:ind w:firstLine="640" w:firstLineChars="200"/>
        <w:rPr>
          <w:rFonts w:eastAsia="仿宋_GB2312"/>
          <w:kern w:val="0"/>
          <w:sz w:val="32"/>
          <w:szCs w:val="32"/>
        </w:rPr>
      </w:pPr>
      <w:r>
        <w:rPr>
          <w:rFonts w:eastAsia="仿宋_GB2312"/>
          <w:sz w:val="32"/>
          <w:szCs w:val="32"/>
        </w:rPr>
        <w:t>市财政局以《攀枝花市财政局关于2021年市级部门预算的批复》（攀财资预〔2021〕1号）文件下达市级文化广播电视和旅游专项资金预算132.80万元，</w:t>
      </w:r>
      <w:r>
        <w:rPr>
          <w:rFonts w:eastAsia="仿宋_GB2312"/>
          <w:kern w:val="0"/>
          <w:sz w:val="32"/>
          <w:szCs w:val="32"/>
        </w:rPr>
        <w:t>后续以《攀枝花市财政局关于下达市文广旅局、仁和区盘活资金的通知》（攀财库〔2021〕14号）文件追加康养民宿论坛产业发展活动经费200万元，《攀枝花市财政局关于下达第十一届欢乐阳光节专项经费的通知》（攀财资教〔2021〕42号）文件追加欢乐阳光节费用14万元，《攀枝花市财政局关于下达第八届四川国际旅游交易博览会参展经费的通知》（攀财资教〔2021〕74号）文件追加第八届四川国际旅游交易博览会参展经费12万元，《攀枝花市财政局关于下达2021年招商引资工作经费的通知》（攀财资预〔2021〕7号）文件、《攀枝花市财政局关于调整2021年招商引资工作经费的通知》（攀财资预〔2021〕24号）文件、《攀枝花市财政局关于下达2020年度目标绩效奖指标的通知（招商引资）》（攀财资外〔2021〕5号）文件下达招商引资经费20.15万元。具体如下：</w:t>
      </w:r>
    </w:p>
    <w:p>
      <w:pPr>
        <w:pStyle w:val="36"/>
        <w:jc w:val="center"/>
        <w:rPr>
          <w:rFonts w:eastAsia="仿宋_GB2312"/>
          <w:b/>
          <w:bCs/>
          <w:sz w:val="32"/>
          <w:szCs w:val="32"/>
        </w:rPr>
      </w:pPr>
    </w:p>
    <w:p>
      <w:pPr>
        <w:pStyle w:val="36"/>
        <w:jc w:val="center"/>
        <w:rPr>
          <w:rFonts w:eastAsia="仿宋_GB2312"/>
          <w:b/>
          <w:bCs/>
          <w:sz w:val="32"/>
          <w:szCs w:val="32"/>
        </w:rPr>
      </w:pPr>
    </w:p>
    <w:p>
      <w:pPr>
        <w:pStyle w:val="36"/>
        <w:jc w:val="center"/>
        <w:rPr>
          <w:rFonts w:eastAsia="仿宋_GB2312"/>
          <w:b/>
          <w:bCs/>
          <w:sz w:val="32"/>
          <w:szCs w:val="32"/>
        </w:rPr>
      </w:pPr>
    </w:p>
    <w:p>
      <w:pPr>
        <w:pStyle w:val="36"/>
        <w:jc w:val="center"/>
        <w:rPr>
          <w:rFonts w:eastAsia="仿宋_GB2312"/>
          <w:b/>
          <w:bCs/>
          <w:sz w:val="32"/>
          <w:szCs w:val="32"/>
        </w:rPr>
      </w:pPr>
      <w:r>
        <w:rPr>
          <w:rFonts w:eastAsia="仿宋_GB2312"/>
          <w:b/>
          <w:bCs/>
          <w:sz w:val="32"/>
          <w:szCs w:val="32"/>
        </w:rPr>
        <w:t>2021年市级文化广播电视</w:t>
      </w:r>
      <w:r>
        <w:rPr>
          <w:rFonts w:hint="eastAsia" w:eastAsia="仿宋_GB2312"/>
          <w:b/>
          <w:bCs/>
          <w:sz w:val="32"/>
          <w:szCs w:val="32"/>
        </w:rPr>
        <w:t>和</w:t>
      </w:r>
      <w:r>
        <w:rPr>
          <w:rFonts w:eastAsia="仿宋_GB2312"/>
          <w:b/>
          <w:bCs/>
          <w:sz w:val="32"/>
          <w:szCs w:val="32"/>
        </w:rPr>
        <w:t>旅游专项资金预算表</w:t>
      </w:r>
    </w:p>
    <w:p>
      <w:pPr>
        <w:autoSpaceDE w:val="0"/>
        <w:autoSpaceDN w:val="0"/>
        <w:adjustRightInd w:val="0"/>
        <w:spacing w:line="600" w:lineRule="exact"/>
        <w:ind w:firstLine="420" w:firstLineChars="200"/>
        <w:jc w:val="right"/>
        <w:rPr>
          <w:kern w:val="0"/>
          <w:szCs w:val="32"/>
        </w:rPr>
      </w:pPr>
      <w:r>
        <w:rPr>
          <w:kern w:val="0"/>
          <w:szCs w:val="32"/>
        </w:rPr>
        <w:t>单位：万元</w:t>
      </w:r>
    </w:p>
    <w:tbl>
      <w:tblPr>
        <w:tblStyle w:val="14"/>
        <w:tblW w:w="9132" w:type="dxa"/>
        <w:jc w:val="center"/>
        <w:tblLayout w:type="autofit"/>
        <w:tblCellMar>
          <w:top w:w="0" w:type="dxa"/>
          <w:left w:w="108" w:type="dxa"/>
          <w:bottom w:w="0" w:type="dxa"/>
          <w:right w:w="108" w:type="dxa"/>
        </w:tblCellMar>
      </w:tblPr>
      <w:tblGrid>
        <w:gridCol w:w="751"/>
        <w:gridCol w:w="1421"/>
        <w:gridCol w:w="3300"/>
        <w:gridCol w:w="1119"/>
        <w:gridCol w:w="2541"/>
      </w:tblGrid>
      <w:tr>
        <w:tblPrEx>
          <w:tblCellMar>
            <w:top w:w="0" w:type="dxa"/>
            <w:left w:w="108" w:type="dxa"/>
            <w:bottom w:w="0" w:type="dxa"/>
            <w:right w:w="108" w:type="dxa"/>
          </w:tblCellMar>
        </w:tblPrEx>
        <w:trPr>
          <w:jc w:val="center"/>
        </w:trPr>
        <w:tc>
          <w:tcPr>
            <w:tcW w:w="751"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color w:val="000000"/>
                <w:kern w:val="0"/>
                <w:szCs w:val="21"/>
              </w:rPr>
            </w:pPr>
            <w:r>
              <w:rPr>
                <w:rFonts w:eastAsia="仿宋_GB2312"/>
                <w:b/>
                <w:color w:val="000000"/>
                <w:kern w:val="0"/>
                <w:szCs w:val="21"/>
              </w:rPr>
              <w:t>序号</w:t>
            </w:r>
          </w:p>
        </w:tc>
        <w:tc>
          <w:tcPr>
            <w:tcW w:w="1421" w:type="dxa"/>
            <w:tcBorders>
              <w:top w:val="single" w:color="auto" w:sz="4" w:space="0"/>
              <w:left w:val="nil"/>
              <w:bottom w:val="single" w:color="auto" w:sz="4" w:space="0"/>
              <w:right w:val="single" w:color="auto" w:sz="4" w:space="0"/>
            </w:tcBorders>
            <w:noWrap/>
            <w:vAlign w:val="center"/>
          </w:tcPr>
          <w:p>
            <w:pPr>
              <w:widowControl/>
              <w:jc w:val="center"/>
              <w:rPr>
                <w:rFonts w:eastAsia="仿宋_GB2312"/>
                <w:b/>
                <w:color w:val="000000"/>
                <w:kern w:val="0"/>
                <w:szCs w:val="21"/>
              </w:rPr>
            </w:pPr>
            <w:r>
              <w:rPr>
                <w:rFonts w:eastAsia="仿宋_GB2312"/>
                <w:b/>
                <w:color w:val="000000"/>
                <w:kern w:val="0"/>
                <w:szCs w:val="21"/>
              </w:rPr>
              <w:t>项目名称</w:t>
            </w:r>
          </w:p>
        </w:tc>
        <w:tc>
          <w:tcPr>
            <w:tcW w:w="3300" w:type="dxa"/>
            <w:tcBorders>
              <w:top w:val="single" w:color="auto" w:sz="4" w:space="0"/>
              <w:left w:val="nil"/>
              <w:bottom w:val="single" w:color="auto" w:sz="4" w:space="0"/>
              <w:right w:val="single" w:color="auto" w:sz="4" w:space="0"/>
            </w:tcBorders>
            <w:noWrap/>
            <w:vAlign w:val="center"/>
          </w:tcPr>
          <w:p>
            <w:pPr>
              <w:widowControl/>
              <w:jc w:val="center"/>
              <w:rPr>
                <w:rFonts w:eastAsia="仿宋_GB2312"/>
                <w:b/>
                <w:color w:val="000000"/>
                <w:kern w:val="0"/>
                <w:szCs w:val="21"/>
              </w:rPr>
            </w:pPr>
            <w:r>
              <w:rPr>
                <w:rFonts w:eastAsia="仿宋_GB2312"/>
                <w:b/>
                <w:color w:val="000000"/>
                <w:kern w:val="0"/>
                <w:szCs w:val="21"/>
              </w:rPr>
              <w:t>主要内容</w:t>
            </w:r>
          </w:p>
        </w:tc>
        <w:tc>
          <w:tcPr>
            <w:tcW w:w="1119" w:type="dxa"/>
            <w:tcBorders>
              <w:top w:val="single" w:color="auto" w:sz="4" w:space="0"/>
              <w:left w:val="nil"/>
              <w:bottom w:val="single" w:color="auto" w:sz="4" w:space="0"/>
              <w:right w:val="single" w:color="auto" w:sz="4" w:space="0"/>
            </w:tcBorders>
            <w:vAlign w:val="center"/>
          </w:tcPr>
          <w:p>
            <w:pPr>
              <w:widowControl/>
              <w:jc w:val="center"/>
              <w:rPr>
                <w:rFonts w:eastAsia="仿宋_GB2312"/>
                <w:b/>
                <w:color w:val="000000"/>
                <w:kern w:val="0"/>
                <w:szCs w:val="21"/>
              </w:rPr>
            </w:pPr>
            <w:r>
              <w:rPr>
                <w:rFonts w:eastAsia="仿宋_GB2312"/>
                <w:b/>
                <w:color w:val="000000"/>
                <w:kern w:val="0"/>
                <w:szCs w:val="21"/>
              </w:rPr>
              <w:t>金额</w:t>
            </w:r>
            <w:r>
              <w:rPr>
                <w:rFonts w:eastAsia="仿宋_GB2312"/>
                <w:b/>
                <w:color w:val="000000"/>
                <w:kern w:val="0"/>
                <w:szCs w:val="21"/>
              </w:rPr>
              <w:br w:type="textWrapping"/>
            </w:r>
            <w:r>
              <w:rPr>
                <w:rFonts w:eastAsia="仿宋_GB2312"/>
                <w:b/>
                <w:color w:val="000000"/>
                <w:kern w:val="0"/>
                <w:szCs w:val="21"/>
              </w:rPr>
              <w:t>（万元）</w:t>
            </w:r>
          </w:p>
        </w:tc>
        <w:tc>
          <w:tcPr>
            <w:tcW w:w="2541" w:type="dxa"/>
            <w:tcBorders>
              <w:top w:val="single" w:color="auto" w:sz="4" w:space="0"/>
              <w:left w:val="nil"/>
              <w:bottom w:val="single" w:color="auto" w:sz="4" w:space="0"/>
              <w:right w:val="single" w:color="auto" w:sz="4" w:space="0"/>
            </w:tcBorders>
            <w:noWrap/>
            <w:vAlign w:val="center"/>
          </w:tcPr>
          <w:p>
            <w:pPr>
              <w:widowControl/>
              <w:jc w:val="center"/>
              <w:rPr>
                <w:rFonts w:eastAsia="仿宋_GB2312"/>
                <w:b/>
                <w:color w:val="000000"/>
                <w:kern w:val="0"/>
                <w:szCs w:val="21"/>
              </w:rPr>
            </w:pPr>
            <w:r>
              <w:rPr>
                <w:rFonts w:eastAsia="仿宋_GB2312"/>
                <w:b/>
                <w:color w:val="000000"/>
                <w:kern w:val="0"/>
                <w:szCs w:val="21"/>
              </w:rPr>
              <w:t>下达文件</w:t>
            </w:r>
          </w:p>
        </w:tc>
      </w:tr>
      <w:tr>
        <w:tblPrEx>
          <w:tblCellMar>
            <w:top w:w="0" w:type="dxa"/>
            <w:left w:w="108" w:type="dxa"/>
            <w:bottom w:w="0" w:type="dxa"/>
            <w:right w:w="108" w:type="dxa"/>
          </w:tblCellMar>
        </w:tblPrEx>
        <w:trPr>
          <w:trHeight w:val="921" w:hRule="atLeast"/>
          <w:jc w:val="center"/>
        </w:trPr>
        <w:tc>
          <w:tcPr>
            <w:tcW w:w="751" w:type="dxa"/>
            <w:tcBorders>
              <w:top w:val="nil"/>
              <w:left w:val="single" w:color="auto" w:sz="4" w:space="0"/>
              <w:bottom w:val="single" w:color="auto" w:sz="4" w:space="0"/>
              <w:right w:val="single" w:color="auto" w:sz="4" w:space="0"/>
            </w:tcBorders>
            <w:vAlign w:val="center"/>
          </w:tcPr>
          <w:p>
            <w:pPr>
              <w:widowControl/>
              <w:spacing w:before="240"/>
              <w:jc w:val="center"/>
              <w:rPr>
                <w:rFonts w:eastAsia="仿宋_GB2312"/>
                <w:color w:val="000000"/>
                <w:kern w:val="0"/>
                <w:szCs w:val="21"/>
              </w:rPr>
            </w:pPr>
            <w:r>
              <w:rPr>
                <w:rFonts w:eastAsia="仿宋_GB2312"/>
                <w:color w:val="000000"/>
                <w:kern w:val="0"/>
                <w:szCs w:val="21"/>
              </w:rPr>
              <w:t>1</w:t>
            </w:r>
          </w:p>
        </w:tc>
        <w:tc>
          <w:tcPr>
            <w:tcW w:w="1421"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eastAsia="仿宋_GB2312"/>
                <w:kern w:val="0"/>
                <w:szCs w:val="21"/>
              </w:rPr>
              <w:t>康养民宿论坛产业发展活动经费</w:t>
            </w:r>
          </w:p>
        </w:tc>
        <w:tc>
          <w:tcPr>
            <w:tcW w:w="3300" w:type="dxa"/>
            <w:tcBorders>
              <w:top w:val="nil"/>
              <w:left w:val="nil"/>
              <w:bottom w:val="single" w:color="auto" w:sz="4" w:space="0"/>
              <w:right w:val="single" w:color="auto" w:sz="4" w:space="0"/>
            </w:tcBorders>
            <w:vAlign w:val="center"/>
          </w:tcPr>
          <w:p>
            <w:pPr>
              <w:widowControl/>
              <w:spacing w:line="240" w:lineRule="exact"/>
              <w:rPr>
                <w:rFonts w:eastAsia="仿宋_GB2312"/>
                <w:kern w:val="0"/>
                <w:szCs w:val="21"/>
              </w:rPr>
            </w:pPr>
            <w:r>
              <w:rPr>
                <w:rFonts w:eastAsia="仿宋_GB2312"/>
                <w:kern w:val="0"/>
                <w:szCs w:val="21"/>
              </w:rPr>
              <w:t>举办攀枝花康养民宿产业发展论坛等系列活动文创设计大赛费用尾款及大赛获奖作品奖励金款</w:t>
            </w:r>
          </w:p>
        </w:tc>
        <w:tc>
          <w:tcPr>
            <w:tcW w:w="1119"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332.80</w:t>
            </w:r>
          </w:p>
        </w:tc>
        <w:tc>
          <w:tcPr>
            <w:tcW w:w="2541" w:type="dxa"/>
            <w:tcBorders>
              <w:top w:val="nil"/>
              <w:left w:val="nil"/>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攀财资预〔2021〕1号</w:t>
            </w:r>
          </w:p>
          <w:p>
            <w:pPr>
              <w:spacing w:line="240" w:lineRule="exact"/>
              <w:jc w:val="center"/>
              <w:rPr>
                <w:rFonts w:eastAsia="仿宋_GB2312"/>
                <w:kern w:val="0"/>
                <w:szCs w:val="21"/>
              </w:rPr>
            </w:pPr>
            <w:r>
              <w:rPr>
                <w:rFonts w:eastAsia="仿宋_GB2312"/>
                <w:kern w:val="0"/>
                <w:szCs w:val="21"/>
              </w:rPr>
              <w:t>攀财库〔2021〕14号</w:t>
            </w:r>
          </w:p>
        </w:tc>
      </w:tr>
      <w:tr>
        <w:tblPrEx>
          <w:tblCellMar>
            <w:top w:w="0" w:type="dxa"/>
            <w:left w:w="108" w:type="dxa"/>
            <w:bottom w:w="0" w:type="dxa"/>
            <w:right w:w="108" w:type="dxa"/>
          </w:tblCellMar>
        </w:tblPrEx>
        <w:trPr>
          <w:jc w:val="center"/>
        </w:trPr>
        <w:tc>
          <w:tcPr>
            <w:tcW w:w="751"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Cs w:val="21"/>
              </w:rPr>
            </w:pPr>
            <w:r>
              <w:rPr>
                <w:rFonts w:eastAsia="仿宋_GB2312"/>
                <w:color w:val="000000"/>
                <w:kern w:val="0"/>
                <w:szCs w:val="21"/>
              </w:rPr>
              <w:t>2</w:t>
            </w:r>
          </w:p>
        </w:tc>
        <w:tc>
          <w:tcPr>
            <w:tcW w:w="1421"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eastAsia="仿宋_GB2312"/>
                <w:kern w:val="0"/>
                <w:szCs w:val="21"/>
              </w:rPr>
              <w:t>第十一届欢乐阳光节活动经费</w:t>
            </w:r>
          </w:p>
        </w:tc>
        <w:tc>
          <w:tcPr>
            <w:tcW w:w="3300" w:type="dxa"/>
            <w:tcBorders>
              <w:top w:val="nil"/>
              <w:left w:val="nil"/>
              <w:bottom w:val="single" w:color="auto" w:sz="4" w:space="0"/>
              <w:right w:val="single" w:color="auto" w:sz="4" w:space="0"/>
            </w:tcBorders>
            <w:vAlign w:val="center"/>
          </w:tcPr>
          <w:p>
            <w:pPr>
              <w:widowControl/>
              <w:spacing w:line="240" w:lineRule="exact"/>
              <w:jc w:val="left"/>
              <w:rPr>
                <w:rFonts w:eastAsia="仿宋_GB2312"/>
                <w:kern w:val="0"/>
                <w:szCs w:val="21"/>
              </w:rPr>
            </w:pPr>
            <w:r>
              <w:rPr>
                <w:rFonts w:eastAsia="仿宋_GB2312"/>
                <w:kern w:val="0"/>
                <w:szCs w:val="21"/>
              </w:rPr>
              <w:t>用于欢乐阳光节会务、租车、资料印制等费用</w:t>
            </w:r>
          </w:p>
        </w:tc>
        <w:tc>
          <w:tcPr>
            <w:tcW w:w="111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eastAsia="仿宋_GB2312"/>
                <w:kern w:val="0"/>
                <w:szCs w:val="21"/>
              </w:rPr>
              <w:t>14</w:t>
            </w:r>
          </w:p>
        </w:tc>
        <w:tc>
          <w:tcPr>
            <w:tcW w:w="2541" w:type="dxa"/>
            <w:tcBorders>
              <w:top w:val="nil"/>
              <w:left w:val="nil"/>
              <w:bottom w:val="single" w:color="auto" w:sz="4" w:space="0"/>
              <w:right w:val="single" w:color="auto" w:sz="4" w:space="0"/>
            </w:tcBorders>
            <w:vAlign w:val="center"/>
          </w:tcPr>
          <w:p>
            <w:pPr>
              <w:jc w:val="center"/>
              <w:rPr>
                <w:rFonts w:eastAsia="仿宋_GB2312"/>
                <w:kern w:val="0"/>
                <w:szCs w:val="21"/>
              </w:rPr>
            </w:pPr>
            <w:r>
              <w:rPr>
                <w:rFonts w:eastAsia="仿宋_GB2312"/>
                <w:kern w:val="0"/>
                <w:szCs w:val="21"/>
              </w:rPr>
              <w:t>攀财资教〔2021〕42号</w:t>
            </w:r>
          </w:p>
        </w:tc>
      </w:tr>
      <w:tr>
        <w:tblPrEx>
          <w:tblCellMar>
            <w:top w:w="0" w:type="dxa"/>
            <w:left w:w="108" w:type="dxa"/>
            <w:bottom w:w="0" w:type="dxa"/>
            <w:right w:w="108" w:type="dxa"/>
          </w:tblCellMar>
        </w:tblPrEx>
        <w:trPr>
          <w:jc w:val="center"/>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_GB2312"/>
                <w:color w:val="000000"/>
                <w:kern w:val="0"/>
                <w:szCs w:val="21"/>
              </w:rPr>
            </w:pPr>
            <w:r>
              <w:rPr>
                <w:rFonts w:eastAsia="仿宋_GB2312"/>
                <w:color w:val="000000"/>
                <w:kern w:val="0"/>
                <w:szCs w:val="21"/>
              </w:rPr>
              <w:t>3</w:t>
            </w:r>
          </w:p>
        </w:tc>
        <w:tc>
          <w:tcPr>
            <w:tcW w:w="142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eastAsia="仿宋_GB2312"/>
                <w:kern w:val="0"/>
                <w:szCs w:val="21"/>
              </w:rPr>
            </w:pPr>
            <w:r>
              <w:rPr>
                <w:rFonts w:eastAsia="仿宋_GB2312"/>
                <w:kern w:val="0"/>
                <w:szCs w:val="21"/>
              </w:rPr>
              <w:t>第八届四川国际旅游交易博览会经费</w:t>
            </w:r>
          </w:p>
        </w:tc>
        <w:tc>
          <w:tcPr>
            <w:tcW w:w="33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eastAsia="仿宋_GB2312"/>
                <w:kern w:val="0"/>
                <w:szCs w:val="21"/>
              </w:rPr>
            </w:pPr>
            <w:r>
              <w:rPr>
                <w:rFonts w:eastAsia="仿宋_GB2312"/>
                <w:kern w:val="0"/>
                <w:szCs w:val="21"/>
              </w:rPr>
              <w:t>用于展位租赁费，特色农产品展示及品尝费，车辆租赁费、旅费等相关费用</w:t>
            </w:r>
          </w:p>
        </w:tc>
        <w:tc>
          <w:tcPr>
            <w:tcW w:w="111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eastAsia="仿宋_GB2312"/>
                <w:kern w:val="0"/>
                <w:szCs w:val="21"/>
              </w:rPr>
            </w:pPr>
            <w:r>
              <w:rPr>
                <w:rFonts w:eastAsia="仿宋_GB2312"/>
                <w:kern w:val="0"/>
                <w:szCs w:val="21"/>
              </w:rPr>
              <w:t>12</w:t>
            </w:r>
          </w:p>
        </w:tc>
        <w:tc>
          <w:tcPr>
            <w:tcW w:w="2541" w:type="dxa"/>
            <w:tcBorders>
              <w:top w:val="nil"/>
              <w:left w:val="nil"/>
              <w:bottom w:val="single" w:color="auto" w:sz="4" w:space="0"/>
              <w:right w:val="single" w:color="auto" w:sz="4" w:space="0"/>
            </w:tcBorders>
            <w:vAlign w:val="center"/>
          </w:tcPr>
          <w:p>
            <w:pPr>
              <w:jc w:val="center"/>
              <w:rPr>
                <w:rFonts w:eastAsia="仿宋_GB2312"/>
                <w:kern w:val="0"/>
                <w:szCs w:val="21"/>
              </w:rPr>
            </w:pPr>
            <w:r>
              <w:rPr>
                <w:rFonts w:eastAsia="仿宋_GB2312"/>
                <w:kern w:val="0"/>
                <w:szCs w:val="21"/>
              </w:rPr>
              <w:t>攀财资教〔2021〕74号</w:t>
            </w:r>
          </w:p>
        </w:tc>
      </w:tr>
      <w:tr>
        <w:tblPrEx>
          <w:tblCellMar>
            <w:top w:w="0" w:type="dxa"/>
            <w:left w:w="108" w:type="dxa"/>
            <w:bottom w:w="0" w:type="dxa"/>
            <w:right w:w="108" w:type="dxa"/>
          </w:tblCellMar>
        </w:tblPrEx>
        <w:trPr>
          <w:trHeight w:val="915" w:hRule="atLeast"/>
          <w:jc w:val="center"/>
        </w:trPr>
        <w:tc>
          <w:tcPr>
            <w:tcW w:w="75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kern w:val="0"/>
                <w:szCs w:val="21"/>
              </w:rPr>
            </w:pPr>
            <w:r>
              <w:rPr>
                <w:rFonts w:eastAsia="仿宋_GB2312"/>
                <w:color w:val="000000"/>
                <w:kern w:val="0"/>
                <w:szCs w:val="21"/>
              </w:rPr>
              <w:t>4</w:t>
            </w:r>
          </w:p>
        </w:tc>
        <w:tc>
          <w:tcPr>
            <w:tcW w:w="142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eastAsia="仿宋_GB2312"/>
                <w:kern w:val="0"/>
                <w:szCs w:val="21"/>
              </w:rPr>
            </w:pPr>
            <w:r>
              <w:rPr>
                <w:rFonts w:eastAsia="仿宋_GB2312"/>
                <w:kern w:val="0"/>
                <w:szCs w:val="21"/>
              </w:rPr>
              <w:t>招商专项工作经费</w:t>
            </w:r>
          </w:p>
        </w:tc>
        <w:tc>
          <w:tcPr>
            <w:tcW w:w="330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eastAsia="仿宋_GB2312"/>
                <w:kern w:val="0"/>
                <w:szCs w:val="21"/>
              </w:rPr>
            </w:pPr>
            <w:r>
              <w:rPr>
                <w:rFonts w:eastAsia="仿宋_GB2312"/>
                <w:kern w:val="0"/>
                <w:szCs w:val="21"/>
              </w:rPr>
              <w:t>用于按照市里统筹，落实好2021年文旅行业招商工作，进行招商接待、专题招商活动等</w:t>
            </w:r>
          </w:p>
        </w:tc>
        <w:tc>
          <w:tcPr>
            <w:tcW w:w="111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kern w:val="0"/>
                <w:szCs w:val="21"/>
              </w:rPr>
            </w:pPr>
            <w:r>
              <w:rPr>
                <w:rFonts w:eastAsia="仿宋_GB2312"/>
                <w:kern w:val="0"/>
                <w:szCs w:val="21"/>
              </w:rPr>
              <w:t>20.15</w:t>
            </w:r>
          </w:p>
        </w:tc>
        <w:tc>
          <w:tcPr>
            <w:tcW w:w="2541" w:type="dxa"/>
            <w:tcBorders>
              <w:top w:val="nil"/>
              <w:left w:val="nil"/>
              <w:bottom w:val="single" w:color="auto" w:sz="4" w:space="0"/>
              <w:right w:val="single" w:color="auto" w:sz="4" w:space="0"/>
            </w:tcBorders>
            <w:vAlign w:val="center"/>
          </w:tcPr>
          <w:p>
            <w:pPr>
              <w:spacing w:line="240" w:lineRule="exact"/>
              <w:jc w:val="center"/>
              <w:rPr>
                <w:rFonts w:eastAsia="仿宋_GB2312"/>
                <w:kern w:val="0"/>
                <w:szCs w:val="21"/>
              </w:rPr>
            </w:pPr>
            <w:r>
              <w:rPr>
                <w:rFonts w:eastAsia="仿宋_GB2312"/>
                <w:kern w:val="0"/>
                <w:szCs w:val="21"/>
              </w:rPr>
              <w:t>攀财资预〔2021〕7号</w:t>
            </w:r>
          </w:p>
          <w:p>
            <w:pPr>
              <w:spacing w:line="240" w:lineRule="exact"/>
              <w:jc w:val="center"/>
              <w:rPr>
                <w:rFonts w:eastAsia="仿宋_GB2312"/>
                <w:kern w:val="0"/>
                <w:szCs w:val="21"/>
              </w:rPr>
            </w:pPr>
            <w:r>
              <w:rPr>
                <w:rFonts w:eastAsia="仿宋_GB2312"/>
                <w:kern w:val="0"/>
                <w:szCs w:val="21"/>
              </w:rPr>
              <w:t>攀财资预〔2021〕24号</w:t>
            </w:r>
          </w:p>
          <w:p>
            <w:pPr>
              <w:spacing w:line="240" w:lineRule="exact"/>
              <w:jc w:val="center"/>
              <w:rPr>
                <w:rFonts w:eastAsia="仿宋_GB2312"/>
                <w:kern w:val="0"/>
                <w:szCs w:val="21"/>
              </w:rPr>
            </w:pPr>
            <w:r>
              <w:rPr>
                <w:rFonts w:eastAsia="仿宋_GB2312"/>
                <w:kern w:val="0"/>
                <w:szCs w:val="21"/>
              </w:rPr>
              <w:t>攀财资外〔2021〕5号</w:t>
            </w:r>
          </w:p>
        </w:tc>
      </w:tr>
      <w:tr>
        <w:tblPrEx>
          <w:tblCellMar>
            <w:top w:w="0" w:type="dxa"/>
            <w:left w:w="108" w:type="dxa"/>
            <w:bottom w:w="0" w:type="dxa"/>
            <w:right w:w="108" w:type="dxa"/>
          </w:tblCellMar>
        </w:tblPrEx>
        <w:trPr>
          <w:trHeight w:val="586" w:hRule="atLeast"/>
          <w:jc w:val="center"/>
        </w:trPr>
        <w:tc>
          <w:tcPr>
            <w:tcW w:w="5472" w:type="dxa"/>
            <w:gridSpan w:val="3"/>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Cs w:val="21"/>
              </w:rPr>
            </w:pPr>
            <w:r>
              <w:rPr>
                <w:rFonts w:eastAsia="仿宋_GB2312"/>
                <w:kern w:val="0"/>
                <w:szCs w:val="21"/>
              </w:rPr>
              <w:t>合计</w:t>
            </w:r>
          </w:p>
        </w:tc>
        <w:tc>
          <w:tcPr>
            <w:tcW w:w="1119" w:type="dxa"/>
            <w:tcBorders>
              <w:top w:val="nil"/>
              <w:left w:val="nil"/>
              <w:bottom w:val="single" w:color="auto" w:sz="4" w:space="0"/>
              <w:right w:val="single" w:color="auto" w:sz="4" w:space="0"/>
            </w:tcBorders>
            <w:noWrap/>
            <w:vAlign w:val="center"/>
          </w:tcPr>
          <w:p>
            <w:pPr>
              <w:widowControl/>
              <w:jc w:val="center"/>
              <w:rPr>
                <w:rFonts w:eastAsia="仿宋_GB2312"/>
                <w:kern w:val="0"/>
                <w:szCs w:val="21"/>
              </w:rPr>
            </w:pPr>
            <w:r>
              <w:rPr>
                <w:rFonts w:eastAsia="仿宋_GB2312"/>
                <w:kern w:val="0"/>
                <w:szCs w:val="21"/>
              </w:rPr>
              <w:t>378.95</w:t>
            </w:r>
          </w:p>
        </w:tc>
        <w:tc>
          <w:tcPr>
            <w:tcW w:w="2541"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Cs w:val="21"/>
              </w:rPr>
            </w:pPr>
            <w:r>
              <w:rPr>
                <w:rFonts w:eastAsia="仿宋_GB2312"/>
                <w:color w:val="000000"/>
                <w:kern w:val="0"/>
                <w:szCs w:val="21"/>
              </w:rPr>
              <w:t>　</w:t>
            </w:r>
          </w:p>
        </w:tc>
      </w:tr>
    </w:tbl>
    <w:p>
      <w:pPr>
        <w:autoSpaceDE w:val="0"/>
        <w:autoSpaceDN w:val="0"/>
        <w:adjustRightInd w:val="0"/>
        <w:spacing w:line="600" w:lineRule="exact"/>
        <w:ind w:firstLine="420" w:firstLineChars="200"/>
        <w:jc w:val="left"/>
        <w:rPr>
          <w:kern w:val="0"/>
          <w:szCs w:val="32"/>
        </w:rPr>
      </w:pP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2．资金到位</w:t>
      </w:r>
      <w:r>
        <w:rPr>
          <w:rFonts w:hint="eastAsia"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2021年，市级文化广播电视和旅游发展专项资金到位378.95万元，到位率100%。</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3．资金使用</w:t>
      </w:r>
      <w:r>
        <w:rPr>
          <w:rFonts w:hint="eastAsia"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2021年，市文广旅局市级文化广播电视和旅游专项资金预算378.95万元，到位378.95万元，实际支出378.95万元，资金执行率为100%。</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资金支付范围、支付标准、支付进度、支付依据等合规合法、与预算相符，无截留、挤占、挪用情况。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市文广旅局及资金使用单位财务管理制度较为健全，严格按照各类资金管理办法及相关财务、内部控制等制度，严格遵守财经纪律，执行各项规定制度，及时处理账务，规范会计核算，确保财政资金安全、有效。</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各项工作按照年初工作计划分步实施，根据资金预算有计划开展项目工作，有效实施进度。</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各项目实施均严格执行相关法律法规及项目管理制度，</w:t>
      </w:r>
      <w:r>
        <w:rPr>
          <w:rFonts w:hint="eastAsia" w:eastAsia="仿宋_GB2312"/>
          <w:kern w:val="0"/>
          <w:sz w:val="32"/>
          <w:szCs w:val="32"/>
        </w:rPr>
        <w:t>涉及</w:t>
      </w:r>
      <w:r>
        <w:rPr>
          <w:rFonts w:eastAsia="仿宋_GB2312"/>
          <w:kern w:val="0"/>
          <w:sz w:val="32"/>
          <w:szCs w:val="32"/>
        </w:rPr>
        <w:t>招投标、政府采购、项目公示制等均严格按照相关规定执行。</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作为项目主管部门，市文广旅局联合市财政下达资金文件，明确资金使用要求，完善目标绩效申报和管理，开展绩效评价检查。</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1．康养民宿论坛产业发展活动经费</w:t>
      </w:r>
      <w:r>
        <w:rPr>
          <w:rFonts w:hint="eastAsia"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数量指标：举办攀枝花康养民宿产业发展论坛等系列活动。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质量指标：围绕攀枝花文创产品进行作品设计，严格按照行业标准进行评比，评选作品质量高、可实施性强的作品。</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时效指标：2021年完成。</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成本指标：按预算执行，按照合同支付大赛执行费用尾款115.80万元，文创大赛作品奖励金17万元，民宿大赛作品奖励金200万元。</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2．第十一届欢乐阳光节活动费用</w:t>
      </w:r>
      <w:r>
        <w:rPr>
          <w:rFonts w:hint="eastAsia"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数量指标：完成第十一届欢乐阳光节活动。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质量指标：圆满完成第十一届欢乐阳光节活动，推介线路，拓展市场。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时效指标：2021年完成。</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成本指标：预算指标14万元，用于户外宣传、资料印制、差旅、租车等费用。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3．第八届四川国际旅游交易博览会经费</w:t>
      </w:r>
      <w:r>
        <w:rPr>
          <w:rFonts w:hint="eastAsia" w:eastAsia="仿宋_GB2312"/>
          <w:kern w:val="0"/>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数量指标：参加第八届四川国际旅游交易博览会活动。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质量指标：顺利参展。</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时效指标：2021年完成。</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成本指标：展位费8万元，其他租车、旅费等相关费用4万元。</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4．招商专项工作经费。</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数量指标：完成招商接待、专题招商活动和招商资料策划，兑现招商个人奖励。</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质量指标：开展专题招商活动，印制招商资料。</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时效指标：2021年完成。</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成本指标：费用20.15万元，招商接待、专题招商活动和招商资料20万元，兑现招商工作个人奖励0.15万元。</w:t>
      </w:r>
    </w:p>
    <w:p>
      <w:pPr>
        <w:tabs>
          <w:tab w:val="left" w:pos="5812"/>
        </w:tabs>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1．经济效益。促进文旅经济快速健康发展。</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社会效益。积极引导推进了全市重大重点文旅新业态建设，文旅产品不断丰富，多产业融合度不断提升；推进公共文化体系建设，文旅服务功能不断完善和延伸，文化内涵和旅游品质提升；文旅形象、城市竞争力不断提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3．生态效益。推进攀枝花国际阳光康养旅游目的地建设，促进文化旅游深度融合。</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4．可持续影响指标。推动攀枝花文化旅游高质量发展，建设文化旅游高地。</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5．满意度指标。通过项目实施，促进了文旅经济增长，项目经济效益、社会效益显著，群众和游客满意度显著提高。</w:t>
      </w:r>
    </w:p>
    <w:p>
      <w:pPr>
        <w:tabs>
          <w:tab w:val="left" w:pos="5812"/>
        </w:tabs>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tabs>
          <w:tab w:val="left" w:pos="5812"/>
        </w:tabs>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2021年市级文化广播电视和旅游发展专项资金项目绩效指标基本达到了预期设定的目标值，绩效目标完成较好。绩效指标目标完成情况分析如下：</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决策：2021年市级文化广播电视和旅游发展专项资金项目立项依据充分、程序合规、项目资金使用计划可行、审批手续齐全。市文广旅局在制定2021年文化、广播电视、旅游等项目经费预算时，明确了文化旅游发展工作思路、发展目标和工作任务等。</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管理：项目组织机构健全，分工明确，项目资金管理制度健全，资金申报、评审、批准、下达程序规范，制定了资金分配方案，资金分配合理，项目资金使用规范，无截留、挤占、挪用项目资金情况，项目资金到位率100%。</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3．项目产出：项目产出指标实际完成情况基本达到了预期设定的目标值，产出指标的完成情况较好。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4．项目效果：通过项目实施，促进了文旅经济增长，项目经济效益、社会效益显著，群众和游客满意度提高。</w:t>
      </w:r>
    </w:p>
    <w:p>
      <w:pPr>
        <w:tabs>
          <w:tab w:val="left" w:pos="5812"/>
        </w:tabs>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1．预算的申报和调整有待进一步规范化。年初预算少，临时安排的工作任务均以“一事一议”程序上报，追加预算频繁，导致项目实际支出金额及资金预算调整较大。</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2．绩效指标目标值及指标体系的设定有待进一步科学及合理化。项目的年度绩效目标和预期产出或效果等细化、量化的绩效指标数值不够具体、明确。</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项目引导资金对全市重大重点文旅活动项目建设引导作用不够凸显。市文广旅局虽按照专项资金管理办法规定的使用范围安排专项资金，但由于总量太小，用于推进全市重大重点项目及重大文旅活动建设的资金额度较小，引导作用不够凸显。</w:t>
      </w:r>
    </w:p>
    <w:p>
      <w:pPr>
        <w:tabs>
          <w:tab w:val="left" w:pos="5812"/>
        </w:tabs>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进一步优化项目数量、合理分配项目资金，突出重大重点项目，继续加大项目资金的投入力度。一是以全域旅游、“十四五”规划为主线，明确项目大类，优化项目数量，突出重点项目。在项目评审环节，综合意见，严格审核项目，从源头把控项目数量与质量。二是制定合理的扶持标准。根据文化旅游发展政策导向、项目性质、项目重要程度等相关因素，制定包括项目类别、项目单位资质、项目投资规模、扶持资金额度等的具体标准。三是有的放矢、有取有舍。每年针对文化旅游工作重点，选择重点项目，加大投入，达到调整文旅发展专项资金支出结构的目的。</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明确申报、审核、拨付流程，加强对项目单位的监督检查，全面落实各项管理制度，进一步提高项目管理水平。一是建立项目信息化管理系统，有利于更好地掌握项目信息。二是规范项目单位财务核算。三是加强项目资金财务人员培训，进一步提高项目管理水平。定期进行项目管理、资金使用、财政监督、绩效目标等内容的培训，提高经办人员的管理水平。</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3．进一步规范</w:t>
      </w:r>
      <w:r>
        <w:rPr>
          <w:rFonts w:hint="eastAsia" w:eastAsia="仿宋_GB2312"/>
          <w:kern w:val="0"/>
          <w:sz w:val="32"/>
          <w:szCs w:val="32"/>
        </w:rPr>
        <w:t>文化广播电视和旅游</w:t>
      </w:r>
      <w:r>
        <w:rPr>
          <w:rFonts w:eastAsia="仿宋_GB2312"/>
          <w:kern w:val="0"/>
          <w:sz w:val="32"/>
          <w:szCs w:val="32"/>
        </w:rPr>
        <w:t>专项资金的管理。对于</w:t>
      </w:r>
      <w:r>
        <w:rPr>
          <w:rFonts w:hint="eastAsia" w:eastAsia="仿宋_GB2312"/>
          <w:kern w:val="0"/>
          <w:sz w:val="32"/>
          <w:szCs w:val="32"/>
        </w:rPr>
        <w:t>文化广播电视和旅游</w:t>
      </w:r>
      <w:r>
        <w:rPr>
          <w:rFonts w:eastAsia="仿宋_GB2312"/>
          <w:kern w:val="0"/>
          <w:sz w:val="32"/>
          <w:szCs w:val="32"/>
        </w:rPr>
        <w:t>专项资金的管理，突出财政资金的引导作用，保证专项资金使用的安全性、及时性和有效性，必须加强对资金使用情况的追踪问效，保证专款专用，提高</w:t>
      </w:r>
      <w:r>
        <w:rPr>
          <w:rFonts w:hint="eastAsia" w:eastAsia="仿宋_GB2312"/>
          <w:kern w:val="0"/>
          <w:sz w:val="32"/>
          <w:szCs w:val="32"/>
        </w:rPr>
        <w:t>文化广播电视和旅游</w:t>
      </w:r>
      <w:r>
        <w:rPr>
          <w:rFonts w:eastAsia="仿宋_GB2312"/>
          <w:kern w:val="0"/>
          <w:sz w:val="32"/>
          <w:szCs w:val="32"/>
        </w:rPr>
        <w:t>专项资金的使用效益。一是逐步建立科学完善的</w:t>
      </w:r>
      <w:r>
        <w:rPr>
          <w:rFonts w:hint="eastAsia" w:eastAsia="仿宋_GB2312"/>
          <w:kern w:val="0"/>
          <w:sz w:val="32"/>
          <w:szCs w:val="32"/>
        </w:rPr>
        <w:t>文化广播电视和旅游</w:t>
      </w:r>
      <w:r>
        <w:rPr>
          <w:rFonts w:eastAsia="仿宋_GB2312"/>
          <w:kern w:val="0"/>
          <w:sz w:val="32"/>
          <w:szCs w:val="32"/>
        </w:rPr>
        <w:t>专项资金绩效目标管理体系。二是注重</w:t>
      </w:r>
      <w:r>
        <w:rPr>
          <w:rFonts w:hint="eastAsia" w:eastAsia="仿宋_GB2312"/>
          <w:kern w:val="0"/>
          <w:sz w:val="32"/>
          <w:szCs w:val="32"/>
        </w:rPr>
        <w:t>文化广播电视和旅游</w:t>
      </w:r>
      <w:r>
        <w:rPr>
          <w:rFonts w:eastAsia="仿宋_GB2312"/>
          <w:kern w:val="0"/>
          <w:sz w:val="32"/>
          <w:szCs w:val="32"/>
        </w:rPr>
        <w:t>专项资金绩效评价的利用价值。三是建立项目长效考评机制。在专项资金执行过程中，与项目建设单位建立长效考评机制，以保证项目建设单位按进度完成分解的绩效目标。</w:t>
      </w:r>
    </w:p>
    <w:p>
      <w:pPr>
        <w:adjustRightInd w:val="0"/>
        <w:snapToGrid w:val="0"/>
        <w:spacing w:line="600" w:lineRule="exact"/>
        <w:ind w:firstLine="640" w:firstLineChars="200"/>
        <w:rPr>
          <w:rFonts w:eastAsia="仿宋_GB2312"/>
          <w:sz w:val="32"/>
          <w:szCs w:val="32"/>
          <w:lang w:val="zh-CN"/>
        </w:rPr>
      </w:pPr>
      <w:r>
        <w:rPr>
          <w:rFonts w:eastAsia="仿宋_GB2312"/>
          <w:kern w:val="0"/>
          <w:sz w:val="32"/>
          <w:szCs w:val="32"/>
        </w:rPr>
        <w:t>4．尽早安排下达</w:t>
      </w:r>
      <w:r>
        <w:rPr>
          <w:rFonts w:hint="eastAsia" w:eastAsia="仿宋_GB2312"/>
          <w:kern w:val="0"/>
          <w:sz w:val="32"/>
          <w:szCs w:val="32"/>
        </w:rPr>
        <w:t>文化广播电视和旅游</w:t>
      </w:r>
      <w:r>
        <w:rPr>
          <w:rFonts w:eastAsia="仿宋_GB2312"/>
          <w:kern w:val="0"/>
          <w:sz w:val="32"/>
          <w:szCs w:val="32"/>
        </w:rPr>
        <w:t>专项资金预算。由于种种原因，</w:t>
      </w:r>
      <w:r>
        <w:rPr>
          <w:rFonts w:hint="eastAsia" w:eastAsia="仿宋_GB2312"/>
          <w:kern w:val="0"/>
          <w:sz w:val="32"/>
          <w:szCs w:val="32"/>
        </w:rPr>
        <w:t>文化广播电视和旅游</w:t>
      </w:r>
      <w:r>
        <w:rPr>
          <w:rFonts w:eastAsia="仿宋_GB2312"/>
          <w:kern w:val="0"/>
          <w:sz w:val="32"/>
          <w:szCs w:val="32"/>
        </w:rPr>
        <w:t>专项资金下达时间较晚，部分项目资金属于一事一议上报流程，预算指标下达时间晚，导致资金执行进度滞后，如果项目还需要执行政府采购，真正留给项目单位执行的时间就会比较少，造成项目执行进度滞后，建议市财政及早安排下达</w:t>
      </w:r>
      <w:r>
        <w:rPr>
          <w:rFonts w:hint="eastAsia" w:eastAsia="仿宋_GB2312"/>
          <w:kern w:val="0"/>
          <w:sz w:val="32"/>
          <w:szCs w:val="32"/>
        </w:rPr>
        <w:t>文化广播电视和旅游</w:t>
      </w:r>
      <w:r>
        <w:rPr>
          <w:rFonts w:eastAsia="仿宋_GB2312"/>
          <w:kern w:val="0"/>
          <w:sz w:val="32"/>
          <w:szCs w:val="32"/>
        </w:rPr>
        <w:t>专项资金预算，或切块保留重点活动项目资金预算，确保当年圆满完成项目绩效目标。</w:t>
      </w:r>
    </w:p>
    <w:p>
      <w:pPr>
        <w:rPr>
          <w:lang w:val="zh-CN"/>
        </w:rPr>
      </w:pPr>
      <w:r>
        <w:rPr>
          <w:lang w:val="zh-CN"/>
        </w:rPr>
        <w:br w:type="page"/>
      </w:r>
    </w:p>
    <w:p>
      <w:pPr>
        <w:pStyle w:val="2"/>
        <w:spacing w:before="93"/>
        <w:rPr>
          <w:rFonts w:ascii="Times New Roman"/>
          <w:lang w:val="zh-CN"/>
        </w:rPr>
      </w:pPr>
    </w:p>
    <w:tbl>
      <w:tblPr>
        <w:tblStyle w:val="14"/>
        <w:tblpPr w:leftFromText="180" w:rightFromText="180" w:vertAnchor="text" w:horzAnchor="page" w:tblpX="1281" w:tblpY="699"/>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b/>
                <w:sz w:val="32"/>
                <w:szCs w:val="32"/>
              </w:rPr>
            </w:pPr>
            <w:r>
              <w:rPr>
                <w:b/>
                <w:sz w:val="32"/>
                <w:szCs w:val="32"/>
              </w:rPr>
              <w:t>市级文化广播电视</w:t>
            </w:r>
            <w:r>
              <w:rPr>
                <w:rFonts w:hint="eastAsia"/>
                <w:b/>
                <w:sz w:val="32"/>
                <w:szCs w:val="32"/>
              </w:rPr>
              <w:t>和</w:t>
            </w:r>
            <w:r>
              <w:rPr>
                <w:b/>
                <w:sz w:val="32"/>
                <w:szCs w:val="32"/>
              </w:rPr>
              <w:t>旅游专项资金项目绩效目标自评表</w:t>
            </w:r>
          </w:p>
        </w:tc>
        <w:tc>
          <w:tcPr>
            <w:tcW w:w="236" w:type="dxa"/>
            <w:tcBorders>
              <w:top w:val="nil"/>
              <w:left w:val="nil"/>
              <w:bottom w:val="nil"/>
              <w:right w:val="nil"/>
            </w:tcBorders>
            <w:shd w:val="clear" w:color="auto" w:fill="auto"/>
            <w:vAlign w:val="center"/>
          </w:tcPr>
          <w:p>
            <w:pPr>
              <w:widowControl/>
              <w:jc w:val="center"/>
              <w:textAlignment w:val="center"/>
              <w:rPr>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sz w:val="24"/>
              </w:rPr>
            </w:pPr>
            <w:r>
              <w:rPr>
                <w:rFonts w:hint="eastAsia" w:ascii="仿宋" w:hAnsi="仿宋" w:eastAsia="仿宋" w:cs="仿宋"/>
                <w:sz w:val="24"/>
              </w:rPr>
              <w:t>205001－攀枝花市文化广播电视和旅游局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攀枝花市文化广播电视和旅游局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项目预算</w:t>
            </w:r>
            <w:r>
              <w:rPr>
                <w:rFonts w:hint="eastAsia" w:ascii="仿宋" w:hAnsi="仿宋" w:eastAsia="仿宋" w:cs="仿宋"/>
                <w:kern w:val="0"/>
                <w:sz w:val="24"/>
              </w:rPr>
              <w:br w:type="textWrapping"/>
            </w:r>
            <w:r>
              <w:rPr>
                <w:rFonts w:hint="eastAsia" w:ascii="仿宋" w:hAnsi="仿宋" w:eastAsia="仿宋" w:cs="仿宋"/>
                <w:kern w:val="0"/>
                <w:sz w:val="24"/>
              </w:rPr>
              <w:t>执行情况</w:t>
            </w:r>
            <w:r>
              <w:rPr>
                <w:rFonts w:hint="eastAsia" w:ascii="仿宋" w:hAnsi="仿宋" w:eastAsia="仿宋" w:cs="仿宋"/>
                <w:kern w:val="0"/>
                <w:sz w:val="24"/>
              </w:rPr>
              <w:br w:type="textWrapping"/>
            </w:r>
            <w:r>
              <w:rPr>
                <w:rFonts w:hint="eastAsia" w:ascii="仿宋" w:hAnsi="仿宋" w:eastAsia="仿宋" w:cs="仿宋"/>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378.95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378.95</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4"/>
              </w:rPr>
            </w:pPr>
            <w:r>
              <w:rPr>
                <w:rFonts w:hint="eastAsia" w:ascii="仿宋" w:hAnsi="仿宋" w:eastAsia="仿宋" w:cs="仿宋"/>
                <w:kern w:val="0"/>
                <w:sz w:val="24"/>
              </w:rPr>
              <w:t>其中：</w:t>
            </w:r>
          </w:p>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378.95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4"/>
              </w:rPr>
            </w:pPr>
            <w:r>
              <w:rPr>
                <w:rFonts w:hint="eastAsia" w:ascii="仿宋" w:hAnsi="仿宋" w:eastAsia="仿宋" w:cs="仿宋"/>
                <w:kern w:val="0"/>
                <w:sz w:val="24"/>
              </w:rPr>
              <w:t>其中：</w:t>
            </w:r>
          </w:p>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378.95</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rPr>
            </w:pPr>
            <w:r>
              <w:rPr>
                <w:rFonts w:hint="eastAsia" w:ascii="仿宋" w:hAnsi="仿宋" w:eastAsia="仿宋" w:cs="仿宋"/>
                <w:kern w:val="0"/>
                <w:sz w:val="24"/>
              </w:rPr>
              <w:t>年度总体目标</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仿宋"/>
                <w:sz w:val="24"/>
              </w:rPr>
            </w:pPr>
            <w:r>
              <w:rPr>
                <w:rFonts w:hint="eastAsia" w:ascii="仿宋" w:hAnsi="仿宋" w:eastAsia="仿宋" w:cs="仿宋"/>
                <w:sz w:val="24"/>
              </w:rPr>
              <w:t>贯彻落实市委、市政府“一三三三”总体工作思路，以文旅融合为宗旨，抢抓机遇、主动作为，圆满完成各项工作任务。</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仿宋"/>
                <w:sz w:val="24"/>
              </w:rPr>
            </w:pPr>
            <w:r>
              <w:rPr>
                <w:rFonts w:hint="eastAsia" w:ascii="仿宋" w:hAnsi="仿宋" w:eastAsia="仿宋" w:cs="仿宋"/>
                <w:sz w:val="24"/>
              </w:rPr>
              <w:t>2021年，按照既定目标，贯彻落实市委、市政府“一三三三”总体工作思路，以文旅融合为宗旨，抢抓机遇、主动作为，在文旅工作思路、三线文旅品牌、公共文化建设、文旅产业融合、文化艺术创作、文化遗产保护、文旅营销宣传、广电事业建设、文旅市场质量等方面圆满完成工作任务。</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一级</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二级</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rPr>
            </w:pPr>
            <w:r>
              <w:rPr>
                <w:rFonts w:hint="eastAsia" w:ascii="仿宋" w:hAnsi="仿宋" w:eastAsia="仿宋" w:cs="仿宋"/>
                <w:kern w:val="0"/>
                <w:sz w:val="28"/>
                <w:szCs w:val="28"/>
              </w:rPr>
              <w:t>三级</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rPr>
            </w:pPr>
            <w:r>
              <w:rPr>
                <w:rFonts w:hint="eastAsia" w:ascii="仿宋" w:hAnsi="仿宋" w:eastAsia="仿宋" w:cs="仿宋"/>
                <w:kern w:val="0"/>
                <w:sz w:val="28"/>
                <w:szCs w:val="28"/>
              </w:rPr>
              <w:t>完成</w:t>
            </w:r>
          </w:p>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康养民宿论坛产业发展活动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举办攀枝花康养民宿产业发展论坛等系列活动</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举办攀枝花康养民宿产业发展论坛等系列活动，兑现文创设计大赛费用尾款及大赛获奖作品奖励金款。</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rPr>
            </w:pPr>
          </w:p>
        </w:tc>
        <w:tc>
          <w:tcPr>
            <w:tcW w:w="1635"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第十一届欢乐阳光节</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举办第十一届欢乐阳光节</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成功举办第十一届欢乐阳光节。</w:t>
            </w:r>
          </w:p>
        </w:tc>
      </w:tr>
      <w:tr>
        <w:tblPrEx>
          <w:tblCellMar>
            <w:top w:w="0" w:type="dxa"/>
            <w:left w:w="108" w:type="dxa"/>
            <w:bottom w:w="0" w:type="dxa"/>
            <w:right w:w="108" w:type="dxa"/>
          </w:tblCellMar>
        </w:tblPrEx>
        <w:trPr>
          <w:gridAfter w:val="1"/>
          <w:wAfter w:w="236" w:type="dxa"/>
          <w:trHeight w:val="9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rPr>
            </w:pPr>
          </w:p>
        </w:tc>
        <w:tc>
          <w:tcPr>
            <w:tcW w:w="1635"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第八届四川国际旅游交易博览会</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参加第八届四川国际旅游交易博览会</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参加第八届四川国际旅游交易博览会，搭建展台，特色展品促销，大力宣传我市文旅形象。</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招商引资工作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招商接待，专题招商活动</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落实好2021年文旅行业招商工作，进行专题招商活动等。</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工作质量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按照要求</w:t>
            </w:r>
            <w:r>
              <w:rPr>
                <w:rFonts w:hint="eastAsia" w:ascii="仿宋" w:hAnsi="仿宋" w:eastAsia="仿宋" w:cs="仿宋"/>
                <w:szCs w:val="21"/>
                <w:lang w:eastAsia="zh-CN"/>
              </w:rPr>
              <w:t>保</w:t>
            </w:r>
            <w:r>
              <w:rPr>
                <w:rFonts w:hint="eastAsia" w:ascii="仿宋" w:hAnsi="仿宋" w:eastAsia="仿宋" w:cs="仿宋"/>
                <w:szCs w:val="21"/>
              </w:rPr>
              <w:t>时保质保量完成各项工作。</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完成各项交办工作。</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2021年完成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在规定时限内完成工作，达到既定目标。</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spacing w:line="320" w:lineRule="exact"/>
              <w:jc w:val="center"/>
              <w:textAlignment w:val="bottom"/>
              <w:rPr>
                <w:rFonts w:ascii="仿宋" w:hAnsi="仿宋" w:eastAsia="仿宋" w:cs="仿宋"/>
                <w:kern w:val="0"/>
                <w:sz w:val="28"/>
                <w:szCs w:val="28"/>
              </w:rPr>
            </w:pPr>
            <w:r>
              <w:rPr>
                <w:rFonts w:hint="eastAsia" w:ascii="仿宋" w:hAnsi="仿宋" w:eastAsia="仿宋" w:cs="仿宋"/>
                <w:kern w:val="0"/>
                <w:sz w:val="28"/>
                <w:szCs w:val="28"/>
              </w:rPr>
              <w:t>成本指标</w:t>
            </w:r>
          </w:p>
        </w:tc>
        <w:tc>
          <w:tcPr>
            <w:tcW w:w="1189" w:type="dxa"/>
            <w:vMerge w:val="restart"/>
            <w:tcBorders>
              <w:top w:val="single" w:color="000000" w:sz="4" w:space="0"/>
              <w:left w:val="single" w:color="000000" w:sz="4" w:space="0"/>
              <w:right w:val="single" w:color="000000" w:sz="4" w:space="0"/>
            </w:tcBorders>
            <w:shd w:val="clear" w:color="auto" w:fill="auto"/>
            <w:vAlign w:val="center"/>
          </w:tcPr>
          <w:p>
            <w:pPr>
              <w:widowControl/>
              <w:spacing w:line="280" w:lineRule="exact"/>
              <w:textAlignment w:val="bottom"/>
              <w:rPr>
                <w:rFonts w:ascii="仿宋" w:hAnsi="仿宋" w:eastAsia="仿宋" w:cs="仿宋"/>
                <w:szCs w:val="21"/>
              </w:rPr>
            </w:pPr>
            <w:r>
              <w:rPr>
                <w:rFonts w:hint="eastAsia" w:ascii="仿宋" w:hAnsi="仿宋" w:eastAsia="仿宋" w:cs="仿宋"/>
                <w:szCs w:val="21"/>
              </w:rPr>
              <w:t>经费预算</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康养民宿论坛产业发展活动</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经费332.80万元，用于举办攀枝花康养民宿产业发展论坛等系列活动文创设计大赛费用尾款及大赛获奖作品奖励金款。</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vMerge w:val="continue"/>
            <w:tcBorders>
              <w:left w:val="single" w:color="000000" w:sz="4" w:space="0"/>
              <w:right w:val="single" w:color="000000" w:sz="4" w:space="0"/>
            </w:tcBorders>
            <w:shd w:val="clear" w:color="auto" w:fill="auto"/>
            <w:vAlign w:val="center"/>
          </w:tcPr>
          <w:p>
            <w:pPr>
              <w:spacing w:line="320" w:lineRule="exact"/>
              <w:jc w:val="center"/>
              <w:textAlignment w:val="bottom"/>
              <w:rPr>
                <w:rFonts w:ascii="仿宋" w:hAnsi="仿宋" w:eastAsia="仿宋" w:cs="仿宋"/>
                <w:kern w:val="0"/>
                <w:sz w:val="28"/>
                <w:szCs w:val="28"/>
              </w:rPr>
            </w:pPr>
          </w:p>
        </w:tc>
        <w:tc>
          <w:tcPr>
            <w:tcW w:w="118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第十一届欢乐阳光节</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经费14万元，用于欢乐阳光节会务、租车、资料印制等费用。</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vMerge w:val="continue"/>
            <w:tcBorders>
              <w:left w:val="single" w:color="000000" w:sz="4" w:space="0"/>
              <w:right w:val="single" w:color="000000" w:sz="4" w:space="0"/>
            </w:tcBorders>
            <w:shd w:val="clear" w:color="auto" w:fill="auto"/>
            <w:vAlign w:val="center"/>
          </w:tcPr>
          <w:p>
            <w:pPr>
              <w:spacing w:line="320" w:lineRule="exact"/>
              <w:jc w:val="center"/>
              <w:textAlignment w:val="bottom"/>
              <w:rPr>
                <w:rFonts w:ascii="仿宋" w:hAnsi="仿宋" w:eastAsia="仿宋" w:cs="仿宋"/>
                <w:kern w:val="0"/>
                <w:sz w:val="28"/>
                <w:szCs w:val="28"/>
              </w:rPr>
            </w:pPr>
          </w:p>
        </w:tc>
        <w:tc>
          <w:tcPr>
            <w:tcW w:w="1189" w:type="dxa"/>
            <w:vMerge w:val="continue"/>
            <w:tcBorders>
              <w:left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第八届四川国际旅游交易博览会</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经费12万元，用于展位租赁费，特色农产品展示及品尝费。</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p>
        </w:tc>
        <w:tc>
          <w:tcPr>
            <w:tcW w:w="1189"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招商引资工作</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经费20.15万元，用于按照市里统筹，落实好2021年文旅行业招商工作，进行招商接待、专题招商活动等。</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rPr>
              <w:t>效益</w:t>
            </w:r>
            <w:r>
              <w:rPr>
                <w:rFonts w:hint="eastAsia" w:ascii="仿宋" w:hAnsi="仿宋" w:eastAsia="仿宋" w:cs="仿宋"/>
                <w:kern w:val="0"/>
                <w:sz w:val="28"/>
                <w:szCs w:val="28"/>
              </w:rPr>
              <w:br w:type="textWrapping"/>
            </w:r>
            <w:r>
              <w:rPr>
                <w:rFonts w:hint="eastAsia" w:ascii="仿宋" w:hAnsi="仿宋" w:eastAsia="仿宋" w:cs="仿宋"/>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文化旅游经济</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实现文化旅游经济增长</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实现文化旅游收入目标任务的完成。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文化旅游产品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丰富文化旅游产品</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丰富文化旅游产品，满足游客需求。</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463" w:leftChars="87" w:hanging="280" w:hangingChars="100"/>
              <w:jc w:val="center"/>
              <w:textAlignment w:val="bottom"/>
              <w:rPr>
                <w:rFonts w:ascii="仿宋" w:hAnsi="仿宋" w:eastAsia="仿宋" w:cs="仿宋"/>
                <w:sz w:val="28"/>
                <w:szCs w:val="28"/>
              </w:rPr>
            </w:pPr>
            <w:r>
              <w:rPr>
                <w:rFonts w:hint="eastAsia" w:ascii="仿宋" w:hAnsi="仿宋" w:eastAsia="仿宋" w:cs="仿宋"/>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文化旅游生态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文化旅游生态发展</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调整产业结构，促进生态发展。</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文化旅游发展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文化旅游可持续发展</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合理开发保护利用文化旅游资源，实现社会、经济、环境三效合一的可持续发展文化旅游经济行为。</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rPr>
              <w:t>满意</w:t>
            </w:r>
            <w:r>
              <w:rPr>
                <w:rFonts w:hint="eastAsia" w:ascii="仿宋" w:hAnsi="仿宋" w:eastAsia="仿宋" w:cs="仿宋"/>
                <w:kern w:val="0"/>
                <w:sz w:val="28"/>
                <w:szCs w:val="28"/>
              </w:rPr>
              <w:br w:type="textWrapping"/>
            </w:r>
            <w:r>
              <w:rPr>
                <w:rFonts w:hint="eastAsia" w:ascii="仿宋" w:hAnsi="仿宋" w:eastAsia="仿宋" w:cs="仿宋"/>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rPr>
            </w:pPr>
            <w:r>
              <w:rPr>
                <w:rFonts w:hint="eastAsia" w:ascii="仿宋" w:hAnsi="仿宋" w:eastAsia="仿宋" w:cs="仿宋"/>
                <w:kern w:val="0"/>
                <w:sz w:val="28"/>
                <w:szCs w:val="28"/>
              </w:rPr>
              <w:t>满意度</w:t>
            </w:r>
          </w:p>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提高游客满意度</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bottom"/>
              <w:rPr>
                <w:rFonts w:ascii="仿宋" w:hAnsi="仿宋" w:eastAsia="仿宋" w:cs="仿宋"/>
                <w:szCs w:val="21"/>
              </w:rPr>
            </w:pPr>
            <w:r>
              <w:rPr>
                <w:rFonts w:hint="eastAsia" w:ascii="仿宋" w:hAnsi="仿宋" w:eastAsia="仿宋" w:cs="仿宋"/>
                <w:szCs w:val="21"/>
              </w:rPr>
              <w:t>指导项目建设，丰富文化旅游产品，举办宣传促销活动，提高游客满意度。</w:t>
            </w:r>
          </w:p>
        </w:tc>
      </w:tr>
    </w:tbl>
    <w:p>
      <w:pPr>
        <w:pStyle w:val="2"/>
        <w:spacing w:before="93"/>
        <w:rPr>
          <w:rFonts w:ascii="仿宋" w:hAnsi="仿宋" w:eastAsia="仿宋" w:cs="仿宋"/>
          <w:lang w:val="zh-CN"/>
        </w:rPr>
      </w:pPr>
    </w:p>
    <w:p>
      <w:pPr>
        <w:pStyle w:val="2"/>
        <w:spacing w:before="93"/>
        <w:rPr>
          <w:rFonts w:ascii="Times New Roman"/>
        </w:rPr>
      </w:pPr>
    </w:p>
    <w:tbl>
      <w:tblPr>
        <w:tblStyle w:val="14"/>
        <w:tblpPr w:leftFromText="180" w:rightFromText="180" w:vertAnchor="text" w:horzAnchor="page" w:tblpX="1281" w:tblpY="660"/>
        <w:tblOverlap w:val="never"/>
        <w:tblW w:w="236" w:type="dxa"/>
        <w:tblInd w:w="0" w:type="dxa"/>
        <w:tblLayout w:type="fixed"/>
        <w:tblCellMar>
          <w:top w:w="0" w:type="dxa"/>
          <w:left w:w="108" w:type="dxa"/>
          <w:bottom w:w="0" w:type="dxa"/>
          <w:right w:w="108" w:type="dxa"/>
        </w:tblCellMar>
      </w:tblPr>
      <w:tblGrid>
        <w:gridCol w:w="236"/>
      </w:tblGrid>
      <w:tr>
        <w:tblPrEx>
          <w:tblCellMar>
            <w:top w:w="0" w:type="dxa"/>
            <w:left w:w="108" w:type="dxa"/>
            <w:bottom w:w="0" w:type="dxa"/>
            <w:right w:w="108" w:type="dxa"/>
          </w:tblCellMar>
        </w:tblPrEx>
        <w:trPr>
          <w:trHeight w:val="675" w:hRule="atLeast"/>
        </w:trPr>
        <w:tc>
          <w:tcPr>
            <w:tcW w:w="236" w:type="dxa"/>
            <w:tcBorders>
              <w:top w:val="nil"/>
              <w:left w:val="nil"/>
              <w:bottom w:val="nil"/>
              <w:right w:val="nil"/>
            </w:tcBorders>
            <w:shd w:val="clear" w:color="auto" w:fill="auto"/>
            <w:vAlign w:val="center"/>
          </w:tcPr>
          <w:p>
            <w:pPr>
              <w:widowControl/>
              <w:jc w:val="center"/>
              <w:textAlignment w:val="center"/>
              <w:rPr>
                <w:b/>
                <w:kern w:val="0"/>
                <w:sz w:val="32"/>
                <w:szCs w:val="32"/>
              </w:rPr>
            </w:pPr>
          </w:p>
        </w:tc>
      </w:tr>
    </w:tbl>
    <w:p>
      <w:pPr>
        <w:spacing w:line="580" w:lineRule="exact"/>
        <w:rPr>
          <w:rStyle w:val="26"/>
          <w:rFonts w:eastAsia="黑体"/>
          <w:b w:val="0"/>
        </w:rPr>
      </w:pPr>
    </w:p>
    <w:p>
      <w:pPr>
        <w:widowControl/>
        <w:jc w:val="left"/>
        <w:rPr>
          <w:rStyle w:val="26"/>
          <w:rFonts w:eastAsia="黑体"/>
          <w:b w:val="0"/>
        </w:rPr>
      </w:pPr>
      <w:r>
        <w:rPr>
          <w:rStyle w:val="26"/>
          <w:rFonts w:eastAsia="黑体"/>
          <w:b w:val="0"/>
        </w:rPr>
        <w:br w:type="page"/>
      </w:r>
    </w:p>
    <w:p>
      <w:pPr>
        <w:pStyle w:val="2"/>
        <w:spacing w:before="93"/>
        <w:rPr>
          <w:rFonts w:ascii="Times New Roman"/>
          <w:sz w:val="32"/>
          <w:szCs w:val="32"/>
          <w:shd w:val="clear" w:color="auto" w:fill="FFFFFF"/>
          <w:lang w:val="zh-CN"/>
        </w:rPr>
      </w:pPr>
      <w:r>
        <w:rPr>
          <w:rFonts w:ascii="Times New Roman"/>
          <w:sz w:val="32"/>
          <w:szCs w:val="32"/>
          <w:shd w:val="clear" w:color="auto" w:fill="FFFFFF"/>
          <w:lang w:val="zh-CN"/>
        </w:rPr>
        <w:t>附件2-2</w:t>
      </w:r>
    </w:p>
    <w:p>
      <w:pPr>
        <w:pStyle w:val="35"/>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攀枝花市文化馆</w:t>
      </w:r>
    </w:p>
    <w:p>
      <w:pPr>
        <w:pStyle w:val="35"/>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公共文化服务免费开放及收入征管成本性支出项目支出绩效自评报告</w:t>
      </w:r>
    </w:p>
    <w:p>
      <w:pPr>
        <w:spacing w:line="540" w:lineRule="exact"/>
        <w:ind w:firstLine="720" w:firstLineChars="200"/>
        <w:rPr>
          <w:rFonts w:eastAsia="方正小标宋_GBK"/>
          <w:sz w:val="36"/>
          <w:szCs w:val="36"/>
        </w:rPr>
      </w:pPr>
    </w:p>
    <w:p>
      <w:pPr>
        <w:autoSpaceDE w:val="0"/>
        <w:autoSpaceDN w:val="0"/>
        <w:adjustRightInd w:val="0"/>
        <w:spacing w:line="540" w:lineRule="exact"/>
        <w:ind w:firstLine="643" w:firstLineChars="200"/>
        <w:rPr>
          <w:b/>
          <w:sz w:val="32"/>
          <w:szCs w:val="32"/>
        </w:rPr>
      </w:pPr>
      <w:r>
        <w:rPr>
          <w:b/>
          <w:sz w:val="32"/>
          <w:szCs w:val="32"/>
        </w:rPr>
        <w:t>一、项目概况。</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按照2020年习近平总书记在党的十九届五中全会上提出“繁荣发展文化事业和文化产业，提高国家文化软实力”的</w:t>
      </w:r>
      <w:r>
        <w:rPr>
          <w:rFonts w:hint="eastAsia" w:eastAsia="仿宋_GB2312"/>
          <w:sz w:val="32"/>
          <w:szCs w:val="32"/>
        </w:rPr>
        <w:t>相关</w:t>
      </w:r>
      <w:r>
        <w:rPr>
          <w:rFonts w:eastAsia="仿宋_GB2312"/>
          <w:sz w:val="32"/>
          <w:szCs w:val="32"/>
        </w:rPr>
        <w:t>要求，已纳入攀枝花市政府文化惠民工程，为提升全民文化素养，满足人民群众的文化精神生活，利用文化基础设施、设备等，充分发挥群众文化活动阵地的优势，为广大群众提供活动场所，开展好基层群众文化活动，来丰富人民群众的业余生活。</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（一）项目基本情况。</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1．市文化馆在该项目中的职能是参与组织、实施。</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2．项目是中央和省补助公共图书馆文化馆免费开放专项资金。</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3．资金管理办法是严格按照《会计法》《专项资金管理办法》中相关规定进行管理和使用。</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4．资金分配的原则是按照方案实施使用和分配。</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（二）项目绩效目标。</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1．项目主要内容。</w:t>
      </w:r>
    </w:p>
    <w:p>
      <w:pPr>
        <w:spacing w:line="540" w:lineRule="exact"/>
        <w:ind w:firstLine="640" w:firstLineChars="200"/>
        <w:rPr>
          <w:rFonts w:eastAsia="仿宋_GB2312"/>
          <w:sz w:val="32"/>
          <w:szCs w:val="32"/>
        </w:rPr>
      </w:pPr>
      <w:r>
        <w:rPr>
          <w:rFonts w:eastAsia="仿宋_GB2312"/>
          <w:sz w:val="32"/>
          <w:szCs w:val="32"/>
        </w:rPr>
        <w:t>（1）全年完成中心广场《大家唱》《大家跳》群众文化活动，通过长年坚持和不断创新，打造成为具有本市特色的群众文化活动项目品牌，让群众的业余文化生活越来越丰富多彩；</w:t>
      </w:r>
    </w:p>
    <w:p>
      <w:pPr>
        <w:spacing w:line="540" w:lineRule="exact"/>
        <w:ind w:firstLine="640" w:firstLineChars="200"/>
        <w:rPr>
          <w:rFonts w:eastAsia="仿宋_GB2312"/>
          <w:sz w:val="32"/>
          <w:szCs w:val="32"/>
        </w:rPr>
      </w:pPr>
      <w:r>
        <w:rPr>
          <w:rFonts w:eastAsia="仿宋_GB2312"/>
          <w:sz w:val="32"/>
          <w:szCs w:val="32"/>
        </w:rPr>
        <w:t>（2）为来馆群众免费开放公共文化服务场所；</w:t>
      </w:r>
    </w:p>
    <w:p>
      <w:pPr>
        <w:spacing w:line="540" w:lineRule="exact"/>
        <w:ind w:firstLine="640" w:firstLineChars="200"/>
        <w:rPr>
          <w:rFonts w:eastAsia="仿宋_GB2312"/>
          <w:sz w:val="32"/>
          <w:szCs w:val="32"/>
        </w:rPr>
      </w:pPr>
      <w:r>
        <w:rPr>
          <w:rFonts w:eastAsia="仿宋_GB2312"/>
          <w:sz w:val="32"/>
          <w:szCs w:val="32"/>
        </w:rPr>
        <w:t>（3）为进一步加强全市基层公共文化服务队伍建设，提高基层文化干部综合素质和公共文化服务能力，更好地配合我市创建第四批国家公共文化服务体系示范区工作，举办全市基层文化专干培训班，区</w:t>
      </w:r>
      <w:r>
        <w:rPr>
          <w:rFonts w:hint="eastAsia" w:eastAsia="仿宋_GB2312"/>
          <w:sz w:val="32"/>
          <w:szCs w:val="32"/>
        </w:rPr>
        <w:t>（</w:t>
      </w:r>
      <w:r>
        <w:rPr>
          <w:rFonts w:eastAsia="仿宋_GB2312"/>
          <w:sz w:val="32"/>
          <w:szCs w:val="32"/>
        </w:rPr>
        <w:t>县</w:t>
      </w:r>
      <w:r>
        <w:rPr>
          <w:rFonts w:hint="eastAsia" w:eastAsia="仿宋_GB2312"/>
          <w:sz w:val="32"/>
          <w:szCs w:val="32"/>
        </w:rPr>
        <w:t>）</w:t>
      </w:r>
      <w:r>
        <w:rPr>
          <w:rFonts w:eastAsia="仿宋_GB2312"/>
          <w:sz w:val="32"/>
          <w:szCs w:val="32"/>
        </w:rPr>
        <w:t>文化馆长培训暨业务骨干培训班；</w:t>
      </w:r>
    </w:p>
    <w:p>
      <w:pPr>
        <w:spacing w:line="540" w:lineRule="exact"/>
        <w:ind w:firstLine="640" w:firstLineChars="200"/>
        <w:rPr>
          <w:rFonts w:eastAsia="仿宋_GB2312"/>
          <w:sz w:val="32"/>
          <w:szCs w:val="32"/>
        </w:rPr>
      </w:pPr>
      <w:r>
        <w:rPr>
          <w:rFonts w:eastAsia="仿宋_GB2312"/>
          <w:sz w:val="32"/>
          <w:szCs w:val="32"/>
        </w:rPr>
        <w:t>（4）送文化下基层惠民活动，丰富人民群众的精神文化生活，让文化惠民切实深入群众，落到实处，助力我市公共文化示范区建设</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2 .项目应实现的具体绩效目标，包括目标的量化、细化情况以及项目实施进度计划等</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丰富人民群众的精神文化生活，让文化惠民切实深入群众，落到实处，助力我市公共文化示范区建设。</w:t>
      </w:r>
    </w:p>
    <w:p>
      <w:pPr>
        <w:spacing w:line="540" w:lineRule="exact"/>
        <w:ind w:firstLine="640" w:firstLineChars="200"/>
        <w:rPr>
          <w:rFonts w:eastAsia="仿宋_GB2312"/>
          <w:sz w:val="32"/>
          <w:szCs w:val="32"/>
        </w:rPr>
      </w:pPr>
      <w:r>
        <w:rPr>
          <w:rFonts w:eastAsia="仿宋_GB2312"/>
          <w:sz w:val="32"/>
          <w:szCs w:val="32"/>
        </w:rPr>
        <w:t>全年完成公共文化独具特色的文化品牌</w:t>
      </w:r>
      <w:r>
        <w:rPr>
          <w:rFonts w:hint="eastAsia" w:eastAsia="仿宋_GB2312"/>
          <w:sz w:val="32"/>
          <w:szCs w:val="32"/>
        </w:rPr>
        <w:t>——</w:t>
      </w:r>
      <w:r>
        <w:rPr>
          <w:rFonts w:eastAsia="仿宋_GB2312"/>
          <w:sz w:val="32"/>
          <w:szCs w:val="32"/>
        </w:rPr>
        <w:t>中心广场《大家唱》《大家跳》群众文化活动及惠民演出50余场；为来馆群众免费开放公共文化服务场所1400次；举办全市基层文化专干培训班，区</w:t>
      </w:r>
      <w:r>
        <w:rPr>
          <w:rFonts w:hint="eastAsia" w:eastAsia="仿宋_GB2312"/>
          <w:sz w:val="32"/>
          <w:szCs w:val="32"/>
        </w:rPr>
        <w:t>（</w:t>
      </w:r>
      <w:r>
        <w:rPr>
          <w:rFonts w:eastAsia="仿宋_GB2312"/>
          <w:sz w:val="32"/>
          <w:szCs w:val="32"/>
        </w:rPr>
        <w:t>县</w:t>
      </w:r>
      <w:r>
        <w:rPr>
          <w:rFonts w:hint="eastAsia" w:eastAsia="仿宋_GB2312"/>
          <w:sz w:val="32"/>
          <w:szCs w:val="32"/>
        </w:rPr>
        <w:t>）</w:t>
      </w:r>
      <w:r>
        <w:rPr>
          <w:rFonts w:eastAsia="仿宋_GB2312"/>
          <w:sz w:val="32"/>
          <w:szCs w:val="32"/>
        </w:rPr>
        <w:t>文化馆长培训暨业务骨干培训班，未成年人艺术特色班，群众公益性培训班等23期。</w:t>
      </w:r>
    </w:p>
    <w:p>
      <w:pPr>
        <w:numPr>
          <w:ilvl w:val="0"/>
          <w:numId w:val="2"/>
        </w:numPr>
        <w:autoSpaceDE w:val="0"/>
        <w:autoSpaceDN w:val="0"/>
        <w:adjustRightInd w:val="0"/>
        <w:spacing w:line="540" w:lineRule="exact"/>
        <w:ind w:firstLine="640" w:firstLineChars="200"/>
        <w:rPr>
          <w:rFonts w:eastAsia="仿宋_GB2312"/>
          <w:sz w:val="32"/>
          <w:szCs w:val="32"/>
        </w:rPr>
      </w:pPr>
      <w:r>
        <w:rPr>
          <w:rFonts w:eastAsia="仿宋_GB2312"/>
          <w:sz w:val="32"/>
          <w:szCs w:val="32"/>
        </w:rPr>
        <w:t>分析评价申报内容是与实际相符，项目是合理可行。</w:t>
      </w:r>
    </w:p>
    <w:p>
      <w:pPr>
        <w:autoSpaceDE w:val="0"/>
        <w:autoSpaceDN w:val="0"/>
        <w:adjustRightInd w:val="0"/>
        <w:spacing w:line="540" w:lineRule="exact"/>
        <w:ind w:firstLine="643" w:firstLineChars="200"/>
        <w:rPr>
          <w:b/>
          <w:sz w:val="32"/>
          <w:szCs w:val="32"/>
        </w:rPr>
      </w:pPr>
      <w:r>
        <w:rPr>
          <w:b/>
          <w:sz w:val="32"/>
          <w:szCs w:val="32"/>
        </w:rPr>
        <w:t>二、项目资金申报及使用情况。</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（一）项目资金申报及批复情况。</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由具体经办业务部室拟定项目实施方案、上报上级部门审核通过，于2021年3月</w:t>
      </w:r>
      <w:r>
        <w:rPr>
          <w:rFonts w:hint="eastAsia" w:eastAsia="仿宋_GB2312"/>
          <w:sz w:val="32"/>
          <w:szCs w:val="32"/>
        </w:rPr>
        <w:t>和</w:t>
      </w:r>
      <w:r>
        <w:rPr>
          <w:rFonts w:eastAsia="仿宋_GB2312"/>
          <w:sz w:val="32"/>
          <w:szCs w:val="32"/>
        </w:rPr>
        <w:t>5月攀枝花市财政局</w:t>
      </w:r>
      <w:r>
        <w:rPr>
          <w:rFonts w:hint="eastAsia" w:eastAsia="仿宋_GB2312"/>
          <w:sz w:val="32"/>
          <w:szCs w:val="32"/>
        </w:rPr>
        <w:t>分批</w:t>
      </w:r>
      <w:r>
        <w:rPr>
          <w:rFonts w:eastAsia="仿宋_GB2312"/>
          <w:sz w:val="32"/>
          <w:szCs w:val="32"/>
        </w:rPr>
        <w:t>下达</w:t>
      </w:r>
      <w:r>
        <w:rPr>
          <w:rFonts w:hint="eastAsia" w:eastAsia="仿宋_GB2312"/>
          <w:sz w:val="32"/>
          <w:szCs w:val="32"/>
        </w:rPr>
        <w:t>该项</w:t>
      </w:r>
      <w:r>
        <w:rPr>
          <w:rFonts w:eastAsia="仿宋_GB2312"/>
          <w:sz w:val="32"/>
          <w:szCs w:val="32"/>
        </w:rPr>
        <w:t>专项资金。</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（二）资金计划、到位及使用情况。</w:t>
      </w:r>
    </w:p>
    <w:p>
      <w:pPr>
        <w:autoSpaceDE w:val="0"/>
        <w:autoSpaceDN w:val="0"/>
        <w:adjustRightInd w:val="0"/>
        <w:spacing w:line="540" w:lineRule="exact"/>
        <w:ind w:firstLine="640" w:firstLineChars="200"/>
        <w:rPr>
          <w:rFonts w:eastAsia="仿宋_GB2312"/>
          <w:sz w:val="32"/>
          <w:szCs w:val="32"/>
        </w:rPr>
      </w:pPr>
      <w:r>
        <w:rPr>
          <w:rFonts w:eastAsia="楷体_GB2312"/>
          <w:sz w:val="32"/>
          <w:szCs w:val="32"/>
        </w:rPr>
        <w:t>1．</w:t>
      </w:r>
      <w:r>
        <w:rPr>
          <w:rFonts w:eastAsia="仿宋_GB2312"/>
          <w:sz w:val="32"/>
          <w:szCs w:val="32"/>
        </w:rPr>
        <w:t>资金计划。</w:t>
      </w:r>
    </w:p>
    <w:p>
      <w:pPr>
        <w:spacing w:line="540" w:lineRule="exact"/>
        <w:ind w:firstLine="640" w:firstLineChars="200"/>
        <w:rPr>
          <w:rFonts w:eastAsia="仿宋_GB2312"/>
          <w:sz w:val="32"/>
          <w:szCs w:val="32"/>
        </w:rPr>
      </w:pPr>
      <w:r>
        <w:rPr>
          <w:rFonts w:eastAsia="仿宋_GB2312"/>
          <w:sz w:val="32"/>
          <w:szCs w:val="32"/>
        </w:rPr>
        <w:t>由具体经办业务部室拟定项目实施方案，资金计划均为市级财政资金。</w:t>
      </w:r>
    </w:p>
    <w:p>
      <w:pPr>
        <w:autoSpaceDE w:val="0"/>
        <w:autoSpaceDN w:val="0"/>
        <w:adjustRightInd w:val="0"/>
        <w:spacing w:line="540" w:lineRule="exact"/>
        <w:ind w:firstLine="640" w:firstLineChars="200"/>
        <w:rPr>
          <w:rFonts w:eastAsia="仿宋_GB2312"/>
          <w:sz w:val="32"/>
          <w:szCs w:val="32"/>
        </w:rPr>
      </w:pPr>
      <w:r>
        <w:rPr>
          <w:rFonts w:eastAsia="楷体_GB2312"/>
          <w:sz w:val="32"/>
          <w:szCs w:val="32"/>
        </w:rPr>
        <w:t>2．</w:t>
      </w:r>
      <w:r>
        <w:rPr>
          <w:rFonts w:eastAsia="仿宋_GB2312"/>
          <w:sz w:val="32"/>
          <w:szCs w:val="32"/>
        </w:rPr>
        <w:t>资金到位。</w:t>
      </w:r>
    </w:p>
    <w:p>
      <w:pPr>
        <w:spacing w:line="540" w:lineRule="exact"/>
        <w:ind w:firstLine="640" w:firstLineChars="200"/>
        <w:rPr>
          <w:rFonts w:eastAsia="仿宋_GB2312"/>
          <w:sz w:val="32"/>
          <w:szCs w:val="32"/>
        </w:rPr>
      </w:pPr>
      <w:r>
        <w:rPr>
          <w:rFonts w:eastAsia="仿宋_GB2312"/>
          <w:sz w:val="32"/>
          <w:szCs w:val="32"/>
        </w:rPr>
        <w:t>2021年攀枝花市财政局下达本单位中央和省补助公共图书馆文化馆免费开放专项资金41万元；收入征管成本性支出60万元（免费开放、群众文化及公共服务专项）。</w:t>
      </w:r>
    </w:p>
    <w:p>
      <w:pPr>
        <w:spacing w:line="540" w:lineRule="exact"/>
        <w:ind w:firstLine="640" w:firstLineChars="200"/>
        <w:rPr>
          <w:rFonts w:eastAsia="楷体_GB2312"/>
          <w:sz w:val="32"/>
          <w:szCs w:val="32"/>
        </w:rPr>
      </w:pPr>
      <w:r>
        <w:rPr>
          <w:rFonts w:eastAsia="楷体_GB2312"/>
          <w:sz w:val="32"/>
          <w:szCs w:val="32"/>
        </w:rPr>
        <w:t>3．</w:t>
      </w:r>
      <w:r>
        <w:rPr>
          <w:rFonts w:eastAsia="仿宋_GB2312"/>
          <w:sz w:val="32"/>
          <w:szCs w:val="32"/>
        </w:rPr>
        <w:t>资金使用。</w:t>
      </w:r>
    </w:p>
    <w:p>
      <w:pPr>
        <w:spacing w:line="540" w:lineRule="exact"/>
        <w:ind w:firstLine="640" w:firstLineChars="200"/>
        <w:rPr>
          <w:rFonts w:eastAsia="仿宋_GB2312"/>
          <w:sz w:val="32"/>
          <w:szCs w:val="32"/>
        </w:rPr>
      </w:pPr>
      <w:r>
        <w:rPr>
          <w:rFonts w:eastAsia="仿宋_GB2312"/>
          <w:sz w:val="32"/>
          <w:szCs w:val="32"/>
        </w:rPr>
        <w:t>市文化馆针对本专项资金，严格按照《会计法》《专项资金管理办法》中相关规定进行管理和使用。根据实施单位请示报告，经过了对口业务部室受理、初审、评审、馆班子会议审议，在2021年12月，中央和省补助公共图书馆文化馆免费开放专项资金完成后拨付到项目实施单位。</w:t>
      </w:r>
    </w:p>
    <w:p>
      <w:pPr>
        <w:spacing w:line="540" w:lineRule="exact"/>
        <w:ind w:firstLine="640" w:firstLineChars="200"/>
        <w:rPr>
          <w:rFonts w:eastAsia="仿宋_GB2312"/>
          <w:sz w:val="32"/>
          <w:szCs w:val="32"/>
        </w:rPr>
      </w:pPr>
      <w:r>
        <w:rPr>
          <w:rFonts w:eastAsia="仿宋_GB2312"/>
          <w:sz w:val="32"/>
          <w:szCs w:val="32"/>
        </w:rPr>
        <w:t>收入征管成本性支出60万元，2021年12月已使用53.95万元，余款6.05万元；中央和省补助公共图书馆文化馆免费开放专项资金41万元，2021年12月已使用37.41万元，余款3.59万元</w:t>
      </w:r>
      <w:r>
        <w:rPr>
          <w:rFonts w:hint="eastAsia" w:eastAsia="仿宋_GB2312"/>
          <w:sz w:val="32"/>
          <w:szCs w:val="32"/>
        </w:rPr>
        <w:t>，</w:t>
      </w:r>
      <w:r>
        <w:rPr>
          <w:rFonts w:eastAsia="仿宋_GB2312"/>
          <w:sz w:val="32"/>
          <w:szCs w:val="32"/>
        </w:rPr>
        <w:t>因资金紧张，延续到2022年支付。</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（三）项目财务管理情况。</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攀枝花市文化馆财务管理制度健全，项目资金严格按照《会计法》《专项资金管理办法》中相关规定进行管理和使用，账务处理及时，会计核算规范。</w:t>
      </w:r>
    </w:p>
    <w:p>
      <w:pPr>
        <w:autoSpaceDE w:val="0"/>
        <w:autoSpaceDN w:val="0"/>
        <w:adjustRightInd w:val="0"/>
        <w:spacing w:line="540" w:lineRule="exact"/>
        <w:ind w:firstLine="643" w:firstLineChars="200"/>
        <w:rPr>
          <w:b/>
          <w:sz w:val="32"/>
          <w:szCs w:val="32"/>
        </w:rPr>
      </w:pPr>
      <w:r>
        <w:rPr>
          <w:b/>
          <w:sz w:val="32"/>
          <w:szCs w:val="32"/>
        </w:rPr>
        <w:t>三、项目实施及管理情况。</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（一）项目组织架构及实施流程。</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由财政拨款中央和省补助公共图书馆文化馆免费开放专项资金。</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实施流程：一、由市文化馆统筹实施；二、分解任务至市文化馆相关业务部门，各业务部门按目标任务完成。</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（二）项目管理情况。</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在本地上级部门的支持下，实施单位严格遵守相关法律法规和财经制度的规定，按照文件要求完成</w:t>
      </w:r>
      <w:r>
        <w:rPr>
          <w:rFonts w:hint="eastAsia" w:eastAsia="仿宋_GB2312"/>
          <w:sz w:val="32"/>
          <w:szCs w:val="32"/>
        </w:rPr>
        <w:t>各项</w:t>
      </w:r>
      <w:r>
        <w:rPr>
          <w:rFonts w:eastAsia="仿宋_GB2312"/>
          <w:sz w:val="32"/>
          <w:szCs w:val="32"/>
        </w:rPr>
        <w:t>活动的录制工作和演出工作，其间，包含租用舞台、聘请演员、租赁服装、视频制作、音响设备、演员误工等，以保证公共文化服务</w:t>
      </w:r>
      <w:r>
        <w:rPr>
          <w:rFonts w:hint="eastAsia" w:eastAsia="仿宋_GB2312"/>
          <w:sz w:val="32"/>
          <w:szCs w:val="32"/>
        </w:rPr>
        <w:t>免费</w:t>
      </w:r>
      <w:r>
        <w:rPr>
          <w:rFonts w:eastAsia="仿宋_GB2312"/>
          <w:sz w:val="32"/>
          <w:szCs w:val="32"/>
        </w:rPr>
        <w:t>开放活动的顺利完成。</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（三）项目监管情况。</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在上级项目主管部门的监管下，市文化馆认真组织、统筹分配，采取专人负责制，要求每人对自己负责的项目要严格把关、确保公共文化服务</w:t>
      </w:r>
      <w:r>
        <w:rPr>
          <w:rFonts w:hint="eastAsia" w:eastAsia="仿宋_GB2312"/>
          <w:sz w:val="32"/>
          <w:szCs w:val="32"/>
        </w:rPr>
        <w:t>免费</w:t>
      </w:r>
      <w:r>
        <w:rPr>
          <w:rFonts w:eastAsia="仿宋_GB2312"/>
          <w:sz w:val="32"/>
          <w:szCs w:val="32"/>
        </w:rPr>
        <w:t>开放活动的顺利进行。</w:t>
      </w:r>
    </w:p>
    <w:p>
      <w:pPr>
        <w:autoSpaceDE w:val="0"/>
        <w:autoSpaceDN w:val="0"/>
        <w:adjustRightInd w:val="0"/>
        <w:spacing w:line="540" w:lineRule="exact"/>
        <w:ind w:firstLine="640" w:firstLineChars="200"/>
        <w:rPr>
          <w:rFonts w:eastAsia="黑体"/>
          <w:sz w:val="32"/>
          <w:szCs w:val="32"/>
        </w:rPr>
      </w:pPr>
      <w:r>
        <w:rPr>
          <w:rFonts w:eastAsia="黑体"/>
          <w:sz w:val="32"/>
          <w:szCs w:val="32"/>
        </w:rPr>
        <w:t>四、项目绩效情况</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（一）项目完成情况。</w:t>
      </w:r>
    </w:p>
    <w:p>
      <w:pPr>
        <w:spacing w:line="540" w:lineRule="exact"/>
        <w:ind w:firstLine="640" w:firstLineChars="200"/>
        <w:rPr>
          <w:rFonts w:eastAsia="仿宋_GB2312"/>
          <w:sz w:val="32"/>
          <w:szCs w:val="32"/>
        </w:rPr>
      </w:pPr>
      <w:r>
        <w:rPr>
          <w:rFonts w:eastAsia="仿宋_GB2312"/>
          <w:sz w:val="32"/>
          <w:szCs w:val="32"/>
        </w:rPr>
        <w:t>1.数量指标。</w:t>
      </w:r>
    </w:p>
    <w:p>
      <w:pPr>
        <w:spacing w:line="540" w:lineRule="exact"/>
        <w:ind w:firstLine="640" w:firstLineChars="200"/>
        <w:rPr>
          <w:rFonts w:eastAsia="仿宋_GB2312"/>
          <w:sz w:val="32"/>
          <w:szCs w:val="32"/>
        </w:rPr>
      </w:pPr>
      <w:r>
        <w:rPr>
          <w:rFonts w:eastAsia="仿宋_GB2312"/>
          <w:sz w:val="32"/>
          <w:szCs w:val="32"/>
        </w:rPr>
        <w:t>全年完成公共文化独具特色的文化品牌</w:t>
      </w:r>
      <w:r>
        <w:rPr>
          <w:rFonts w:hint="eastAsia" w:eastAsia="仿宋_GB2312"/>
          <w:sz w:val="32"/>
          <w:szCs w:val="32"/>
        </w:rPr>
        <w:t>——</w:t>
      </w:r>
      <w:r>
        <w:rPr>
          <w:rFonts w:eastAsia="仿宋_GB2312"/>
          <w:sz w:val="32"/>
          <w:szCs w:val="32"/>
        </w:rPr>
        <w:t>中心广场《大家唱》《大家跳》群众文化活动及惠民演出150场；为来馆群众免费开放公共文化服务场所400次；举办全市基层文化专干培训班，区</w:t>
      </w:r>
      <w:r>
        <w:rPr>
          <w:rFonts w:hint="eastAsia" w:eastAsia="仿宋_GB2312"/>
          <w:sz w:val="32"/>
          <w:szCs w:val="32"/>
        </w:rPr>
        <w:t>（</w:t>
      </w:r>
      <w:r>
        <w:rPr>
          <w:rFonts w:eastAsia="仿宋_GB2312"/>
          <w:sz w:val="32"/>
          <w:szCs w:val="32"/>
        </w:rPr>
        <w:t>县</w:t>
      </w:r>
      <w:r>
        <w:rPr>
          <w:rFonts w:hint="eastAsia" w:eastAsia="仿宋_GB2312"/>
          <w:sz w:val="32"/>
          <w:szCs w:val="32"/>
        </w:rPr>
        <w:t>）</w:t>
      </w:r>
      <w:r>
        <w:rPr>
          <w:rFonts w:eastAsia="仿宋_GB2312"/>
          <w:sz w:val="32"/>
          <w:szCs w:val="32"/>
        </w:rPr>
        <w:t>文化馆长培训暨业务骨干培训班等5个班，组织全市160</w:t>
      </w:r>
      <w:r>
        <w:rPr>
          <w:rFonts w:hint="eastAsia" w:eastAsia="仿宋_GB2312"/>
          <w:sz w:val="32"/>
          <w:szCs w:val="32"/>
        </w:rPr>
        <w:t>名</w:t>
      </w:r>
      <w:r>
        <w:rPr>
          <w:rFonts w:eastAsia="仿宋_GB2312"/>
          <w:sz w:val="32"/>
          <w:szCs w:val="32"/>
        </w:rPr>
        <w:t>文化干部、未成年人、群众进行了学习。</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2.质量指标。</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项目质量完成较好，群众</w:t>
      </w:r>
      <w:r>
        <w:rPr>
          <w:rFonts w:hint="eastAsia" w:eastAsia="仿宋_GB2312"/>
          <w:sz w:val="32"/>
          <w:szCs w:val="32"/>
        </w:rPr>
        <w:t>文化</w:t>
      </w:r>
      <w:r>
        <w:rPr>
          <w:rFonts w:eastAsia="仿宋_GB2312"/>
          <w:sz w:val="32"/>
          <w:szCs w:val="32"/>
        </w:rPr>
        <w:t>活动项目</w:t>
      </w:r>
      <w:r>
        <w:rPr>
          <w:rFonts w:hint="eastAsia" w:eastAsia="仿宋_GB2312"/>
          <w:sz w:val="32"/>
          <w:szCs w:val="32"/>
        </w:rPr>
        <w:t>内容丰富多彩</w:t>
      </w:r>
      <w:r>
        <w:rPr>
          <w:rFonts w:eastAsia="仿宋_GB2312"/>
          <w:sz w:val="32"/>
          <w:szCs w:val="32"/>
        </w:rPr>
        <w:t>、充分展现了攀枝花地域文化、民族风情及脱贫攻坚等内容，展示了攀枝花群众文化的繁荣发展。</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3.时效指标。</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2021年12月完成。</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4.成本指标。</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认真落实党中央、国务院和省委、省政府关于厉行勤俭节约、反对铺张浪费的有关精神，厉行节约，降低项目成本。此专项资金用于2021年公共文化服务</w:t>
      </w:r>
      <w:r>
        <w:rPr>
          <w:rFonts w:hint="eastAsia" w:eastAsia="仿宋_GB2312"/>
          <w:sz w:val="32"/>
          <w:szCs w:val="32"/>
        </w:rPr>
        <w:t>免费</w:t>
      </w:r>
      <w:r>
        <w:rPr>
          <w:rFonts w:eastAsia="仿宋_GB2312"/>
          <w:sz w:val="32"/>
          <w:szCs w:val="32"/>
        </w:rPr>
        <w:t>开放活动、基层专干培训、送文化下基层等文艺演出活动的舞台租赁、音响设备租赁、服装租赁、音乐制作、视频录制、免费开放</w:t>
      </w:r>
      <w:r>
        <w:rPr>
          <w:rFonts w:hint="eastAsia" w:eastAsia="仿宋_GB2312"/>
          <w:sz w:val="32"/>
          <w:szCs w:val="32"/>
        </w:rPr>
        <w:t>活动</w:t>
      </w:r>
      <w:r>
        <w:rPr>
          <w:rFonts w:eastAsia="仿宋_GB2312"/>
          <w:sz w:val="32"/>
          <w:szCs w:val="32"/>
        </w:rPr>
        <w:t>场地设施、设备维修维护、水电、人工等费用101万元。</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（二）项目效益情况。</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1.项目实施的经济效益。</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无</w:t>
      </w:r>
    </w:p>
    <w:p>
      <w:pPr>
        <w:numPr>
          <w:ilvl w:val="0"/>
          <w:numId w:val="3"/>
        </w:numPr>
        <w:spacing w:line="540" w:lineRule="exact"/>
        <w:ind w:firstLine="640" w:firstLineChars="200"/>
        <w:rPr>
          <w:rFonts w:eastAsia="仿宋_GB2312"/>
          <w:sz w:val="32"/>
          <w:szCs w:val="32"/>
        </w:rPr>
      </w:pPr>
      <w:r>
        <w:rPr>
          <w:rFonts w:eastAsia="仿宋_GB2312"/>
          <w:sz w:val="32"/>
          <w:szCs w:val="32"/>
        </w:rPr>
        <w:t>项目实施的社会效益。</w:t>
      </w:r>
    </w:p>
    <w:p>
      <w:pPr>
        <w:spacing w:line="5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按照公益性、基本性、均等性、便利性的要求，加强公共文化设施建设，完善公共文化服务体系，提高公共文化服务效能。创新，率先建成覆盖城乡、便捷高效、保基本、促公平的现代公共文化服务体系，有效保障人民群众基本文化权益，充分发挥典型示范作用。</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基层公共数字文化服务推广平台，实现均等化、个性化服务，运用互联网与移动互联网的优势，创新多通道、多终端化的服务模式，为群众提供丰富、便利、一站式的公共文化服务，利用“互联网+”增加服务手段、提高服务效能，利用互联网手段，打造一批具有攀枝花特色的群众文化品牌。</w:t>
      </w:r>
    </w:p>
    <w:p>
      <w:pPr>
        <w:spacing w:line="540" w:lineRule="exact"/>
        <w:ind w:firstLine="640" w:firstLineChars="200"/>
        <w:rPr>
          <w:rFonts w:eastAsia="仿宋_GB2312"/>
          <w:sz w:val="32"/>
          <w:szCs w:val="32"/>
        </w:rPr>
      </w:pPr>
      <w:r>
        <w:rPr>
          <w:rFonts w:hint="eastAsia" w:eastAsia="仿宋_GB2312"/>
          <w:sz w:val="32"/>
          <w:szCs w:val="32"/>
        </w:rPr>
        <w:t>（3）市</w:t>
      </w:r>
      <w:r>
        <w:rPr>
          <w:rFonts w:eastAsia="仿宋_GB2312"/>
          <w:sz w:val="32"/>
          <w:szCs w:val="32"/>
        </w:rPr>
        <w:t>文化馆免费开放使得受益群众面广，丰富了群众的业余生活，提升了群众的业余生活质量，为群众提供精神食粮。</w:t>
      </w:r>
    </w:p>
    <w:p>
      <w:pPr>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全市基层文化干专培训班对非物质文化遗产保护的理论与实践、文旅融合高质量发展中的文物新动能、论广场舞的特性等理论课程，区</w:t>
      </w:r>
      <w:r>
        <w:rPr>
          <w:rFonts w:hint="eastAsia" w:eastAsia="仿宋_GB2312"/>
          <w:sz w:val="32"/>
          <w:szCs w:val="32"/>
        </w:rPr>
        <w:t>（</w:t>
      </w:r>
      <w:r>
        <w:rPr>
          <w:rFonts w:eastAsia="仿宋_GB2312"/>
          <w:sz w:val="32"/>
          <w:szCs w:val="32"/>
        </w:rPr>
        <w:t>县</w:t>
      </w:r>
      <w:r>
        <w:rPr>
          <w:rFonts w:hint="eastAsia" w:eastAsia="仿宋_GB2312"/>
          <w:sz w:val="32"/>
          <w:szCs w:val="32"/>
        </w:rPr>
        <w:t>）</w:t>
      </w:r>
      <w:r>
        <w:rPr>
          <w:rFonts w:eastAsia="仿宋_GB2312"/>
          <w:sz w:val="32"/>
          <w:szCs w:val="32"/>
        </w:rPr>
        <w:t>文化馆长暨业务骨干培训班，根据2021年目标任务要求提高管理者管理水平和综合素质，</w:t>
      </w:r>
      <w:r>
        <w:rPr>
          <w:rFonts w:hint="eastAsia" w:eastAsia="仿宋_GB2312"/>
          <w:sz w:val="32"/>
          <w:szCs w:val="32"/>
        </w:rPr>
        <w:t>务实创新，</w:t>
      </w:r>
      <w:r>
        <w:rPr>
          <w:rFonts w:eastAsia="仿宋_GB2312"/>
          <w:sz w:val="32"/>
          <w:szCs w:val="32"/>
        </w:rPr>
        <w:t>推进文旅深度融合加强全市基层公共文化服务队伍建设，提升基层业务骨干业务和公共文化服务能力，更好地配合完成了我市创建第四批国家公共文化服务体系示范区工作。</w:t>
      </w:r>
    </w:p>
    <w:p>
      <w:pPr>
        <w:spacing w:line="54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送文化下乡活动，让人民群众能观赏到丰富多彩的节目，在闲暇之余也能充分感受到文化带来的喜悦和生机，有更多的幸福感和获得感，美好、健康、向上的生活指数越来越高，真正体现了社会主义核心价值观的内涵，为我市公共文化服务示范建设添砖加瓦，同时也为攀枝花阳光康养旅游文化进而宣传。</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3.项目实施的生态效益。</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通过活动达到了社会效益，相应的生态效益越来越好。</w:t>
      </w:r>
    </w:p>
    <w:p>
      <w:pPr>
        <w:spacing w:line="540" w:lineRule="exact"/>
        <w:ind w:left="640"/>
        <w:rPr>
          <w:rFonts w:eastAsia="仿宋_GB2312"/>
          <w:sz w:val="32"/>
          <w:szCs w:val="32"/>
        </w:rPr>
      </w:pPr>
      <w:r>
        <w:rPr>
          <w:rFonts w:eastAsia="仿宋_GB2312"/>
          <w:sz w:val="32"/>
          <w:szCs w:val="32"/>
        </w:rPr>
        <w:t>4.项目实施的可持续性影响效益。</w:t>
      </w:r>
    </w:p>
    <w:p>
      <w:pPr>
        <w:spacing w:line="54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基层公共数字文化服务推广平台完成后，将更丰富、优质的数字公共文化资源和服务送到基层群众身边，真正做到高雅艺术、文化服务惠及基层群众。群众可通过文化一体机、PC端、手机等终端服务直接享受我市文化馆公共文化服务多项线上服务内容。</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通过基层公共数字文化服务推广项目的实施，对市文化馆官网、微信公众号进行了升级改版，并建成了</w:t>
      </w:r>
      <w:r>
        <w:rPr>
          <w:rFonts w:hint="eastAsia" w:eastAsia="仿宋_GB2312"/>
          <w:sz w:val="32"/>
          <w:szCs w:val="32"/>
        </w:rPr>
        <w:t>市</w:t>
      </w:r>
      <w:r>
        <w:rPr>
          <w:rFonts w:eastAsia="仿宋_GB2312"/>
          <w:sz w:val="32"/>
          <w:szCs w:val="32"/>
        </w:rPr>
        <w:t>文化馆手机APP。目前该平台已经实现了：网上场馆预约、文化慕课、信息发布、文化活动预约、文化地图导览、文化活动直播互动、志愿者管理等。平台还与国家公共文化云对接，实现了将我市优秀文化资源上传。这对我市文化馆的数字化建设起到了极大的推进作用。</w:t>
      </w:r>
    </w:p>
    <w:p>
      <w:pPr>
        <w:spacing w:line="540" w:lineRule="exact"/>
        <w:ind w:firstLine="640" w:firstLineChars="200"/>
        <w:rPr>
          <w:rFonts w:eastAsia="仿宋_GB2312"/>
          <w:color w:val="000000"/>
          <w:sz w:val="32"/>
          <w:szCs w:val="32"/>
        </w:rPr>
      </w:pPr>
      <w:r>
        <w:rPr>
          <w:rFonts w:hint="eastAsia" w:eastAsia="仿宋_GB2312"/>
          <w:sz w:val="32"/>
          <w:szCs w:val="32"/>
        </w:rPr>
        <w:t>（3）</w:t>
      </w:r>
      <w:r>
        <w:rPr>
          <w:rFonts w:eastAsia="仿宋_GB2312"/>
          <w:sz w:val="32"/>
          <w:szCs w:val="32"/>
        </w:rPr>
        <w:t>广场“大家唱”</w:t>
      </w:r>
      <w:r>
        <w:rPr>
          <w:rFonts w:hint="eastAsia" w:eastAsia="仿宋_GB2312"/>
          <w:sz w:val="32"/>
          <w:szCs w:val="32"/>
        </w:rPr>
        <w:t>和</w:t>
      </w:r>
      <w:r>
        <w:rPr>
          <w:rFonts w:eastAsia="仿宋_GB2312"/>
          <w:sz w:val="32"/>
          <w:szCs w:val="32"/>
        </w:rPr>
        <w:t>“大家跳”活动</w:t>
      </w:r>
      <w:r>
        <w:rPr>
          <w:rFonts w:eastAsia="仿宋_GB2312"/>
          <w:color w:val="000000"/>
          <w:sz w:val="32"/>
          <w:szCs w:val="32"/>
        </w:rPr>
        <w:t>丰富了我市人民群众的文化生活，带动了更多群众投身到健康有益的文艺活动中，倡导了社会主义新风尚，为繁荣我市群众文化起到了巨大作用。</w:t>
      </w:r>
    </w:p>
    <w:p>
      <w:pPr>
        <w:spacing w:line="540" w:lineRule="exact"/>
        <w:ind w:firstLine="640" w:firstLineChars="200"/>
        <w:rPr>
          <w:rFonts w:eastAsia="仿宋_GB2312"/>
          <w:sz w:val="32"/>
          <w:szCs w:val="32"/>
        </w:rPr>
      </w:pPr>
      <w:r>
        <w:rPr>
          <w:rFonts w:hint="eastAsia" w:eastAsia="仿宋_GB2312"/>
          <w:sz w:val="32"/>
          <w:szCs w:val="32"/>
        </w:rPr>
        <w:t>（4）为了更好地</w:t>
      </w:r>
      <w:r>
        <w:rPr>
          <w:rFonts w:eastAsia="仿宋_GB2312"/>
          <w:sz w:val="32"/>
          <w:szCs w:val="32"/>
        </w:rPr>
        <w:t>加快建设区域文化高地，提升我市城市文化形象，建设精神文明阵地，满足人民对文化的需求，弘扬中华优秀传统文化，所以需要形成长效机制，不断加强全市基层公共文化服务队伍建设，提高基层文化干部综合素质和公共文化服务的能力。</w:t>
      </w:r>
    </w:p>
    <w:p>
      <w:pPr>
        <w:spacing w:line="540" w:lineRule="exact"/>
        <w:ind w:firstLine="640" w:firstLineChars="200"/>
        <w:rPr>
          <w:rFonts w:eastAsia="仿宋_GB2312"/>
          <w:color w:val="000000"/>
          <w:sz w:val="32"/>
          <w:szCs w:val="32"/>
        </w:rPr>
      </w:pPr>
      <w:r>
        <w:rPr>
          <w:rFonts w:hint="eastAsia" w:eastAsia="仿宋_GB2312"/>
          <w:sz w:val="32"/>
          <w:szCs w:val="32"/>
        </w:rPr>
        <w:t>（5）</w:t>
      </w:r>
      <w:r>
        <w:rPr>
          <w:rFonts w:eastAsia="仿宋_GB2312"/>
          <w:sz w:val="32"/>
          <w:szCs w:val="32"/>
        </w:rPr>
        <w:t>基层文化专干培训加强全市基层公共文化服务队伍建设，提</w:t>
      </w:r>
      <w:r>
        <w:rPr>
          <w:rFonts w:eastAsia="仿宋_GB2312"/>
          <w:color w:val="000000"/>
          <w:sz w:val="32"/>
          <w:szCs w:val="32"/>
        </w:rPr>
        <w:t>高基层文化干部综合素质和公共文化服务能力，更好地配合我市创建第四批国家公共文化服务体系示范区工作，提升文化专干的业务水平和综合素质，形成长效机制，通过此项培训活动让基层文化专干、业务骨干带动和引领广大的人民群众投身到文化建设和精神文明建设中来，让群众的文化生活越来越丰富，让人民群众感受文化生活带来的精神食粮和幸福感。未来一年，我们将以创建国家公共文化服务体系示范区为抓手、我市首届文化和旅游发展大会为契机，深入引领和带动群众文化活动开展，为加快建设区域文化高地贡献力量。</w:t>
      </w:r>
    </w:p>
    <w:p>
      <w:pPr>
        <w:spacing w:line="540" w:lineRule="exact"/>
        <w:ind w:left="640"/>
        <w:rPr>
          <w:rFonts w:eastAsia="仿宋_GB2312"/>
          <w:b/>
          <w:sz w:val="32"/>
          <w:szCs w:val="32"/>
        </w:rPr>
      </w:pPr>
      <w:r>
        <w:rPr>
          <w:rFonts w:eastAsia="仿宋_GB2312"/>
          <w:b/>
          <w:sz w:val="32"/>
          <w:szCs w:val="32"/>
        </w:rPr>
        <w:t>（三）满意度指标完成情况。</w:t>
      </w:r>
    </w:p>
    <w:p>
      <w:pPr>
        <w:spacing w:line="540" w:lineRule="exact"/>
        <w:ind w:firstLine="640" w:firstLineChars="200"/>
        <w:rPr>
          <w:rFonts w:eastAsia="仿宋_GB2312"/>
          <w:sz w:val="32"/>
          <w:szCs w:val="32"/>
        </w:rPr>
      </w:pPr>
      <w:r>
        <w:rPr>
          <w:rFonts w:eastAsia="仿宋_GB2312"/>
          <w:sz w:val="32"/>
          <w:szCs w:val="32"/>
        </w:rPr>
        <w:t>1.基层公共数字文化服务推广项目严格按照项目申请实施完成，并在网上进行公开招投标，并聘请省上专家对项目进行验收，省专家对我市此项目表示满意。抗疫期间，市文化馆通过该平台为群众开设了文化慕课服务，得到广大群众认可。</w:t>
      </w:r>
    </w:p>
    <w:p>
      <w:pPr>
        <w:spacing w:line="54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市文化馆</w:t>
      </w:r>
      <w:r>
        <w:rPr>
          <w:rFonts w:eastAsia="仿宋_GB2312"/>
          <w:sz w:val="32"/>
          <w:szCs w:val="32"/>
        </w:rPr>
        <w:t>严格坚持专款专用原则，将各项经费用于广大群众，让群众受益，得到广大文艺爱好者的认可。目前越来越多的群众文艺团队在</w:t>
      </w:r>
      <w:r>
        <w:rPr>
          <w:rFonts w:hint="eastAsia" w:eastAsia="仿宋_GB2312"/>
          <w:sz w:val="32"/>
          <w:szCs w:val="32"/>
        </w:rPr>
        <w:t>市文化馆</w:t>
      </w:r>
      <w:r>
        <w:rPr>
          <w:rFonts w:eastAsia="仿宋_GB2312"/>
          <w:sz w:val="32"/>
          <w:szCs w:val="32"/>
        </w:rPr>
        <w:t>常年坚持开展活动。</w:t>
      </w:r>
    </w:p>
    <w:p>
      <w:pPr>
        <w:spacing w:line="540" w:lineRule="exact"/>
        <w:ind w:firstLine="640" w:firstLineChars="200"/>
        <w:rPr>
          <w:rFonts w:eastAsia="仿宋_GB2312"/>
          <w:sz w:val="32"/>
          <w:szCs w:val="32"/>
        </w:rPr>
      </w:pPr>
      <w:r>
        <w:rPr>
          <w:rFonts w:eastAsia="仿宋_GB2312"/>
          <w:sz w:val="32"/>
          <w:szCs w:val="32"/>
        </w:rPr>
        <w:t>3.广场“大家唱”</w:t>
      </w:r>
      <w:r>
        <w:rPr>
          <w:rFonts w:hint="eastAsia" w:eastAsia="仿宋_GB2312"/>
          <w:sz w:val="32"/>
          <w:szCs w:val="32"/>
        </w:rPr>
        <w:t>和</w:t>
      </w:r>
      <w:r>
        <w:rPr>
          <w:rFonts w:eastAsia="仿宋_GB2312"/>
          <w:sz w:val="32"/>
          <w:szCs w:val="32"/>
        </w:rPr>
        <w:t>“大家跳”活动受到市民群众的普遍欢迎。通过“大家唱”</w:t>
      </w:r>
      <w:r>
        <w:rPr>
          <w:rFonts w:hint="eastAsia" w:eastAsia="仿宋_GB2312"/>
          <w:sz w:val="32"/>
          <w:szCs w:val="32"/>
        </w:rPr>
        <w:t>和</w:t>
      </w:r>
      <w:r>
        <w:rPr>
          <w:rFonts w:eastAsia="仿宋_GB2312"/>
          <w:sz w:val="32"/>
          <w:szCs w:val="32"/>
        </w:rPr>
        <w:t>“大家跳”这一阵地，在群众中产生了巨大影响，推动了这些活动的深入开展。</w:t>
      </w:r>
    </w:p>
    <w:p>
      <w:pPr>
        <w:spacing w:line="540" w:lineRule="exact"/>
        <w:ind w:firstLine="640" w:firstLineChars="200"/>
        <w:rPr>
          <w:rFonts w:eastAsia="仿宋_GB2312"/>
          <w:sz w:val="32"/>
          <w:szCs w:val="32"/>
        </w:rPr>
      </w:pPr>
      <w:r>
        <w:rPr>
          <w:rFonts w:eastAsia="仿宋_GB2312"/>
          <w:sz w:val="32"/>
          <w:szCs w:val="32"/>
        </w:rPr>
        <w:t>4.全市基层文化专干培训授课专家既有丰富的实践经验，又有高度的理论水平，讲课内容很实用，有广度、有深度、接地气，深得学员一致好评。</w:t>
      </w:r>
    </w:p>
    <w:p>
      <w:pPr>
        <w:spacing w:line="540" w:lineRule="exact"/>
        <w:ind w:firstLine="640" w:firstLineChars="200"/>
        <w:rPr>
          <w:rFonts w:eastAsia="仿宋_GB2312"/>
          <w:sz w:val="32"/>
          <w:szCs w:val="32"/>
        </w:rPr>
      </w:pPr>
      <w:r>
        <w:rPr>
          <w:rFonts w:eastAsia="仿宋_GB2312"/>
          <w:sz w:val="32"/>
          <w:szCs w:val="32"/>
        </w:rPr>
        <w:t>5.区</w:t>
      </w:r>
      <w:r>
        <w:rPr>
          <w:rFonts w:hint="eastAsia" w:eastAsia="仿宋_GB2312"/>
          <w:sz w:val="32"/>
          <w:szCs w:val="32"/>
        </w:rPr>
        <w:t>（</w:t>
      </w:r>
      <w:r>
        <w:rPr>
          <w:rFonts w:eastAsia="仿宋_GB2312"/>
          <w:sz w:val="32"/>
          <w:szCs w:val="32"/>
        </w:rPr>
        <w:t>县</w:t>
      </w:r>
      <w:r>
        <w:rPr>
          <w:rFonts w:hint="eastAsia" w:eastAsia="仿宋_GB2312"/>
          <w:sz w:val="32"/>
          <w:szCs w:val="32"/>
        </w:rPr>
        <w:t>）</w:t>
      </w:r>
      <w:r>
        <w:rPr>
          <w:rFonts w:eastAsia="仿宋_GB2312"/>
          <w:sz w:val="32"/>
          <w:szCs w:val="32"/>
        </w:rPr>
        <w:t>文化馆长暨业务骨干培训为基层文化专干、区县文化馆长、业务骨干交流搭建了平台，培训效果良好，全体学员提高了业务水平和综合素质</w:t>
      </w:r>
      <w:r>
        <w:rPr>
          <w:rFonts w:hint="eastAsia" w:eastAsia="仿宋_GB2312"/>
          <w:sz w:val="32"/>
          <w:szCs w:val="32"/>
        </w:rPr>
        <w:t>，</w:t>
      </w:r>
      <w:r>
        <w:rPr>
          <w:rFonts w:eastAsia="仿宋_GB2312"/>
          <w:sz w:val="32"/>
          <w:szCs w:val="32"/>
        </w:rPr>
        <w:t>充分发挥了基层文化专干的桥梁作用。</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根据问卷调查，广大群众对该项活动给予较好的评价，</w:t>
      </w:r>
      <w:r>
        <w:rPr>
          <w:rFonts w:hint="eastAsia" w:eastAsia="仿宋_GB2312"/>
          <w:sz w:val="32"/>
          <w:szCs w:val="32"/>
        </w:rPr>
        <w:t>反映</w:t>
      </w:r>
      <w:r>
        <w:rPr>
          <w:rFonts w:eastAsia="仿宋_GB2312"/>
          <w:sz w:val="32"/>
          <w:szCs w:val="32"/>
        </w:rPr>
        <w:t>良好，满意度达90%以上。</w:t>
      </w:r>
    </w:p>
    <w:p>
      <w:pPr>
        <w:autoSpaceDE w:val="0"/>
        <w:autoSpaceDN w:val="0"/>
        <w:adjustRightInd w:val="0"/>
        <w:spacing w:line="540" w:lineRule="exact"/>
        <w:ind w:firstLine="643" w:firstLineChars="200"/>
        <w:rPr>
          <w:b/>
          <w:sz w:val="32"/>
          <w:szCs w:val="32"/>
        </w:rPr>
      </w:pPr>
      <w:r>
        <w:rPr>
          <w:b/>
          <w:sz w:val="32"/>
          <w:szCs w:val="32"/>
        </w:rPr>
        <w:t>五、评价结论及建议。</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（一）评价结论。</w:t>
      </w:r>
    </w:p>
    <w:p>
      <w:pPr>
        <w:spacing w:line="540" w:lineRule="exact"/>
        <w:ind w:firstLine="640" w:firstLineChars="200"/>
        <w:rPr>
          <w:rFonts w:eastAsia="仿宋_GB2312"/>
          <w:sz w:val="32"/>
          <w:szCs w:val="32"/>
        </w:rPr>
      </w:pPr>
      <w:r>
        <w:rPr>
          <w:rFonts w:eastAsia="仿宋_GB2312"/>
          <w:sz w:val="32"/>
          <w:szCs w:val="32"/>
        </w:rPr>
        <w:t>市文化馆2021年度中央和省补助公共图书馆文化馆免费开放专项资金专项绩效评价，项目实施情况良好，项目资金能及时到位，项目管理规范、项目完成率等指标达到预期要求，项目社会效益、可持续效应基本实现，群众满意度高。</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（二）存在的问题。</w:t>
      </w:r>
    </w:p>
    <w:p>
      <w:pPr>
        <w:spacing w:line="540" w:lineRule="exact"/>
        <w:ind w:firstLine="640" w:firstLineChars="200"/>
        <w:rPr>
          <w:rFonts w:eastAsia="仿宋_GB2312"/>
          <w:sz w:val="32"/>
          <w:szCs w:val="32"/>
        </w:rPr>
      </w:pPr>
      <w:r>
        <w:rPr>
          <w:rFonts w:eastAsia="仿宋_GB2312"/>
          <w:sz w:val="32"/>
          <w:szCs w:val="32"/>
        </w:rPr>
        <w:t>1.基层公共数字文化服务推广项目平台于2019年建设完成，但该项目平台搭建只是前期基础工作，后期需要对平台进行持续维护和平台内容不断完善更新，每年仍需要经费保障。</w:t>
      </w:r>
    </w:p>
    <w:p>
      <w:pPr>
        <w:spacing w:line="54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市</w:t>
      </w:r>
      <w:r>
        <w:rPr>
          <w:rFonts w:eastAsia="仿宋_GB2312"/>
          <w:sz w:val="32"/>
          <w:szCs w:val="32"/>
        </w:rPr>
        <w:t>文化馆免费开放后，随着参与文化活动人数的增加，对资金的需求也相应增加，经费保障不足导致对基层文化工作的指导和辅导、群众文化活动的组织开展、文化遗产的保护等工作均受到一定程度的影响。</w:t>
      </w:r>
    </w:p>
    <w:p>
      <w:pPr>
        <w:spacing w:line="540" w:lineRule="exact"/>
        <w:ind w:firstLine="640" w:firstLineChars="200"/>
        <w:rPr>
          <w:rFonts w:eastAsia="仿宋_GB2312"/>
          <w:sz w:val="32"/>
          <w:szCs w:val="32"/>
        </w:rPr>
      </w:pPr>
      <w:r>
        <w:rPr>
          <w:rFonts w:eastAsia="仿宋_GB2312"/>
          <w:sz w:val="32"/>
          <w:szCs w:val="32"/>
        </w:rPr>
        <w:t>3.场地受限，无法满足群众的文化需求。随着免费开放工作的实施，来</w:t>
      </w:r>
      <w:r>
        <w:rPr>
          <w:rFonts w:hint="eastAsia" w:eastAsia="仿宋_GB2312"/>
          <w:sz w:val="32"/>
          <w:szCs w:val="32"/>
        </w:rPr>
        <w:t>市</w:t>
      </w:r>
      <w:r>
        <w:rPr>
          <w:rFonts w:eastAsia="仿宋_GB2312"/>
          <w:sz w:val="32"/>
          <w:szCs w:val="32"/>
        </w:rPr>
        <w:t>文化馆参加各种文化活动的人员逐渐增多。活动场所小、免费开放活动的规模受到限制、基本公共文化服务项目形式较为单一且吸引力不强等问题亟待解决。</w:t>
      </w:r>
    </w:p>
    <w:p>
      <w:pPr>
        <w:autoSpaceDE w:val="0"/>
        <w:autoSpaceDN w:val="0"/>
        <w:adjustRightInd w:val="0"/>
        <w:spacing w:line="540" w:lineRule="exact"/>
        <w:ind w:firstLine="640" w:firstLineChars="200"/>
        <w:rPr>
          <w:rFonts w:eastAsia="仿宋_GB2312"/>
          <w:sz w:val="32"/>
          <w:szCs w:val="32"/>
        </w:rPr>
      </w:pPr>
      <w:r>
        <w:rPr>
          <w:rFonts w:eastAsia="仿宋_GB2312"/>
          <w:sz w:val="32"/>
          <w:szCs w:val="32"/>
        </w:rPr>
        <w:t>希望</w:t>
      </w:r>
      <w:r>
        <w:rPr>
          <w:rFonts w:hint="eastAsia" w:eastAsia="仿宋_GB2312"/>
          <w:sz w:val="32"/>
          <w:szCs w:val="32"/>
        </w:rPr>
        <w:t>财政进一步</w:t>
      </w:r>
      <w:r>
        <w:rPr>
          <w:rFonts w:eastAsia="仿宋_GB2312"/>
          <w:sz w:val="32"/>
          <w:szCs w:val="32"/>
        </w:rPr>
        <w:t>加大对公共文化服务免费开放等项目资金的投入</w:t>
      </w:r>
      <w:r>
        <w:rPr>
          <w:rFonts w:hint="eastAsia" w:eastAsia="仿宋_GB2312"/>
          <w:sz w:val="32"/>
          <w:szCs w:val="32"/>
        </w:rPr>
        <w:t>，</w:t>
      </w:r>
      <w:r>
        <w:rPr>
          <w:rFonts w:eastAsia="仿宋_GB2312"/>
          <w:sz w:val="32"/>
          <w:szCs w:val="32"/>
        </w:rPr>
        <w:t>活动项目得到相关部门的</w:t>
      </w:r>
      <w:r>
        <w:rPr>
          <w:rFonts w:hint="eastAsia" w:eastAsia="仿宋_GB2312"/>
          <w:sz w:val="32"/>
          <w:szCs w:val="32"/>
        </w:rPr>
        <w:t>进一步</w:t>
      </w:r>
      <w:r>
        <w:rPr>
          <w:rFonts w:eastAsia="仿宋_GB2312"/>
          <w:sz w:val="32"/>
          <w:szCs w:val="32"/>
        </w:rPr>
        <w:t>配合和支持。</w:t>
      </w:r>
    </w:p>
    <w:p>
      <w:pPr>
        <w:autoSpaceDE w:val="0"/>
        <w:autoSpaceDN w:val="0"/>
        <w:adjustRightInd w:val="0"/>
        <w:spacing w:line="540" w:lineRule="exact"/>
        <w:ind w:firstLine="643" w:firstLineChars="200"/>
        <w:rPr>
          <w:rFonts w:eastAsia="仿宋_GB2312"/>
          <w:b/>
          <w:sz w:val="32"/>
          <w:szCs w:val="32"/>
        </w:rPr>
      </w:pPr>
      <w:r>
        <w:rPr>
          <w:rFonts w:eastAsia="仿宋_GB2312"/>
          <w:b/>
          <w:sz w:val="32"/>
          <w:szCs w:val="32"/>
        </w:rPr>
        <w:t>（三）相关建议。</w:t>
      </w:r>
    </w:p>
    <w:p>
      <w:pPr>
        <w:spacing w:line="54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市</w:t>
      </w:r>
      <w:r>
        <w:rPr>
          <w:rFonts w:eastAsia="仿宋_GB2312"/>
          <w:sz w:val="32"/>
          <w:szCs w:val="32"/>
        </w:rPr>
        <w:t>文化馆免费开放工作的落实，需要政府及相关部门在政策及资金等方面的支持，不管是在设施设备更新、水电等开支方面，还是在人员培训、业务开展等方面都离不开资金的大力支持。因此，</w:t>
      </w:r>
      <w:r>
        <w:rPr>
          <w:rFonts w:hint="eastAsia" w:eastAsia="仿宋_GB2312"/>
          <w:sz w:val="32"/>
          <w:szCs w:val="32"/>
        </w:rPr>
        <w:t>希望</w:t>
      </w:r>
      <w:r>
        <w:rPr>
          <w:rFonts w:eastAsia="仿宋_GB2312"/>
          <w:sz w:val="32"/>
          <w:szCs w:val="32"/>
        </w:rPr>
        <w:t>各级政府将文化馆免费开放通过项目补贴、定向资助及成果奖励等方法，引导资源合理配置，保证</w:t>
      </w:r>
      <w:r>
        <w:rPr>
          <w:rFonts w:hint="eastAsia" w:eastAsia="仿宋_GB2312"/>
          <w:sz w:val="32"/>
          <w:szCs w:val="32"/>
        </w:rPr>
        <w:t>市</w:t>
      </w:r>
      <w:r>
        <w:rPr>
          <w:rFonts w:eastAsia="仿宋_GB2312"/>
          <w:sz w:val="32"/>
          <w:szCs w:val="32"/>
        </w:rPr>
        <w:t>文化馆文化资源的日常供应，以进一步满足群众的文化需求。</w:t>
      </w:r>
    </w:p>
    <w:p>
      <w:pPr>
        <w:spacing w:line="540" w:lineRule="exact"/>
        <w:ind w:firstLine="640" w:firstLineChars="200"/>
        <w:rPr>
          <w:sz w:val="32"/>
          <w:szCs w:val="32"/>
        </w:rPr>
      </w:pPr>
      <w:r>
        <w:rPr>
          <w:rFonts w:eastAsia="仿宋_GB2312"/>
          <w:sz w:val="32"/>
          <w:szCs w:val="32"/>
        </w:rPr>
        <w:t>2.在广场地方局限，人员繁杂的情况下，我们考虑是否</w:t>
      </w:r>
      <w:r>
        <w:rPr>
          <w:rFonts w:hint="eastAsia" w:eastAsia="仿宋_GB2312"/>
          <w:sz w:val="32"/>
          <w:szCs w:val="32"/>
        </w:rPr>
        <w:t>再</w:t>
      </w:r>
      <w:r>
        <w:rPr>
          <w:rFonts w:eastAsia="仿宋_GB2312"/>
          <w:sz w:val="32"/>
          <w:szCs w:val="32"/>
        </w:rPr>
        <w:t>与社区进行对接，将工作做细。</w:t>
      </w:r>
    </w:p>
    <w:p>
      <w:pPr>
        <w:pStyle w:val="2"/>
        <w:spacing w:before="93"/>
        <w:rPr>
          <w:rFonts w:ascii="Times New Roman"/>
          <w:kern w:val="2"/>
          <w:sz w:val="32"/>
          <w:szCs w:val="32"/>
        </w:rPr>
      </w:pPr>
    </w:p>
    <w:p>
      <w:pPr>
        <w:pStyle w:val="2"/>
        <w:spacing w:before="93"/>
        <w:rPr>
          <w:rFonts w:ascii="Times New Roman"/>
          <w:kern w:val="2"/>
          <w:sz w:val="32"/>
          <w:szCs w:val="32"/>
        </w:rPr>
      </w:pPr>
    </w:p>
    <w:p>
      <w:pPr>
        <w:pStyle w:val="2"/>
        <w:spacing w:before="93"/>
        <w:rPr>
          <w:rFonts w:ascii="Times New Roman"/>
          <w:kern w:val="2"/>
          <w:sz w:val="32"/>
          <w:szCs w:val="32"/>
        </w:rPr>
      </w:pPr>
    </w:p>
    <w:p>
      <w:pPr>
        <w:pStyle w:val="2"/>
        <w:spacing w:before="93"/>
        <w:rPr>
          <w:rFonts w:ascii="Times New Roman"/>
          <w:kern w:val="2"/>
          <w:sz w:val="32"/>
          <w:szCs w:val="32"/>
        </w:rPr>
      </w:pPr>
    </w:p>
    <w:p>
      <w:pPr>
        <w:pStyle w:val="2"/>
        <w:spacing w:before="93"/>
        <w:rPr>
          <w:rFonts w:ascii="Times New Roman"/>
          <w:kern w:val="2"/>
          <w:sz w:val="32"/>
          <w:szCs w:val="32"/>
        </w:rPr>
      </w:pPr>
    </w:p>
    <w:p>
      <w:pPr>
        <w:pStyle w:val="2"/>
        <w:spacing w:before="93"/>
        <w:rPr>
          <w:rFonts w:ascii="Times New Roman"/>
        </w:rPr>
      </w:pPr>
    </w:p>
    <w:p>
      <w:r>
        <w:br w:type="page"/>
      </w:r>
    </w:p>
    <w:p>
      <w:pPr>
        <w:pStyle w:val="2"/>
        <w:spacing w:before="93"/>
        <w:rPr>
          <w:rFonts w:ascii="Times New Roman"/>
        </w:rPr>
      </w:pPr>
    </w:p>
    <w:tbl>
      <w:tblPr>
        <w:tblStyle w:val="14"/>
        <w:tblpPr w:leftFromText="180" w:rightFromText="180" w:vertAnchor="text" w:horzAnchor="page" w:tblpX="385" w:tblpY="458"/>
        <w:tblOverlap w:val="never"/>
        <w:tblW w:w="11621" w:type="dxa"/>
        <w:tblInd w:w="0" w:type="dxa"/>
        <w:tblLayout w:type="fixed"/>
        <w:tblCellMar>
          <w:top w:w="0" w:type="dxa"/>
          <w:left w:w="108" w:type="dxa"/>
          <w:bottom w:w="0" w:type="dxa"/>
          <w:right w:w="108" w:type="dxa"/>
        </w:tblCellMar>
      </w:tblPr>
      <w:tblGrid>
        <w:gridCol w:w="1890"/>
        <w:gridCol w:w="1395"/>
        <w:gridCol w:w="1830"/>
        <w:gridCol w:w="2670"/>
        <w:gridCol w:w="1395"/>
        <w:gridCol w:w="2085"/>
        <w:gridCol w:w="356"/>
      </w:tblGrid>
      <w:tr>
        <w:tblPrEx>
          <w:tblCellMar>
            <w:top w:w="0" w:type="dxa"/>
            <w:left w:w="108" w:type="dxa"/>
            <w:bottom w:w="0" w:type="dxa"/>
            <w:right w:w="108" w:type="dxa"/>
          </w:tblCellMar>
        </w:tblPrEx>
        <w:trPr>
          <w:trHeight w:val="675" w:hRule="atLeast"/>
        </w:trPr>
        <w:tc>
          <w:tcPr>
            <w:tcW w:w="11265" w:type="dxa"/>
            <w:gridSpan w:val="6"/>
            <w:tcBorders>
              <w:top w:val="nil"/>
              <w:left w:val="nil"/>
              <w:bottom w:val="nil"/>
              <w:right w:val="nil"/>
            </w:tcBorders>
            <w:shd w:val="clear" w:color="auto" w:fill="auto"/>
            <w:vAlign w:val="center"/>
          </w:tcPr>
          <w:p>
            <w:pPr>
              <w:widowControl/>
              <w:spacing w:line="240" w:lineRule="atLeast"/>
              <w:ind w:firstLine="2249" w:firstLineChars="700"/>
              <w:textAlignment w:val="center"/>
              <w:rPr>
                <w:rFonts w:eastAsia="仿宋"/>
                <w:b/>
                <w:sz w:val="32"/>
                <w:szCs w:val="32"/>
              </w:rPr>
            </w:pPr>
            <w:r>
              <w:rPr>
                <w:rFonts w:eastAsia="仿宋"/>
                <w:b/>
                <w:sz w:val="32"/>
                <w:szCs w:val="32"/>
              </w:rPr>
              <w:t>公共文化服务免费开放活动项目绩效目标自评表</w:t>
            </w:r>
          </w:p>
        </w:tc>
        <w:tc>
          <w:tcPr>
            <w:tcW w:w="356" w:type="dxa"/>
            <w:tcBorders>
              <w:top w:val="nil"/>
              <w:left w:val="nil"/>
              <w:bottom w:val="nil"/>
              <w:right w:val="nil"/>
            </w:tcBorders>
            <w:shd w:val="clear" w:color="auto" w:fill="auto"/>
            <w:vAlign w:val="center"/>
          </w:tcPr>
          <w:p>
            <w:pPr>
              <w:widowControl/>
              <w:spacing w:line="240" w:lineRule="atLeast"/>
              <w:jc w:val="center"/>
              <w:textAlignment w:val="center"/>
              <w:rPr>
                <w:rFonts w:eastAsia="仿宋"/>
                <w:b/>
                <w:kern w:val="0"/>
                <w:sz w:val="32"/>
                <w:szCs w:val="32"/>
                <w:lang w:bidi="ar"/>
              </w:rPr>
            </w:pPr>
          </w:p>
        </w:tc>
      </w:tr>
      <w:tr>
        <w:tblPrEx>
          <w:tblCellMar>
            <w:top w:w="0" w:type="dxa"/>
            <w:left w:w="108" w:type="dxa"/>
            <w:bottom w:w="0" w:type="dxa"/>
            <w:right w:w="108" w:type="dxa"/>
          </w:tblCellMar>
        </w:tblPrEx>
        <w:trPr>
          <w:gridAfter w:val="1"/>
          <w:wAfter w:w="356" w:type="dxa"/>
          <w:trHeight w:val="254" w:hRule="atLeast"/>
        </w:trPr>
        <w:tc>
          <w:tcPr>
            <w:tcW w:w="3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4"/>
              </w:rPr>
            </w:pPr>
            <w:r>
              <w:rPr>
                <w:rFonts w:eastAsia="仿宋"/>
                <w:kern w:val="0"/>
                <w:sz w:val="24"/>
                <w:lang w:bidi="ar"/>
              </w:rPr>
              <w:t>主管部门及代码</w:t>
            </w:r>
          </w:p>
        </w:tc>
        <w:tc>
          <w:tcPr>
            <w:tcW w:w="4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eastAsia="仿宋"/>
                <w:sz w:val="24"/>
              </w:rPr>
            </w:pPr>
            <w:r>
              <w:rPr>
                <w:rFonts w:eastAsia="仿宋"/>
                <w:sz w:val="24"/>
              </w:rPr>
              <w:t>205001</w:t>
            </w:r>
            <w:r>
              <w:rPr>
                <w:rFonts w:hint="eastAsia" w:eastAsia="仿宋"/>
                <w:sz w:val="24"/>
              </w:rPr>
              <w:t>－</w:t>
            </w:r>
            <w:r>
              <w:rPr>
                <w:rFonts w:eastAsia="仿宋"/>
                <w:sz w:val="24"/>
              </w:rPr>
              <w:t>攀枝花市文化广播电视和旅游局</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4"/>
              </w:rPr>
            </w:pPr>
            <w:r>
              <w:rPr>
                <w:rFonts w:eastAsia="仿宋"/>
                <w:kern w:val="0"/>
                <w:sz w:val="24"/>
                <w:lang w:bidi="ar"/>
              </w:rPr>
              <w:t>实施单位</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4"/>
              </w:rPr>
            </w:pPr>
            <w:r>
              <w:rPr>
                <w:rFonts w:eastAsia="仿宋"/>
                <w:sz w:val="24"/>
              </w:rPr>
              <w:t>攀枝花市文化馆</w:t>
            </w:r>
          </w:p>
        </w:tc>
      </w:tr>
      <w:tr>
        <w:tblPrEx>
          <w:tblCellMar>
            <w:top w:w="0" w:type="dxa"/>
            <w:left w:w="108" w:type="dxa"/>
            <w:bottom w:w="0" w:type="dxa"/>
            <w:right w:w="108" w:type="dxa"/>
          </w:tblCellMar>
        </w:tblPrEx>
        <w:trPr>
          <w:gridAfter w:val="1"/>
          <w:wAfter w:w="356" w:type="dxa"/>
          <w:trHeight w:val="341" w:hRule="atLeast"/>
        </w:trPr>
        <w:tc>
          <w:tcPr>
            <w:tcW w:w="32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4"/>
              </w:rPr>
            </w:pPr>
            <w:r>
              <w:rPr>
                <w:rFonts w:eastAsia="仿宋"/>
                <w:kern w:val="0"/>
                <w:sz w:val="24"/>
                <w:lang w:bidi="ar"/>
              </w:rPr>
              <w:t>项目预算</w:t>
            </w:r>
            <w:r>
              <w:rPr>
                <w:rFonts w:eastAsia="仿宋"/>
                <w:kern w:val="0"/>
                <w:sz w:val="24"/>
                <w:lang w:bidi="ar"/>
              </w:rPr>
              <w:br w:type="textWrapping"/>
            </w:r>
            <w:r>
              <w:rPr>
                <w:rFonts w:eastAsia="仿宋"/>
                <w:kern w:val="0"/>
                <w:sz w:val="24"/>
                <w:lang w:bidi="ar"/>
              </w:rPr>
              <w:t>执行情况</w:t>
            </w:r>
            <w:r>
              <w:rPr>
                <w:rFonts w:eastAsia="仿宋"/>
                <w:kern w:val="0"/>
                <w:sz w:val="24"/>
                <w:lang w:bidi="ar"/>
              </w:rPr>
              <w:br w:type="textWrapping"/>
            </w:r>
            <w:r>
              <w:rPr>
                <w:rFonts w:eastAsia="仿宋"/>
                <w:kern w:val="0"/>
                <w:sz w:val="24"/>
                <w:lang w:bidi="ar"/>
              </w:rPr>
              <w:t>（万元）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sz w:val="24"/>
              </w:rPr>
            </w:pPr>
            <w:r>
              <w:rPr>
                <w:rFonts w:eastAsia="仿宋"/>
                <w:kern w:val="0"/>
                <w:sz w:val="24"/>
                <w:lang w:bidi="ar"/>
              </w:rPr>
              <w:t xml:space="preserve"> 预算数：</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sz w:val="24"/>
              </w:rPr>
            </w:pPr>
            <w:r>
              <w:rPr>
                <w:rFonts w:eastAsia="仿宋"/>
                <w:sz w:val="24"/>
              </w:rPr>
              <w:t>91.36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sz w:val="24"/>
              </w:rPr>
            </w:pPr>
            <w:r>
              <w:rPr>
                <w:rFonts w:eastAsia="仿宋"/>
                <w:kern w:val="0"/>
                <w:sz w:val="24"/>
                <w:lang w:bidi="ar"/>
              </w:rPr>
              <w:t xml:space="preserve"> 执行数：</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eastAsia="仿宋"/>
                <w:sz w:val="24"/>
              </w:rPr>
            </w:pPr>
            <w:r>
              <w:rPr>
                <w:rFonts w:eastAsia="仿宋"/>
                <w:sz w:val="24"/>
              </w:rPr>
              <w:t>91.36</w:t>
            </w:r>
          </w:p>
        </w:tc>
      </w:tr>
      <w:tr>
        <w:tblPrEx>
          <w:tblCellMar>
            <w:top w:w="0" w:type="dxa"/>
            <w:left w:w="108" w:type="dxa"/>
            <w:bottom w:w="0" w:type="dxa"/>
            <w:right w:w="108" w:type="dxa"/>
          </w:tblCellMar>
        </w:tblPrEx>
        <w:trPr>
          <w:gridAfter w:val="1"/>
          <w:wAfter w:w="356" w:type="dxa"/>
          <w:trHeight w:val="615" w:hRule="atLeast"/>
        </w:trPr>
        <w:tc>
          <w:tcPr>
            <w:tcW w:w="32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kern w:val="0"/>
                <w:sz w:val="24"/>
                <w:lang w:bidi="ar"/>
              </w:rPr>
            </w:pPr>
            <w:r>
              <w:rPr>
                <w:rFonts w:eastAsia="仿宋"/>
                <w:kern w:val="0"/>
                <w:sz w:val="24"/>
                <w:lang w:bidi="ar"/>
              </w:rPr>
              <w:t>其中：</w:t>
            </w:r>
          </w:p>
          <w:p>
            <w:pPr>
              <w:widowControl/>
              <w:jc w:val="left"/>
              <w:textAlignment w:val="center"/>
              <w:rPr>
                <w:rFonts w:eastAsia="仿宋"/>
                <w:sz w:val="24"/>
              </w:rPr>
            </w:pPr>
            <w:r>
              <w:rPr>
                <w:rFonts w:eastAsia="仿宋"/>
                <w:kern w:val="0"/>
                <w:sz w:val="24"/>
                <w:lang w:bidi="ar"/>
              </w:rPr>
              <w:t>财政拨款</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sz w:val="24"/>
              </w:rPr>
            </w:pPr>
            <w:r>
              <w:rPr>
                <w:rFonts w:eastAsia="仿宋"/>
                <w:sz w:val="24"/>
              </w:rPr>
              <w:t>91.36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kern w:val="0"/>
                <w:sz w:val="24"/>
                <w:lang w:bidi="ar"/>
              </w:rPr>
            </w:pPr>
            <w:r>
              <w:rPr>
                <w:rFonts w:eastAsia="仿宋"/>
                <w:kern w:val="0"/>
                <w:sz w:val="24"/>
                <w:lang w:bidi="ar"/>
              </w:rPr>
              <w:t>其中：</w:t>
            </w:r>
          </w:p>
          <w:p>
            <w:pPr>
              <w:widowControl/>
              <w:jc w:val="left"/>
              <w:textAlignment w:val="center"/>
              <w:rPr>
                <w:rFonts w:eastAsia="仿宋"/>
                <w:sz w:val="24"/>
              </w:rPr>
            </w:pPr>
            <w:r>
              <w:rPr>
                <w:rFonts w:eastAsia="仿宋"/>
                <w:kern w:val="0"/>
                <w:sz w:val="24"/>
                <w:lang w:bidi="ar"/>
              </w:rPr>
              <w:t>财政拨款</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eastAsia="仿宋"/>
                <w:sz w:val="24"/>
              </w:rPr>
            </w:pPr>
            <w:r>
              <w:rPr>
                <w:rFonts w:eastAsia="仿宋"/>
                <w:sz w:val="24"/>
              </w:rPr>
              <w:t>91.36</w:t>
            </w:r>
          </w:p>
        </w:tc>
      </w:tr>
      <w:tr>
        <w:tblPrEx>
          <w:tblCellMar>
            <w:top w:w="0" w:type="dxa"/>
            <w:left w:w="108" w:type="dxa"/>
            <w:bottom w:w="0" w:type="dxa"/>
            <w:right w:w="108" w:type="dxa"/>
          </w:tblCellMar>
        </w:tblPrEx>
        <w:trPr>
          <w:gridAfter w:val="1"/>
          <w:wAfter w:w="356" w:type="dxa"/>
          <w:trHeight w:val="196" w:hRule="atLeast"/>
        </w:trPr>
        <w:tc>
          <w:tcPr>
            <w:tcW w:w="32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sz w:val="24"/>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sz w:val="24"/>
              </w:rPr>
            </w:pPr>
            <w:r>
              <w:rPr>
                <w:rFonts w:eastAsia="仿宋"/>
                <w:kern w:val="0"/>
                <w:sz w:val="24"/>
                <w:lang w:bidi="ar"/>
              </w:rPr>
              <w:t>其他资金</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sz w:val="24"/>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仿宋"/>
                <w:sz w:val="24"/>
              </w:rPr>
            </w:pPr>
            <w:r>
              <w:rPr>
                <w:rFonts w:eastAsia="仿宋"/>
                <w:kern w:val="0"/>
                <w:sz w:val="24"/>
                <w:lang w:bidi="ar"/>
              </w:rPr>
              <w:t>其他资金</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4"/>
              </w:rPr>
            </w:pPr>
          </w:p>
        </w:tc>
      </w:tr>
      <w:tr>
        <w:tblPrEx>
          <w:tblCellMar>
            <w:top w:w="0" w:type="dxa"/>
            <w:left w:w="108" w:type="dxa"/>
            <w:bottom w:w="0" w:type="dxa"/>
            <w:right w:w="108" w:type="dxa"/>
          </w:tblCellMar>
        </w:tblPrEx>
        <w:trPr>
          <w:gridAfter w:val="1"/>
          <w:wAfter w:w="356" w:type="dxa"/>
          <w:trHeight w:val="217" w:hRule="atLeast"/>
        </w:trPr>
        <w:tc>
          <w:tcPr>
            <w:tcW w:w="1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kern w:val="0"/>
                <w:sz w:val="24"/>
                <w:lang w:bidi="ar"/>
              </w:rPr>
            </w:pPr>
            <w:r>
              <w:rPr>
                <w:rFonts w:eastAsia="仿宋"/>
                <w:kern w:val="0"/>
                <w:sz w:val="24"/>
                <w:lang w:bidi="ar"/>
              </w:rPr>
              <w:t>年度总体目标</w:t>
            </w:r>
          </w:p>
          <w:p>
            <w:pPr>
              <w:widowControl/>
              <w:jc w:val="center"/>
              <w:textAlignment w:val="center"/>
              <w:rPr>
                <w:rFonts w:eastAsia="仿宋"/>
                <w:sz w:val="24"/>
              </w:rPr>
            </w:pPr>
            <w:r>
              <w:rPr>
                <w:rFonts w:eastAsia="仿宋"/>
                <w:kern w:val="0"/>
                <w:sz w:val="24"/>
                <w:lang w:bidi="ar"/>
              </w:rPr>
              <w:t>完成情况</w:t>
            </w:r>
          </w:p>
        </w:tc>
        <w:tc>
          <w:tcPr>
            <w:tcW w:w="5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4"/>
              </w:rPr>
            </w:pPr>
            <w:r>
              <w:rPr>
                <w:rFonts w:eastAsia="仿宋"/>
                <w:kern w:val="0"/>
                <w:sz w:val="24"/>
                <w:lang w:bidi="ar"/>
              </w:rPr>
              <w:t>预期目标</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4"/>
              </w:rPr>
            </w:pPr>
            <w:r>
              <w:rPr>
                <w:rFonts w:eastAsia="仿宋"/>
                <w:kern w:val="0"/>
                <w:sz w:val="24"/>
                <w:lang w:bidi="ar"/>
              </w:rPr>
              <w:t>目标实际完成情况</w:t>
            </w:r>
          </w:p>
        </w:tc>
      </w:tr>
      <w:tr>
        <w:tblPrEx>
          <w:tblCellMar>
            <w:top w:w="0" w:type="dxa"/>
            <w:left w:w="108" w:type="dxa"/>
            <w:bottom w:w="0" w:type="dxa"/>
            <w:right w:w="108" w:type="dxa"/>
          </w:tblCellMar>
        </w:tblPrEx>
        <w:trPr>
          <w:gridAfter w:val="1"/>
          <w:wAfter w:w="356" w:type="dxa"/>
          <w:trHeight w:val="797" w:hRule="atLeast"/>
        </w:trPr>
        <w:tc>
          <w:tcPr>
            <w:tcW w:w="1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
                <w:sz w:val="24"/>
              </w:rPr>
            </w:pPr>
          </w:p>
        </w:tc>
        <w:tc>
          <w:tcPr>
            <w:tcW w:w="589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eastAsia="仿宋"/>
                <w:sz w:val="24"/>
              </w:rPr>
            </w:pPr>
            <w:r>
              <w:rPr>
                <w:rFonts w:eastAsia="仿宋"/>
                <w:sz w:val="24"/>
              </w:rPr>
              <w:t xml:space="preserve"> </w:t>
            </w:r>
            <w:r>
              <w:rPr>
                <w:rFonts w:hint="eastAsia" w:eastAsia="仿宋"/>
                <w:sz w:val="18"/>
                <w:szCs w:val="18"/>
              </w:rPr>
              <w:t>原</w:t>
            </w:r>
            <w:r>
              <w:rPr>
                <w:rFonts w:eastAsia="仿宋"/>
                <w:sz w:val="18"/>
                <w:szCs w:val="18"/>
              </w:rPr>
              <w:t>文化部、财政部</w:t>
            </w:r>
            <w:r>
              <w:rPr>
                <w:rFonts w:hint="eastAsia" w:ascii="仿宋" w:hAnsi="仿宋" w:eastAsia="仿宋" w:cs="仿宋"/>
                <w:sz w:val="18"/>
                <w:szCs w:val="18"/>
              </w:rPr>
              <w:t>﹝</w:t>
            </w:r>
            <w:r>
              <w:rPr>
                <w:rFonts w:eastAsia="仿宋"/>
                <w:sz w:val="18"/>
                <w:szCs w:val="18"/>
              </w:rPr>
              <w:t>2011</w:t>
            </w:r>
            <w:r>
              <w:rPr>
                <w:rFonts w:hint="eastAsia" w:ascii="仿宋" w:hAnsi="仿宋" w:eastAsia="仿宋" w:cs="仿宋"/>
                <w:sz w:val="18"/>
                <w:szCs w:val="18"/>
              </w:rPr>
              <w:t>﹞</w:t>
            </w:r>
            <w:r>
              <w:rPr>
                <w:rFonts w:eastAsia="仿宋"/>
                <w:sz w:val="18"/>
                <w:szCs w:val="18"/>
              </w:rPr>
              <w:t>5号文及</w:t>
            </w:r>
            <w:r>
              <w:rPr>
                <w:rFonts w:hint="eastAsia" w:eastAsia="仿宋"/>
                <w:sz w:val="18"/>
                <w:szCs w:val="18"/>
              </w:rPr>
              <w:t>原</w:t>
            </w:r>
            <w:r>
              <w:rPr>
                <w:rFonts w:eastAsia="仿宋"/>
                <w:sz w:val="18"/>
                <w:szCs w:val="18"/>
              </w:rPr>
              <w:t>文化厅、财政厅</w:t>
            </w:r>
            <w:r>
              <w:rPr>
                <w:rFonts w:hint="eastAsia" w:ascii="仿宋" w:hAnsi="仿宋" w:eastAsia="仿宋" w:cs="仿宋"/>
                <w:sz w:val="18"/>
                <w:szCs w:val="18"/>
              </w:rPr>
              <w:t>﹝</w:t>
            </w:r>
            <w:r>
              <w:rPr>
                <w:rFonts w:eastAsia="仿宋"/>
                <w:sz w:val="18"/>
                <w:szCs w:val="18"/>
              </w:rPr>
              <w:t>2011</w:t>
            </w:r>
            <w:r>
              <w:rPr>
                <w:rFonts w:hint="eastAsia" w:ascii="仿宋" w:hAnsi="仿宋" w:eastAsia="仿宋" w:cs="仿宋"/>
                <w:sz w:val="18"/>
                <w:szCs w:val="18"/>
              </w:rPr>
              <w:t>﹞</w:t>
            </w:r>
            <w:r>
              <w:rPr>
                <w:rFonts w:eastAsia="仿宋"/>
                <w:sz w:val="18"/>
                <w:szCs w:val="18"/>
              </w:rPr>
              <w:t>139号文件精神.已纳入攀枝花市政府文化惠民工程。</w:t>
            </w:r>
            <w:r>
              <w:rPr>
                <w:rFonts w:hint="eastAsia" w:eastAsia="仿宋"/>
                <w:sz w:val="18"/>
                <w:szCs w:val="18"/>
              </w:rPr>
              <w:t>（</w:t>
            </w:r>
            <w:r>
              <w:rPr>
                <w:rFonts w:eastAsia="仿宋"/>
                <w:sz w:val="18"/>
                <w:szCs w:val="18"/>
              </w:rPr>
              <w:t>攀委办</w:t>
            </w:r>
            <w:r>
              <w:rPr>
                <w:rFonts w:hint="eastAsia" w:eastAsia="仿宋"/>
                <w:sz w:val="18"/>
                <w:szCs w:val="18"/>
                <w:lang w:eastAsia="zh-CN"/>
              </w:rPr>
              <w:t>发</w:t>
            </w:r>
            <w:r>
              <w:rPr>
                <w:rFonts w:hint="eastAsia" w:ascii="仿宋" w:hAnsi="仿宋" w:eastAsia="仿宋" w:cs="仿宋"/>
                <w:sz w:val="18"/>
                <w:szCs w:val="18"/>
              </w:rPr>
              <w:t>﹝</w:t>
            </w:r>
            <w:r>
              <w:rPr>
                <w:rFonts w:eastAsia="仿宋"/>
                <w:sz w:val="18"/>
                <w:szCs w:val="18"/>
              </w:rPr>
              <w:t>2012</w:t>
            </w:r>
            <w:r>
              <w:rPr>
                <w:rFonts w:hint="eastAsia" w:ascii="仿宋" w:hAnsi="仿宋" w:eastAsia="仿宋" w:cs="仿宋"/>
                <w:sz w:val="18"/>
                <w:szCs w:val="18"/>
              </w:rPr>
              <w:t>﹞</w:t>
            </w:r>
            <w:r>
              <w:rPr>
                <w:rFonts w:eastAsia="仿宋"/>
                <w:sz w:val="18"/>
                <w:szCs w:val="18"/>
              </w:rPr>
              <w:t>15号</w:t>
            </w:r>
            <w:r>
              <w:rPr>
                <w:rFonts w:hint="eastAsia" w:eastAsia="仿宋"/>
                <w:sz w:val="18"/>
                <w:szCs w:val="18"/>
              </w:rPr>
              <w:t>），</w:t>
            </w:r>
            <w:r>
              <w:rPr>
                <w:rFonts w:eastAsia="仿宋"/>
                <w:sz w:val="18"/>
                <w:szCs w:val="18"/>
              </w:rPr>
              <w:t>利用市中心广场所处的地域优势和人员密集优势，通过市文化馆的精心组织和专业人员的引领、示范作用，达到：（1）通过长年开展这项活动，丰富市民</w:t>
            </w:r>
            <w:r>
              <w:rPr>
                <w:rFonts w:hint="eastAsia" w:eastAsia="仿宋"/>
                <w:sz w:val="18"/>
                <w:szCs w:val="18"/>
              </w:rPr>
              <w:t>文化</w:t>
            </w:r>
            <w:r>
              <w:rPr>
                <w:rFonts w:eastAsia="仿宋"/>
                <w:sz w:val="18"/>
                <w:szCs w:val="18"/>
              </w:rPr>
              <w:t>生活，满足市民的文化需求，让市民更加热爱攀枝花；（2）提高广场群众文化活动的水平，为全市广场群众文化活动起到引领、示范的作用；（3）通过公益性培训，人们可以学习到各类文化艺术知识和技能，从而陶冶情操、培训素质、提高才情，有效满足更高精神文化生活的需求；（4）基层文化专干培训加强全市基层公共文化服务队伍建设，提高基层文化干部综合素质和公共文化服务能力，更好地配合我市创建第四批国家公共文化服务体系示范区工作。（5）长期坚持公共文化服务场地免费开放。</w:t>
            </w:r>
          </w:p>
        </w:tc>
        <w:tc>
          <w:tcPr>
            <w:tcW w:w="348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eastAsia="仿宋"/>
              </w:rPr>
            </w:pPr>
          </w:p>
          <w:p>
            <w:pPr>
              <w:rPr>
                <w:rFonts w:eastAsia="仿宋"/>
              </w:rPr>
            </w:pPr>
          </w:p>
          <w:p>
            <w:pPr>
              <w:rPr>
                <w:rFonts w:eastAsia="仿宋"/>
              </w:rPr>
            </w:pPr>
          </w:p>
          <w:p>
            <w:pPr>
              <w:widowControl/>
              <w:textAlignment w:val="top"/>
              <w:rPr>
                <w:rFonts w:eastAsia="仿宋"/>
              </w:rPr>
            </w:pPr>
            <w:r>
              <w:rPr>
                <w:rFonts w:eastAsia="仿宋"/>
                <w:sz w:val="18"/>
                <w:szCs w:val="18"/>
              </w:rPr>
              <w:t>全年完成中心广场《大家唱》《大家跳》群众文化活动550场；为来馆群众免费开放公共文化服务场所1400次；公益培训班26期，全市基层干部专干培训1次。</w:t>
            </w:r>
          </w:p>
        </w:tc>
      </w:tr>
      <w:tr>
        <w:tblPrEx>
          <w:tblCellMar>
            <w:top w:w="0" w:type="dxa"/>
            <w:left w:w="108" w:type="dxa"/>
            <w:bottom w:w="0" w:type="dxa"/>
            <w:right w:w="108" w:type="dxa"/>
          </w:tblCellMar>
        </w:tblPrEx>
        <w:trPr>
          <w:gridAfter w:val="1"/>
          <w:wAfter w:w="356" w:type="dxa"/>
          <w:trHeight w:val="693" w:hRule="atLeast"/>
        </w:trPr>
        <w:tc>
          <w:tcPr>
            <w:tcW w:w="189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eastAsia="仿宋"/>
                <w:sz w:val="28"/>
                <w:szCs w:val="28"/>
              </w:rPr>
            </w:pPr>
            <w:r>
              <w:rPr>
                <w:rFonts w:eastAsia="仿宋"/>
                <w:kern w:val="0"/>
                <w:sz w:val="28"/>
                <w:szCs w:val="28"/>
                <w:lang w:bidi="ar"/>
              </w:rPr>
              <w:t>年度绩效指标完成情况</w:t>
            </w:r>
          </w:p>
        </w:tc>
        <w:tc>
          <w:tcPr>
            <w:tcW w:w="139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eastAsia="仿宋"/>
                <w:kern w:val="0"/>
                <w:sz w:val="24"/>
                <w:lang w:bidi="ar"/>
              </w:rPr>
            </w:pPr>
            <w:r>
              <w:rPr>
                <w:rFonts w:eastAsia="仿宋"/>
                <w:kern w:val="0"/>
                <w:sz w:val="24"/>
                <w:lang w:bidi="ar"/>
              </w:rPr>
              <w:t>一级</w:t>
            </w:r>
          </w:p>
          <w:p>
            <w:pPr>
              <w:widowControl/>
              <w:jc w:val="center"/>
              <w:textAlignment w:val="center"/>
              <w:rPr>
                <w:rFonts w:eastAsia="仿宋"/>
                <w:sz w:val="24"/>
              </w:rPr>
            </w:pPr>
            <w:r>
              <w:rPr>
                <w:rFonts w:eastAsia="仿宋"/>
                <w:kern w:val="0"/>
                <w:sz w:val="24"/>
                <w:lang w:bidi="ar"/>
              </w:rPr>
              <w:t>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kern w:val="0"/>
                <w:sz w:val="24"/>
                <w:lang w:bidi="ar"/>
              </w:rPr>
            </w:pPr>
            <w:r>
              <w:rPr>
                <w:rFonts w:eastAsia="仿宋"/>
                <w:kern w:val="0"/>
                <w:sz w:val="24"/>
                <w:lang w:bidi="ar"/>
              </w:rPr>
              <w:t>二级</w:t>
            </w:r>
          </w:p>
          <w:p>
            <w:pPr>
              <w:widowControl/>
              <w:jc w:val="center"/>
              <w:textAlignment w:val="center"/>
              <w:rPr>
                <w:rFonts w:eastAsia="仿宋"/>
                <w:sz w:val="24"/>
              </w:rPr>
            </w:pPr>
            <w:r>
              <w:rPr>
                <w:rFonts w:eastAsia="仿宋"/>
                <w:kern w:val="0"/>
                <w:sz w:val="24"/>
                <w:lang w:bidi="ar"/>
              </w:rPr>
              <w:t>指标</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kern w:val="0"/>
                <w:sz w:val="24"/>
                <w:lang w:bidi="ar"/>
              </w:rPr>
            </w:pPr>
            <w:r>
              <w:rPr>
                <w:rFonts w:eastAsia="仿宋"/>
                <w:kern w:val="0"/>
                <w:sz w:val="24"/>
                <w:lang w:bidi="ar"/>
              </w:rPr>
              <w:t>三级</w:t>
            </w:r>
          </w:p>
          <w:p>
            <w:pPr>
              <w:widowControl/>
              <w:jc w:val="center"/>
              <w:textAlignment w:val="center"/>
              <w:rPr>
                <w:rFonts w:eastAsia="仿宋"/>
                <w:sz w:val="24"/>
              </w:rPr>
            </w:pPr>
            <w:r>
              <w:rPr>
                <w:rFonts w:eastAsia="仿宋"/>
                <w:kern w:val="0"/>
                <w:sz w:val="24"/>
                <w:lang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4"/>
              </w:rPr>
            </w:pPr>
            <w:r>
              <w:rPr>
                <w:rFonts w:eastAsia="仿宋"/>
                <w:kern w:val="0"/>
                <w:sz w:val="24"/>
                <w:lang w:bidi="ar"/>
              </w:rPr>
              <w:t>预期指标值</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
                <w:sz w:val="24"/>
              </w:rPr>
            </w:pPr>
            <w:r>
              <w:rPr>
                <w:rFonts w:eastAsia="仿宋"/>
                <w:kern w:val="0"/>
                <w:sz w:val="24"/>
                <w:lang w:bidi="ar"/>
              </w:rPr>
              <w:t>实际完成指标值</w:t>
            </w:r>
          </w:p>
        </w:tc>
      </w:tr>
      <w:tr>
        <w:tblPrEx>
          <w:tblCellMar>
            <w:top w:w="0" w:type="dxa"/>
            <w:left w:w="108" w:type="dxa"/>
            <w:bottom w:w="0" w:type="dxa"/>
            <w:right w:w="108" w:type="dxa"/>
          </w:tblCellMar>
        </w:tblPrEx>
        <w:trPr>
          <w:gridAfter w:val="1"/>
          <w:wAfter w:w="356" w:type="dxa"/>
          <w:trHeight w:val="90" w:hRule="atLeast"/>
        </w:trPr>
        <w:tc>
          <w:tcPr>
            <w:tcW w:w="189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仿宋"/>
                <w:sz w:val="28"/>
                <w:szCs w:val="28"/>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仿宋"/>
                <w:kern w:val="0"/>
                <w:sz w:val="28"/>
                <w:szCs w:val="28"/>
                <w:lang w:bidi="ar"/>
              </w:rPr>
            </w:pPr>
            <w:r>
              <w:rPr>
                <w:rFonts w:eastAsia="仿宋"/>
                <w:kern w:val="0"/>
                <w:sz w:val="28"/>
                <w:szCs w:val="28"/>
                <w:lang w:bidi="ar"/>
              </w:rPr>
              <w:t>完成</w:t>
            </w:r>
          </w:p>
          <w:p>
            <w:pPr>
              <w:widowControl/>
              <w:spacing w:line="320" w:lineRule="exact"/>
              <w:jc w:val="center"/>
              <w:textAlignment w:val="bottom"/>
              <w:rPr>
                <w:rFonts w:eastAsia="仿宋"/>
                <w:sz w:val="28"/>
                <w:szCs w:val="28"/>
              </w:rPr>
            </w:pPr>
            <w:r>
              <w:rPr>
                <w:rFonts w:eastAsia="仿宋"/>
                <w:kern w:val="0"/>
                <w:sz w:val="28"/>
                <w:szCs w:val="28"/>
                <w:lang w:bidi="ar"/>
              </w:rPr>
              <w:t>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仿宋"/>
                <w:sz w:val="24"/>
              </w:rPr>
            </w:pPr>
            <w:r>
              <w:rPr>
                <w:rFonts w:eastAsia="仿宋"/>
                <w:kern w:val="0"/>
                <w:sz w:val="24"/>
                <w:lang w:bidi="ar"/>
              </w:rPr>
              <w:t>数量指标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1.中心广场《大家唱》《大家跳》群众文化活动；2.免费开放公共文化服务场所；3.线下公益培训班暨全市基层文化专干培训。</w:t>
            </w:r>
          </w:p>
        </w:tc>
        <w:tc>
          <w:tcPr>
            <w:tcW w:w="13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活动550场：开放场地1400次；培训23期</w:t>
            </w:r>
          </w:p>
        </w:tc>
        <w:tc>
          <w:tcPr>
            <w:tcW w:w="20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已完成预期指标值</w:t>
            </w:r>
            <w:r>
              <w:rPr>
                <w:rFonts w:hint="eastAsia" w:eastAsia="仿宋"/>
                <w:sz w:val="18"/>
                <w:szCs w:val="18"/>
              </w:rPr>
              <w:t>。</w:t>
            </w:r>
          </w:p>
        </w:tc>
      </w:tr>
      <w:tr>
        <w:tblPrEx>
          <w:tblCellMar>
            <w:top w:w="0" w:type="dxa"/>
            <w:left w:w="108" w:type="dxa"/>
            <w:bottom w:w="0" w:type="dxa"/>
            <w:right w:w="108" w:type="dxa"/>
          </w:tblCellMar>
        </w:tblPrEx>
        <w:trPr>
          <w:gridAfter w:val="1"/>
          <w:wAfter w:w="356" w:type="dxa"/>
          <w:trHeight w:val="415" w:hRule="atLeast"/>
        </w:trPr>
        <w:tc>
          <w:tcPr>
            <w:tcW w:w="189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仿宋"/>
                <w:sz w:val="28"/>
                <w:szCs w:val="2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eastAsia="仿宋"/>
                <w:sz w:val="28"/>
                <w:szCs w:val="28"/>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仿宋"/>
                <w:sz w:val="24"/>
              </w:rPr>
            </w:pPr>
            <w:r>
              <w:rPr>
                <w:rFonts w:eastAsia="仿宋"/>
                <w:kern w:val="0"/>
                <w:sz w:val="24"/>
                <w:lang w:bidi="ar"/>
              </w:rPr>
              <w:t>质量指标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保障人民群众基本文化权益。</w:t>
            </w:r>
          </w:p>
        </w:tc>
        <w:tc>
          <w:tcPr>
            <w:tcW w:w="13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戏曲、歌舞、小品、器乐、美术书法摄影等</w:t>
            </w:r>
          </w:p>
        </w:tc>
        <w:tc>
          <w:tcPr>
            <w:tcW w:w="20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eastAsia="仿宋"/>
                <w:sz w:val="18"/>
                <w:szCs w:val="18"/>
              </w:rPr>
            </w:pPr>
            <w:r>
              <w:rPr>
                <w:rFonts w:eastAsia="仿宋"/>
                <w:sz w:val="18"/>
                <w:szCs w:val="18"/>
              </w:rPr>
              <w:t>提供人民群众对文化的需求，丰富市民文化生活。</w:t>
            </w:r>
          </w:p>
        </w:tc>
      </w:tr>
      <w:tr>
        <w:tblPrEx>
          <w:tblCellMar>
            <w:top w:w="0" w:type="dxa"/>
            <w:left w:w="108" w:type="dxa"/>
            <w:bottom w:w="0" w:type="dxa"/>
            <w:right w:w="108" w:type="dxa"/>
          </w:tblCellMar>
        </w:tblPrEx>
        <w:trPr>
          <w:gridAfter w:val="1"/>
          <w:wAfter w:w="356" w:type="dxa"/>
          <w:trHeight w:val="415" w:hRule="atLeast"/>
        </w:trPr>
        <w:tc>
          <w:tcPr>
            <w:tcW w:w="189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仿宋"/>
                <w:sz w:val="28"/>
                <w:szCs w:val="2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eastAsia="仿宋"/>
                <w:sz w:val="28"/>
                <w:szCs w:val="28"/>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仿宋"/>
                <w:sz w:val="24"/>
              </w:rPr>
            </w:pPr>
            <w:r>
              <w:rPr>
                <w:rFonts w:eastAsia="仿宋"/>
                <w:kern w:val="0"/>
                <w:sz w:val="24"/>
                <w:lang w:bidi="ar"/>
              </w:rPr>
              <w:t>时效指标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按工作计划。</w:t>
            </w:r>
          </w:p>
        </w:tc>
        <w:tc>
          <w:tcPr>
            <w:tcW w:w="13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2022年12月底已完成。</w:t>
            </w:r>
          </w:p>
        </w:tc>
        <w:tc>
          <w:tcPr>
            <w:tcW w:w="20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2022年12月底已完成</w:t>
            </w:r>
            <w:r>
              <w:rPr>
                <w:rFonts w:hint="eastAsia" w:eastAsia="仿宋"/>
                <w:sz w:val="18"/>
                <w:szCs w:val="18"/>
              </w:rPr>
              <w:t>。</w:t>
            </w:r>
          </w:p>
        </w:tc>
      </w:tr>
      <w:tr>
        <w:tblPrEx>
          <w:tblCellMar>
            <w:top w:w="0" w:type="dxa"/>
            <w:left w:w="108" w:type="dxa"/>
            <w:bottom w:w="0" w:type="dxa"/>
            <w:right w:w="108" w:type="dxa"/>
          </w:tblCellMar>
        </w:tblPrEx>
        <w:trPr>
          <w:gridAfter w:val="1"/>
          <w:wAfter w:w="356" w:type="dxa"/>
          <w:trHeight w:val="480" w:hRule="atLeast"/>
        </w:trPr>
        <w:tc>
          <w:tcPr>
            <w:tcW w:w="189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仿宋"/>
                <w:sz w:val="28"/>
                <w:szCs w:val="2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eastAsia="仿宋"/>
                <w:sz w:val="28"/>
                <w:szCs w:val="28"/>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仿宋"/>
                <w:sz w:val="24"/>
              </w:rPr>
            </w:pPr>
            <w:r>
              <w:rPr>
                <w:rFonts w:eastAsia="仿宋"/>
                <w:kern w:val="0"/>
                <w:sz w:val="24"/>
                <w:lang w:bidi="ar"/>
              </w:rPr>
              <w:t>成本指标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经费预算。</w:t>
            </w:r>
          </w:p>
        </w:tc>
        <w:tc>
          <w:tcPr>
            <w:tcW w:w="13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免费开放场地水电费、设备购置、更新、维修、维护费、聘用文艺骨干劳务费、</w:t>
            </w:r>
            <w:r>
              <w:rPr>
                <w:rFonts w:hint="eastAsia" w:eastAsia="仿宋"/>
                <w:sz w:val="18"/>
                <w:szCs w:val="18"/>
              </w:rPr>
              <w:t>其他</w:t>
            </w:r>
            <w:r>
              <w:rPr>
                <w:rFonts w:eastAsia="仿宋"/>
                <w:sz w:val="18"/>
                <w:szCs w:val="18"/>
              </w:rPr>
              <w:t>费用等。</w:t>
            </w:r>
          </w:p>
        </w:tc>
        <w:tc>
          <w:tcPr>
            <w:tcW w:w="20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 w:val="18"/>
                <w:szCs w:val="18"/>
              </w:rPr>
              <w:t>实际执行91.36万元。</w:t>
            </w:r>
          </w:p>
        </w:tc>
      </w:tr>
      <w:tr>
        <w:tblPrEx>
          <w:tblCellMar>
            <w:top w:w="0" w:type="dxa"/>
            <w:left w:w="108" w:type="dxa"/>
            <w:bottom w:w="0" w:type="dxa"/>
            <w:right w:w="108" w:type="dxa"/>
          </w:tblCellMar>
        </w:tblPrEx>
        <w:trPr>
          <w:gridAfter w:val="1"/>
          <w:wAfter w:w="356" w:type="dxa"/>
          <w:trHeight w:val="480" w:hRule="atLeast"/>
        </w:trPr>
        <w:tc>
          <w:tcPr>
            <w:tcW w:w="189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仿宋"/>
                <w:sz w:val="28"/>
                <w:szCs w:val="28"/>
              </w:rPr>
            </w:pP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仿宋"/>
                <w:sz w:val="28"/>
                <w:szCs w:val="28"/>
              </w:rPr>
            </w:pPr>
            <w:r>
              <w:rPr>
                <w:rFonts w:eastAsia="仿宋"/>
                <w:kern w:val="0"/>
                <w:sz w:val="28"/>
                <w:szCs w:val="28"/>
                <w:lang w:bidi="ar"/>
              </w:rPr>
              <w:t>效益</w:t>
            </w:r>
            <w:r>
              <w:rPr>
                <w:rFonts w:eastAsia="仿宋"/>
                <w:kern w:val="0"/>
                <w:sz w:val="28"/>
                <w:szCs w:val="28"/>
                <w:lang w:bidi="ar"/>
              </w:rPr>
              <w:br w:type="textWrapping"/>
            </w:r>
            <w:r>
              <w:rPr>
                <w:rFonts w:eastAsia="仿宋"/>
                <w:kern w:val="0"/>
                <w:sz w:val="28"/>
                <w:szCs w:val="28"/>
                <w:lang w:bidi="ar"/>
              </w:rPr>
              <w:t>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仿宋"/>
                <w:sz w:val="24"/>
              </w:rPr>
            </w:pPr>
            <w:r>
              <w:rPr>
                <w:rFonts w:eastAsia="仿宋"/>
                <w:kern w:val="0"/>
                <w:sz w:val="24"/>
                <w:lang w:bidi="ar"/>
              </w:rPr>
              <w:t>经济效益指标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eastAsia="仿宋"/>
                <w:sz w:val="28"/>
                <w:szCs w:val="28"/>
              </w:rPr>
            </w:pPr>
            <w:r>
              <w:rPr>
                <w:rFonts w:eastAsia="仿宋"/>
                <w:sz w:val="18"/>
                <w:szCs w:val="18"/>
              </w:rPr>
              <w:t>繁荣文旅市场，促进文旅经济增长。</w:t>
            </w:r>
          </w:p>
        </w:tc>
        <w:tc>
          <w:tcPr>
            <w:tcW w:w="13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eastAsia="仿宋"/>
                <w:sz w:val="18"/>
                <w:szCs w:val="18"/>
              </w:rPr>
            </w:pPr>
            <w:r>
              <w:rPr>
                <w:rFonts w:eastAsia="仿宋"/>
                <w:sz w:val="18"/>
                <w:szCs w:val="18"/>
              </w:rPr>
              <w:t>繁荣文旅市场，促进文旅经济增长。</w:t>
            </w:r>
          </w:p>
        </w:tc>
        <w:tc>
          <w:tcPr>
            <w:tcW w:w="2085" w:type="dxa"/>
            <w:tcBorders>
              <w:top w:val="single" w:color="000000" w:sz="4" w:space="0"/>
              <w:left w:val="single" w:color="000000" w:sz="4" w:space="0"/>
              <w:bottom w:val="single" w:color="000000" w:sz="4" w:space="0"/>
              <w:right w:val="single" w:color="000000" w:sz="4" w:space="0"/>
            </w:tcBorders>
            <w:shd w:val="clear" w:color="auto" w:fill="auto"/>
          </w:tcPr>
          <w:p>
            <w:pPr>
              <w:widowControl/>
              <w:tabs>
                <w:tab w:val="left" w:pos="315"/>
              </w:tabs>
              <w:spacing w:line="320" w:lineRule="exact"/>
              <w:textAlignment w:val="bottom"/>
              <w:rPr>
                <w:rFonts w:eastAsia="仿宋"/>
                <w:sz w:val="28"/>
                <w:szCs w:val="28"/>
              </w:rPr>
            </w:pPr>
            <w:r>
              <w:rPr>
                <w:rFonts w:eastAsia="仿宋"/>
                <w:sz w:val="18"/>
                <w:szCs w:val="18"/>
              </w:rPr>
              <w:t>繁荣文旅市场，促进文旅经济增长。</w:t>
            </w:r>
          </w:p>
        </w:tc>
      </w:tr>
      <w:tr>
        <w:tblPrEx>
          <w:tblCellMar>
            <w:top w:w="0" w:type="dxa"/>
            <w:left w:w="108" w:type="dxa"/>
            <w:bottom w:w="0" w:type="dxa"/>
            <w:right w:w="108" w:type="dxa"/>
          </w:tblCellMar>
        </w:tblPrEx>
        <w:trPr>
          <w:gridAfter w:val="1"/>
          <w:wAfter w:w="356" w:type="dxa"/>
          <w:trHeight w:val="3500" w:hRule="atLeast"/>
        </w:trPr>
        <w:tc>
          <w:tcPr>
            <w:tcW w:w="189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仿宋"/>
                <w:sz w:val="28"/>
                <w:szCs w:val="2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eastAsia="仿宋"/>
                <w:sz w:val="28"/>
                <w:szCs w:val="28"/>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仿宋"/>
                <w:sz w:val="24"/>
              </w:rPr>
            </w:pPr>
            <w:r>
              <w:rPr>
                <w:rFonts w:eastAsia="仿宋"/>
                <w:kern w:val="0"/>
                <w:sz w:val="24"/>
                <w:lang w:bidi="ar"/>
              </w:rPr>
              <w:t>社会效益指标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Pr>
          <w:p>
            <w:pPr>
              <w:widowControl/>
              <w:tabs>
                <w:tab w:val="left" w:pos="358"/>
              </w:tabs>
              <w:spacing w:line="320" w:lineRule="exact"/>
              <w:jc w:val="center"/>
              <w:textAlignment w:val="bottom"/>
              <w:rPr>
                <w:rFonts w:eastAsia="仿宋"/>
                <w:sz w:val="28"/>
                <w:szCs w:val="28"/>
              </w:rPr>
            </w:pPr>
            <w:r>
              <w:rPr>
                <w:rFonts w:eastAsia="仿宋"/>
                <w:sz w:val="18"/>
                <w:szCs w:val="18"/>
              </w:rPr>
              <w:t>加强公共文化服务建设，完善公共文化服务体系，提高公共文化服务效能，创新。率先建成覆盖城乡、便捷高效、保基本、促公平的现代公共文化服务体系，有效保障人民群众基本文化权益。</w:t>
            </w:r>
          </w:p>
        </w:tc>
        <w:tc>
          <w:tcPr>
            <w:tcW w:w="13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28"/>
                <w:szCs w:val="28"/>
              </w:rPr>
            </w:pPr>
            <w:r>
              <w:rPr>
                <w:rFonts w:eastAsia="仿宋"/>
                <w:sz w:val="18"/>
                <w:szCs w:val="18"/>
              </w:rPr>
              <w:t>加强公共文化服务建设，完善公共文化服务体系，提高公共文化服务效能，创新。率先建成覆盖城乡、便捷高效、保基本、促公平的现代公共文化服务体系，有效保障人民群众基本文化权益。</w:t>
            </w:r>
          </w:p>
        </w:tc>
        <w:tc>
          <w:tcPr>
            <w:tcW w:w="20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eastAsia="仿宋"/>
                <w:sz w:val="28"/>
                <w:szCs w:val="28"/>
              </w:rPr>
            </w:pPr>
            <w:r>
              <w:rPr>
                <w:rFonts w:eastAsia="仿宋"/>
                <w:sz w:val="18"/>
                <w:szCs w:val="18"/>
              </w:rPr>
              <w:t>公共文化服务场馆免费开放，受益群众面广，提供更多的文化活动场地设施、更丰富的文化服务，不断地满足</w:t>
            </w:r>
            <w:r>
              <w:rPr>
                <w:rFonts w:hint="eastAsia" w:eastAsia="仿宋"/>
                <w:sz w:val="18"/>
                <w:szCs w:val="18"/>
              </w:rPr>
              <w:t>人民群众</w:t>
            </w:r>
            <w:r>
              <w:rPr>
                <w:rFonts w:eastAsia="仿宋"/>
                <w:sz w:val="18"/>
                <w:szCs w:val="18"/>
              </w:rPr>
              <w:t>的文化需求，丰富群众的业余生活，提升群众的生活质量，为群众提供精神食粮，从而提升国民的文化素质、加快经济发展，促进社会进步</w:t>
            </w:r>
            <w:r>
              <w:rPr>
                <w:rFonts w:eastAsia="仿宋"/>
                <w:sz w:val="28"/>
                <w:szCs w:val="28"/>
              </w:rPr>
              <w:t>。</w:t>
            </w:r>
          </w:p>
        </w:tc>
      </w:tr>
      <w:tr>
        <w:tblPrEx>
          <w:tblCellMar>
            <w:top w:w="0" w:type="dxa"/>
            <w:left w:w="108" w:type="dxa"/>
            <w:bottom w:w="0" w:type="dxa"/>
            <w:right w:w="108" w:type="dxa"/>
          </w:tblCellMar>
        </w:tblPrEx>
        <w:trPr>
          <w:gridAfter w:val="1"/>
          <w:wAfter w:w="356" w:type="dxa"/>
          <w:trHeight w:val="577" w:hRule="atLeast"/>
        </w:trPr>
        <w:tc>
          <w:tcPr>
            <w:tcW w:w="189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仿宋"/>
                <w:sz w:val="28"/>
                <w:szCs w:val="2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eastAsia="仿宋"/>
                <w:sz w:val="28"/>
                <w:szCs w:val="28"/>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423" w:leftChars="87" w:hanging="240" w:hangingChars="100"/>
              <w:jc w:val="center"/>
              <w:textAlignment w:val="bottom"/>
              <w:rPr>
                <w:rFonts w:eastAsia="仿宋"/>
                <w:sz w:val="24"/>
              </w:rPr>
            </w:pPr>
            <w:r>
              <w:rPr>
                <w:rFonts w:eastAsia="仿宋"/>
                <w:kern w:val="0"/>
                <w:sz w:val="24"/>
                <w:lang w:bidi="ar"/>
              </w:rPr>
              <w:t>生态效益  指标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eastAsia="仿宋"/>
                <w:sz w:val="28"/>
                <w:szCs w:val="28"/>
              </w:rPr>
            </w:pPr>
            <w:r>
              <w:rPr>
                <w:rFonts w:eastAsia="仿宋"/>
                <w:sz w:val="18"/>
                <w:szCs w:val="18"/>
              </w:rPr>
              <w:t>文化、旅游生态发展。</w:t>
            </w:r>
          </w:p>
        </w:tc>
        <w:tc>
          <w:tcPr>
            <w:tcW w:w="13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eastAsia="仿宋"/>
                <w:sz w:val="28"/>
                <w:szCs w:val="28"/>
              </w:rPr>
            </w:pPr>
            <w:r>
              <w:rPr>
                <w:rFonts w:eastAsia="仿宋"/>
                <w:sz w:val="18"/>
                <w:szCs w:val="18"/>
              </w:rPr>
              <w:t>文化、旅游生态发展。</w:t>
            </w:r>
          </w:p>
        </w:tc>
        <w:tc>
          <w:tcPr>
            <w:tcW w:w="20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eastAsia="仿宋"/>
                <w:sz w:val="28"/>
                <w:szCs w:val="28"/>
              </w:rPr>
            </w:pPr>
            <w:r>
              <w:rPr>
                <w:rFonts w:eastAsia="仿宋"/>
                <w:sz w:val="18"/>
                <w:szCs w:val="18"/>
              </w:rPr>
              <w:t>调整产业结构，促进生态发展。</w:t>
            </w:r>
          </w:p>
        </w:tc>
      </w:tr>
      <w:tr>
        <w:tblPrEx>
          <w:tblCellMar>
            <w:top w:w="0" w:type="dxa"/>
            <w:left w:w="108" w:type="dxa"/>
            <w:bottom w:w="0" w:type="dxa"/>
            <w:right w:w="108" w:type="dxa"/>
          </w:tblCellMar>
        </w:tblPrEx>
        <w:trPr>
          <w:gridAfter w:val="1"/>
          <w:wAfter w:w="356" w:type="dxa"/>
          <w:trHeight w:val="480" w:hRule="atLeast"/>
        </w:trPr>
        <w:tc>
          <w:tcPr>
            <w:tcW w:w="1890" w:type="dxa"/>
            <w:vMerge w:val="continue"/>
            <w:tcBorders>
              <w:left w:val="single" w:color="000000" w:sz="4" w:space="0"/>
              <w:right w:val="single" w:color="000000" w:sz="4" w:space="0"/>
            </w:tcBorders>
            <w:shd w:val="clear" w:color="auto" w:fill="auto"/>
            <w:vAlign w:val="center"/>
          </w:tcPr>
          <w:p>
            <w:pPr>
              <w:spacing w:line="320" w:lineRule="exact"/>
              <w:jc w:val="center"/>
              <w:rPr>
                <w:rFonts w:eastAsia="仿宋"/>
                <w:sz w:val="28"/>
                <w:szCs w:val="28"/>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eastAsia="仿宋"/>
                <w:sz w:val="28"/>
                <w:szCs w:val="28"/>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仿宋"/>
                <w:sz w:val="24"/>
              </w:rPr>
            </w:pPr>
            <w:r>
              <w:rPr>
                <w:rFonts w:eastAsia="仿宋"/>
                <w:kern w:val="0"/>
                <w:sz w:val="24"/>
                <w:lang w:bidi="ar"/>
              </w:rPr>
              <w:t>可持续影响指标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360" w:firstLineChars="200"/>
              <w:textAlignment w:val="bottom"/>
              <w:rPr>
                <w:rFonts w:eastAsia="仿宋"/>
                <w:sz w:val="18"/>
                <w:szCs w:val="18"/>
              </w:rPr>
            </w:pPr>
            <w:r>
              <w:rPr>
                <w:rFonts w:eastAsia="仿宋"/>
                <w:sz w:val="18"/>
                <w:szCs w:val="18"/>
              </w:rPr>
              <w:t>通过长年坚持和不断创新，打造成为具有本市特色的群众文化活动项目品牌，让群众的业余文化生活越来越丰富多彩。</w:t>
            </w:r>
          </w:p>
        </w:tc>
        <w:tc>
          <w:tcPr>
            <w:tcW w:w="13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eastAsia="仿宋"/>
                <w:sz w:val="28"/>
                <w:szCs w:val="28"/>
              </w:rPr>
            </w:pPr>
            <w:r>
              <w:rPr>
                <w:rFonts w:eastAsia="仿宋"/>
                <w:sz w:val="18"/>
                <w:szCs w:val="18"/>
              </w:rPr>
              <w:t>通过长年坚持和不断创新，打造成为具有本市特色的群众文化活动项目品牌，让群众的业余文化生活越来越丰富多彩。</w:t>
            </w:r>
          </w:p>
        </w:tc>
        <w:tc>
          <w:tcPr>
            <w:tcW w:w="20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360" w:firstLineChars="200"/>
              <w:textAlignment w:val="bottom"/>
              <w:rPr>
                <w:rFonts w:eastAsia="仿宋"/>
                <w:sz w:val="28"/>
                <w:szCs w:val="28"/>
              </w:rPr>
            </w:pPr>
            <w:r>
              <w:rPr>
                <w:rFonts w:eastAsia="仿宋"/>
                <w:sz w:val="18"/>
                <w:szCs w:val="18"/>
              </w:rPr>
              <w:t>丰富了我市人民群众的文化生活，带动了更多群众投身到健康有益的文艺活动中，倡导了社会主义新风尚，充分发挥典型示范作用，为繁荣我市群众文化起到了巨大作用</w:t>
            </w:r>
            <w:r>
              <w:rPr>
                <w:rFonts w:eastAsia="仿宋"/>
                <w:sz w:val="28"/>
                <w:szCs w:val="28"/>
              </w:rPr>
              <w:t>。</w:t>
            </w:r>
          </w:p>
        </w:tc>
      </w:tr>
      <w:tr>
        <w:tblPrEx>
          <w:tblCellMar>
            <w:top w:w="0" w:type="dxa"/>
            <w:left w:w="108" w:type="dxa"/>
            <w:bottom w:w="0" w:type="dxa"/>
            <w:right w:w="108" w:type="dxa"/>
          </w:tblCellMar>
        </w:tblPrEx>
        <w:trPr>
          <w:gridAfter w:val="1"/>
          <w:wAfter w:w="356" w:type="dxa"/>
          <w:trHeight w:val="530" w:hRule="atLeast"/>
        </w:trPr>
        <w:tc>
          <w:tcPr>
            <w:tcW w:w="189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
                <w:sz w:val="28"/>
                <w:szCs w:val="2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eastAsia="仿宋"/>
                <w:sz w:val="28"/>
                <w:szCs w:val="28"/>
              </w:rPr>
            </w:pPr>
            <w:r>
              <w:rPr>
                <w:rFonts w:eastAsia="仿宋"/>
                <w:kern w:val="0"/>
                <w:sz w:val="28"/>
                <w:szCs w:val="28"/>
                <w:lang w:bidi="ar"/>
              </w:rPr>
              <w:t>满意</w:t>
            </w:r>
            <w:r>
              <w:rPr>
                <w:rFonts w:eastAsia="仿宋"/>
                <w:kern w:val="0"/>
                <w:sz w:val="28"/>
                <w:szCs w:val="28"/>
                <w:lang w:bidi="ar"/>
              </w:rPr>
              <w:br w:type="textWrapping"/>
            </w:r>
            <w:r>
              <w:rPr>
                <w:rFonts w:eastAsia="仿宋"/>
                <w:kern w:val="0"/>
                <w:sz w:val="28"/>
                <w:szCs w:val="28"/>
                <w:lang w:bidi="ar"/>
              </w:rPr>
              <w:t>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eastAsia="仿宋"/>
                <w:kern w:val="0"/>
                <w:sz w:val="24"/>
                <w:lang w:bidi="ar"/>
              </w:rPr>
            </w:pPr>
            <w:r>
              <w:rPr>
                <w:rFonts w:eastAsia="仿宋"/>
                <w:kern w:val="0"/>
                <w:sz w:val="24"/>
                <w:lang w:bidi="ar"/>
              </w:rPr>
              <w:t>满意度</w:t>
            </w:r>
          </w:p>
          <w:p>
            <w:pPr>
              <w:widowControl/>
              <w:spacing w:line="320" w:lineRule="exact"/>
              <w:jc w:val="center"/>
              <w:textAlignment w:val="bottom"/>
              <w:rPr>
                <w:rFonts w:eastAsia="仿宋"/>
                <w:sz w:val="24"/>
              </w:rPr>
            </w:pPr>
            <w:r>
              <w:rPr>
                <w:rFonts w:eastAsia="仿宋"/>
                <w:kern w:val="0"/>
                <w:sz w:val="24"/>
                <w:lang w:bidi="ar"/>
              </w:rPr>
              <w:t>指标</w:t>
            </w:r>
          </w:p>
        </w:tc>
        <w:tc>
          <w:tcPr>
            <w:tcW w:w="2670"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center"/>
              <w:textAlignment w:val="bottom"/>
              <w:rPr>
                <w:rFonts w:eastAsia="仿宋"/>
                <w:sz w:val="18"/>
                <w:szCs w:val="18"/>
              </w:rPr>
            </w:pPr>
            <w:r>
              <w:rPr>
                <w:rFonts w:eastAsia="仿宋"/>
                <w:szCs w:val="21"/>
              </w:rPr>
              <w:t>群众满意度。</w:t>
            </w:r>
          </w:p>
        </w:tc>
        <w:tc>
          <w:tcPr>
            <w:tcW w:w="139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eastAsia="仿宋"/>
                <w:sz w:val="28"/>
                <w:szCs w:val="28"/>
              </w:rPr>
            </w:pPr>
            <w:r>
              <w:rPr>
                <w:rFonts w:eastAsia="仿宋"/>
                <w:sz w:val="18"/>
                <w:szCs w:val="18"/>
              </w:rPr>
              <w:t>满意。</w:t>
            </w:r>
          </w:p>
        </w:tc>
        <w:tc>
          <w:tcPr>
            <w:tcW w:w="2085"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eastAsia="仿宋"/>
                <w:sz w:val="28"/>
                <w:szCs w:val="28"/>
              </w:rPr>
            </w:pPr>
            <w:r>
              <w:rPr>
                <w:rFonts w:eastAsia="仿宋"/>
                <w:szCs w:val="21"/>
              </w:rPr>
              <w:t>服务对象及群众满意。</w:t>
            </w:r>
          </w:p>
        </w:tc>
      </w:tr>
    </w:tbl>
    <w:p>
      <w:pPr>
        <w:pStyle w:val="2"/>
        <w:spacing w:before="93"/>
        <w:rPr>
          <w:rFonts w:ascii="Times New Roman"/>
        </w:rPr>
      </w:pPr>
    </w:p>
    <w:p>
      <w:pPr>
        <w:spacing w:line="600" w:lineRule="exact"/>
        <w:jc w:val="center"/>
        <w:outlineLvl w:val="0"/>
        <w:rPr>
          <w:rFonts w:eastAsia="黑体"/>
          <w:sz w:val="44"/>
          <w:szCs w:val="44"/>
        </w:rPr>
      </w:pPr>
      <w:bookmarkStart w:id="131" w:name="_Toc9351"/>
      <w:bookmarkStart w:id="132" w:name="_Toc6670"/>
      <w:bookmarkStart w:id="133" w:name="_Toc7724"/>
      <w:bookmarkStart w:id="134" w:name="_Toc28302"/>
      <w:bookmarkStart w:id="135" w:name="_Toc15396618"/>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pStyle w:val="2"/>
        <w:spacing w:before="93"/>
        <w:rPr>
          <w:rFonts w:ascii="Times New Roman"/>
        </w:rPr>
      </w:pPr>
    </w:p>
    <w:p>
      <w:pPr>
        <w:pStyle w:val="2"/>
        <w:spacing w:before="93"/>
        <w:rPr>
          <w:rFonts w:ascii="Times New Roman"/>
          <w:sz w:val="32"/>
          <w:szCs w:val="32"/>
          <w:shd w:val="clear" w:color="auto" w:fill="FFFFFF"/>
          <w:lang w:val="zh-CN"/>
        </w:rPr>
      </w:pPr>
      <w:r>
        <w:rPr>
          <w:rFonts w:ascii="Times New Roman"/>
          <w:sz w:val="32"/>
          <w:szCs w:val="32"/>
          <w:shd w:val="clear" w:color="auto" w:fill="FFFFFF"/>
          <w:lang w:val="zh-CN"/>
        </w:rPr>
        <w:t>附件2-3</w:t>
      </w:r>
    </w:p>
    <w:p>
      <w:pPr>
        <w:pStyle w:val="35"/>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攀枝花中国三线建设博物馆</w:t>
      </w:r>
    </w:p>
    <w:p>
      <w:pPr>
        <w:pStyle w:val="35"/>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后勤保障经费项目支出绩效自评报告</w:t>
      </w:r>
    </w:p>
    <w:p>
      <w:pPr>
        <w:spacing w:line="600" w:lineRule="exact"/>
        <w:jc w:val="center"/>
        <w:rPr>
          <w:rFonts w:eastAsia="方正小标宋_GBK"/>
          <w:sz w:val="44"/>
          <w:szCs w:val="44"/>
        </w:rPr>
      </w:pPr>
    </w:p>
    <w:p>
      <w:pPr>
        <w:spacing w:line="580" w:lineRule="exact"/>
        <w:ind w:firstLine="640" w:firstLineChars="200"/>
        <w:rPr>
          <w:rFonts w:eastAsia="黑体"/>
          <w:bCs/>
          <w:sz w:val="32"/>
          <w:szCs w:val="32"/>
        </w:rPr>
      </w:pPr>
      <w:r>
        <w:rPr>
          <w:rFonts w:eastAsia="黑体"/>
          <w:bCs/>
          <w:sz w:val="32"/>
          <w:szCs w:val="32"/>
        </w:rPr>
        <w:t>一、项目概况</w:t>
      </w:r>
    </w:p>
    <w:p>
      <w:pPr>
        <w:spacing w:line="580" w:lineRule="exact"/>
        <w:ind w:firstLine="640" w:firstLineChars="200"/>
        <w:rPr>
          <w:rFonts w:eastAsia="楷体_GB2312"/>
          <w:sz w:val="32"/>
          <w:szCs w:val="32"/>
        </w:rPr>
      </w:pPr>
      <w:r>
        <w:rPr>
          <w:rFonts w:eastAsia="楷体_GB2312"/>
          <w:sz w:val="32"/>
          <w:szCs w:val="32"/>
        </w:rPr>
        <w:t>（一）项目基本情况</w:t>
      </w:r>
      <w:r>
        <w:rPr>
          <w:rFonts w:hint="eastAsia" w:eastAsia="楷体_GB2312"/>
          <w:sz w:val="32"/>
          <w:szCs w:val="32"/>
        </w:rPr>
        <w:t>。</w:t>
      </w:r>
    </w:p>
    <w:p>
      <w:pPr>
        <w:spacing w:line="600" w:lineRule="exact"/>
        <w:ind w:firstLine="640" w:firstLineChars="200"/>
        <w:rPr>
          <w:rFonts w:eastAsia="仿宋_GB2312"/>
          <w:sz w:val="32"/>
          <w:szCs w:val="32"/>
        </w:rPr>
      </w:pPr>
      <w:r>
        <w:rPr>
          <w:rFonts w:eastAsia="仿宋_GB2312"/>
          <w:sz w:val="32"/>
          <w:szCs w:val="32"/>
        </w:rPr>
        <w:t>1、攀枝花中国三线建设博物馆的安全保卫、保洁、绿化、水电项目维护等工作确保了博物馆的正常稳定运行，保证各项免费开放工作稳步进行。</w:t>
      </w:r>
    </w:p>
    <w:p>
      <w:pPr>
        <w:spacing w:line="600" w:lineRule="exact"/>
        <w:ind w:firstLine="640" w:firstLineChars="200"/>
        <w:rPr>
          <w:rFonts w:eastAsia="仿宋_GB2312"/>
          <w:sz w:val="32"/>
          <w:szCs w:val="32"/>
        </w:rPr>
      </w:pPr>
      <w:r>
        <w:rPr>
          <w:rFonts w:eastAsia="仿宋_GB2312"/>
          <w:sz w:val="32"/>
          <w:szCs w:val="32"/>
        </w:rPr>
        <w:t>2、项目立项依据</w:t>
      </w:r>
      <w:r>
        <w:rPr>
          <w:rFonts w:hint="eastAsia" w:eastAsia="仿宋_GB2312"/>
          <w:sz w:val="32"/>
          <w:szCs w:val="32"/>
        </w:rPr>
        <w:t>。</w:t>
      </w:r>
    </w:p>
    <w:p>
      <w:pPr>
        <w:autoSpaceDE w:val="0"/>
        <w:autoSpaceDN w:val="0"/>
        <w:adjustRightInd w:val="0"/>
        <w:spacing w:line="600" w:lineRule="exact"/>
        <w:ind w:firstLine="640" w:firstLineChars="200"/>
        <w:jc w:val="left"/>
        <w:rPr>
          <w:rFonts w:eastAsia="仿宋_GB2312"/>
          <w:sz w:val="32"/>
          <w:szCs w:val="32"/>
        </w:rPr>
      </w:pPr>
      <w:r>
        <w:rPr>
          <w:rFonts w:eastAsia="仿宋_GB2312"/>
          <w:kern w:val="0"/>
          <w:sz w:val="32"/>
          <w:szCs w:val="32"/>
        </w:rPr>
        <w:t>《关于攀枝花中国三线建设博物馆购买后勤保障服务相关事宜的请示》（攀文广新〔2018〕37号）及市领导的批复。</w:t>
      </w:r>
    </w:p>
    <w:p>
      <w:pPr>
        <w:spacing w:line="600" w:lineRule="exact"/>
        <w:ind w:firstLine="640" w:firstLineChars="200"/>
        <w:rPr>
          <w:rFonts w:eastAsia="仿宋_GB2312"/>
          <w:sz w:val="32"/>
          <w:szCs w:val="32"/>
        </w:rPr>
      </w:pPr>
      <w:r>
        <w:rPr>
          <w:rFonts w:eastAsia="仿宋_GB2312"/>
          <w:sz w:val="32"/>
          <w:szCs w:val="32"/>
        </w:rPr>
        <w:t>3、资金管理办法主要依据</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严格按照《博物馆专项资金管理制度》和《政府会计制度》管理。</w:t>
      </w:r>
    </w:p>
    <w:p>
      <w:pPr>
        <w:spacing w:line="600" w:lineRule="exact"/>
        <w:ind w:firstLine="640" w:firstLineChars="200"/>
        <w:rPr>
          <w:rFonts w:eastAsia="仿宋_GB2312"/>
          <w:sz w:val="32"/>
          <w:szCs w:val="32"/>
        </w:rPr>
      </w:pPr>
      <w:r>
        <w:rPr>
          <w:rFonts w:eastAsia="仿宋_GB2312"/>
          <w:sz w:val="32"/>
          <w:szCs w:val="32"/>
        </w:rPr>
        <w:t>4、资金分配的原则及考虑因素</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根据明细项目需求，资金分配为：1、安保服务费154.992万元；2、物业服务费64.84万元。</w:t>
      </w:r>
    </w:p>
    <w:p>
      <w:pPr>
        <w:spacing w:line="580" w:lineRule="exact"/>
        <w:ind w:firstLine="640" w:firstLineChars="200"/>
        <w:rPr>
          <w:rFonts w:eastAsia="楷体_GB2312"/>
          <w:sz w:val="32"/>
          <w:szCs w:val="32"/>
        </w:rPr>
      </w:pPr>
      <w:r>
        <w:rPr>
          <w:rFonts w:eastAsia="楷体_GB2312"/>
          <w:sz w:val="32"/>
          <w:szCs w:val="32"/>
        </w:rPr>
        <w:t>（二）项目绩效目标</w:t>
      </w:r>
      <w:r>
        <w:rPr>
          <w:rFonts w:hint="eastAsia" w:eastAsia="楷体_GB2312"/>
          <w:sz w:val="32"/>
          <w:szCs w:val="32"/>
        </w:rPr>
        <w:t>。</w:t>
      </w:r>
    </w:p>
    <w:p>
      <w:pPr>
        <w:spacing w:line="600" w:lineRule="exact"/>
        <w:ind w:firstLine="640" w:firstLineChars="200"/>
        <w:rPr>
          <w:rFonts w:eastAsia="仿宋_GB2312"/>
          <w:sz w:val="32"/>
          <w:szCs w:val="32"/>
        </w:rPr>
      </w:pPr>
      <w:r>
        <w:rPr>
          <w:rFonts w:eastAsia="仿宋_GB2312"/>
          <w:sz w:val="32"/>
          <w:szCs w:val="32"/>
        </w:rPr>
        <w:t>1、项目主要内容</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博物馆的安全保卫购买服务和物业管理购买服务支出确保了博物馆的正常稳定运行，保证各项免费开放工作稳步进行</w:t>
      </w:r>
    </w:p>
    <w:p>
      <w:pPr>
        <w:spacing w:line="600" w:lineRule="exact"/>
        <w:ind w:firstLine="640" w:firstLineChars="200"/>
        <w:rPr>
          <w:rFonts w:eastAsia="仿宋_GB2312"/>
          <w:sz w:val="32"/>
          <w:szCs w:val="32"/>
        </w:rPr>
      </w:pPr>
      <w:r>
        <w:rPr>
          <w:rFonts w:eastAsia="仿宋_GB2312"/>
          <w:sz w:val="32"/>
          <w:szCs w:val="32"/>
        </w:rPr>
        <w:t>2、项目应实现的具体绩效目标</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①上下水管道、落水管、垃圾道、污水井、化粪池、照明、综合布线系统、消防设施设备、计算机系统、馆内网络系统、建筑物防雷设施的维护、养护、运行和管理工作。</w:t>
      </w:r>
    </w:p>
    <w:p>
      <w:pPr>
        <w:spacing w:line="600" w:lineRule="exact"/>
        <w:ind w:firstLine="640" w:firstLineChars="200"/>
        <w:rPr>
          <w:rFonts w:eastAsia="仿宋_GB2312"/>
          <w:sz w:val="32"/>
          <w:szCs w:val="32"/>
        </w:rPr>
      </w:pPr>
      <w:r>
        <w:rPr>
          <w:rFonts w:eastAsia="仿宋_GB2312"/>
          <w:sz w:val="32"/>
          <w:szCs w:val="32"/>
        </w:rPr>
        <w:t>②公共环境卫生、展柜、办公区域、会议室、会客厅及卫生间的清洁卫生工作及垃圾收集工作。</w:t>
      </w:r>
    </w:p>
    <w:p>
      <w:pPr>
        <w:spacing w:line="600" w:lineRule="exact"/>
        <w:ind w:firstLine="640" w:firstLineChars="200"/>
        <w:rPr>
          <w:rFonts w:eastAsia="仿宋_GB2312"/>
          <w:sz w:val="32"/>
          <w:szCs w:val="32"/>
        </w:rPr>
      </w:pPr>
      <w:r>
        <w:rPr>
          <w:rFonts w:eastAsia="仿宋_GB2312"/>
          <w:sz w:val="32"/>
          <w:szCs w:val="32"/>
        </w:rPr>
        <w:t>③博物馆区域内的绿化修剪、养护、施肥、灭虫、浇灌等工作。</w:t>
      </w:r>
    </w:p>
    <w:p>
      <w:pPr>
        <w:spacing w:line="600" w:lineRule="exact"/>
        <w:ind w:firstLine="640" w:firstLineChars="200"/>
        <w:rPr>
          <w:rFonts w:eastAsia="仿宋_GB2312"/>
          <w:sz w:val="32"/>
          <w:szCs w:val="32"/>
        </w:rPr>
      </w:pPr>
      <w:r>
        <w:rPr>
          <w:rFonts w:eastAsia="仿宋_GB2312"/>
          <w:sz w:val="32"/>
          <w:szCs w:val="32"/>
        </w:rPr>
        <w:t>④监控中心、库房、前后门岗和夜间巡逻实行24小时值守。</w:t>
      </w:r>
    </w:p>
    <w:p>
      <w:pPr>
        <w:spacing w:line="600" w:lineRule="exact"/>
        <w:ind w:firstLine="640" w:firstLineChars="200"/>
        <w:rPr>
          <w:rFonts w:eastAsia="仿宋_GB2312"/>
          <w:sz w:val="32"/>
          <w:szCs w:val="32"/>
        </w:rPr>
      </w:pPr>
      <w:r>
        <w:rPr>
          <w:rFonts w:eastAsia="仿宋_GB2312"/>
          <w:sz w:val="32"/>
          <w:szCs w:val="32"/>
        </w:rPr>
        <w:t>⑤进门安检、各展厅巡逻根据博物馆工作要求和时间安排保安人员，确保不发生安全事故。</w:t>
      </w:r>
    </w:p>
    <w:p>
      <w:pPr>
        <w:autoSpaceDE w:val="0"/>
        <w:autoSpaceDN w:val="0"/>
        <w:adjustRightInd w:val="0"/>
        <w:spacing w:line="600" w:lineRule="exact"/>
        <w:ind w:firstLine="640" w:firstLineChars="200"/>
        <w:jc w:val="left"/>
        <w:rPr>
          <w:rFonts w:eastAsia="仿宋_GB2312"/>
          <w:bCs/>
          <w:sz w:val="32"/>
          <w:szCs w:val="32"/>
        </w:rPr>
      </w:pPr>
      <w:r>
        <w:rPr>
          <w:rFonts w:eastAsia="仿宋_GB2312"/>
          <w:bCs/>
          <w:sz w:val="32"/>
          <w:szCs w:val="32"/>
        </w:rPr>
        <w:t>3. 项目资金申报相符性</w:t>
      </w:r>
      <w:r>
        <w:rPr>
          <w:rFonts w:hint="eastAsia" w:eastAsia="仿宋_GB2312"/>
          <w:bCs/>
          <w:sz w:val="32"/>
          <w:szCs w:val="32"/>
        </w:rPr>
        <w:t>。</w:t>
      </w:r>
    </w:p>
    <w:p>
      <w:pPr>
        <w:spacing w:line="600" w:lineRule="exact"/>
        <w:ind w:firstLine="640" w:firstLineChars="200"/>
        <w:rPr>
          <w:rFonts w:eastAsia="仿宋_GB2312"/>
          <w:sz w:val="32"/>
          <w:szCs w:val="32"/>
        </w:rPr>
      </w:pPr>
      <w:r>
        <w:rPr>
          <w:rFonts w:eastAsia="仿宋_GB2312"/>
          <w:sz w:val="32"/>
          <w:szCs w:val="32"/>
        </w:rPr>
        <w:t>博物馆后勤保障经费的申报内容与具体实施内容相符，申报目标合理可行。</w:t>
      </w:r>
    </w:p>
    <w:p>
      <w:pPr>
        <w:spacing w:line="580" w:lineRule="exact"/>
        <w:ind w:firstLine="640" w:firstLineChars="200"/>
        <w:rPr>
          <w:rFonts w:eastAsia="黑体"/>
          <w:bCs/>
          <w:sz w:val="32"/>
          <w:szCs w:val="32"/>
        </w:rPr>
      </w:pPr>
      <w:r>
        <w:rPr>
          <w:rFonts w:eastAsia="黑体"/>
          <w:bCs/>
          <w:sz w:val="32"/>
          <w:szCs w:val="32"/>
        </w:rPr>
        <w:t>二、项目资金申报及使用情况</w:t>
      </w:r>
    </w:p>
    <w:p>
      <w:pPr>
        <w:spacing w:line="580" w:lineRule="exact"/>
        <w:ind w:firstLine="640" w:firstLineChars="200"/>
        <w:rPr>
          <w:rFonts w:eastAsia="楷体_GB2312"/>
          <w:sz w:val="32"/>
          <w:szCs w:val="32"/>
        </w:rPr>
      </w:pPr>
      <w:r>
        <w:rPr>
          <w:rFonts w:eastAsia="楷体_GB2312"/>
          <w:sz w:val="32"/>
          <w:szCs w:val="32"/>
        </w:rPr>
        <w:t>（一）项目资金申报及批复情况</w:t>
      </w:r>
      <w:r>
        <w:rPr>
          <w:rFonts w:hint="eastAsia" w:eastAsia="楷体_GB2312"/>
          <w:sz w:val="32"/>
          <w:szCs w:val="32"/>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根据博物馆的实际需要，2018年</w:t>
      </w:r>
      <w:r>
        <w:rPr>
          <w:rFonts w:hint="eastAsia" w:eastAsia="仿宋_GB2312"/>
          <w:kern w:val="0"/>
          <w:sz w:val="32"/>
          <w:szCs w:val="32"/>
        </w:rPr>
        <w:t>《</w:t>
      </w:r>
      <w:r>
        <w:rPr>
          <w:rFonts w:eastAsia="仿宋_GB2312"/>
          <w:kern w:val="0"/>
          <w:sz w:val="32"/>
          <w:szCs w:val="32"/>
        </w:rPr>
        <w:t>关于攀枝花中国三线建设博物馆购买后勤保障服务相关事宜的请示》（攀文广新〔2018〕37号）向市财政申请购买后勤保障服务，获得市领导的批复。通过政府采购，攀枝花市恒卫保安服务公司和四川鑫房物业管理有限公司为中标单位，承担2019年-2021年三年间的安保和保洁服务。</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color w:val="000000"/>
          <w:sz w:val="32"/>
          <w:szCs w:val="32"/>
        </w:rPr>
        <w:t>2021年，</w:t>
      </w:r>
      <w:r>
        <w:rPr>
          <w:rFonts w:eastAsia="仿宋_GB2312"/>
          <w:color w:val="000000"/>
          <w:sz w:val="32"/>
          <w:szCs w:val="32"/>
        </w:rPr>
        <w:t>市财政</w:t>
      </w:r>
      <w:r>
        <w:rPr>
          <w:rFonts w:hint="eastAsia" w:eastAsia="仿宋_GB2312"/>
          <w:color w:val="000000"/>
          <w:sz w:val="32"/>
          <w:szCs w:val="32"/>
        </w:rPr>
        <w:t>局</w:t>
      </w:r>
      <w:r>
        <w:rPr>
          <w:rFonts w:eastAsia="仿宋_GB2312"/>
          <w:color w:val="000000"/>
          <w:sz w:val="32"/>
          <w:szCs w:val="32"/>
        </w:rPr>
        <w:t>向博物馆下达2021年后勤保障经费220万元。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1．资金计划。</w:t>
      </w:r>
    </w:p>
    <w:p>
      <w:pPr>
        <w:spacing w:line="600" w:lineRule="exact"/>
        <w:ind w:firstLine="640" w:firstLineChars="200"/>
        <w:rPr>
          <w:rFonts w:eastAsia="仿宋_GB2312"/>
          <w:sz w:val="32"/>
          <w:szCs w:val="32"/>
        </w:rPr>
      </w:pPr>
      <w:r>
        <w:rPr>
          <w:rFonts w:eastAsia="仿宋_GB2312"/>
          <w:sz w:val="32"/>
          <w:szCs w:val="32"/>
        </w:rPr>
        <w:t>2021年后勤保障经费主要用于博物馆2021年的安保服务费154.992万元，物业服务费64.84万元。</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2021年</w:t>
      </w:r>
      <w:r>
        <w:rPr>
          <w:rFonts w:eastAsia="仿宋_GB2312"/>
          <w:color w:val="000000"/>
          <w:sz w:val="32"/>
          <w:szCs w:val="32"/>
        </w:rPr>
        <w:t>，市财政</w:t>
      </w:r>
      <w:r>
        <w:rPr>
          <w:rFonts w:hint="eastAsia" w:eastAsia="仿宋_GB2312"/>
          <w:color w:val="000000"/>
          <w:sz w:val="32"/>
          <w:szCs w:val="32"/>
        </w:rPr>
        <w:t>局</w:t>
      </w:r>
      <w:r>
        <w:rPr>
          <w:rFonts w:eastAsia="仿宋_GB2312"/>
          <w:color w:val="000000"/>
          <w:sz w:val="32"/>
          <w:szCs w:val="32"/>
        </w:rPr>
        <w:t>向博物馆下达2021年后勤保障经费220万元。</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3．资金使用。</w:t>
      </w:r>
    </w:p>
    <w:p>
      <w:pPr>
        <w:pStyle w:val="36"/>
        <w:snapToGrid w:val="0"/>
        <w:spacing w:line="600" w:lineRule="exact"/>
        <w:ind w:firstLine="640" w:firstLineChars="200"/>
        <w:rPr>
          <w:rFonts w:eastAsia="仿宋_GB2312"/>
          <w:sz w:val="32"/>
          <w:szCs w:val="32"/>
        </w:rPr>
      </w:pPr>
      <w:r>
        <w:rPr>
          <w:rFonts w:eastAsia="仿宋_GB2312"/>
          <w:sz w:val="32"/>
          <w:szCs w:val="32"/>
        </w:rPr>
        <w:t>2021年的安保、物业费已全部支付完成。</w:t>
      </w:r>
      <w:r>
        <w:rPr>
          <w:rFonts w:eastAsia="仿宋_GB2312"/>
          <w:kern w:val="2"/>
          <w:sz w:val="32"/>
          <w:szCs w:val="32"/>
        </w:rPr>
        <w:t>资金使用范围、标准均严格按照文化旅游发展相关专项资金管理办法的规定专款专用，并按照“谁主管、谁负责”的原则，承担日常监督管理职责。涉及的政府采购，均按照政府采购有关规定执行。</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pStyle w:val="36"/>
        <w:snapToGrid w:val="0"/>
        <w:spacing w:line="600" w:lineRule="exact"/>
        <w:ind w:firstLine="640" w:firstLineChars="200"/>
        <w:rPr>
          <w:rFonts w:eastAsia="仿宋_GB2312"/>
          <w:sz w:val="32"/>
          <w:szCs w:val="32"/>
        </w:rPr>
      </w:pPr>
      <w:r>
        <w:rPr>
          <w:rFonts w:eastAsia="仿宋_GB2312"/>
          <w:sz w:val="32"/>
          <w:szCs w:val="32"/>
        </w:rPr>
        <w:t>各项支出严格按照有关财经法规和财务管理制度规定执行，费用开支有标准、有预算，项目支付进度根据实际建设工程量由馆党组集中研究通过后予以拨付。财务管理工作规范有序进行</w:t>
      </w:r>
      <w:r>
        <w:rPr>
          <w:rFonts w:hint="eastAsia" w:eastAsia="仿宋_GB2312"/>
          <w:sz w:val="32"/>
          <w:szCs w:val="32"/>
        </w:rPr>
        <w:t>，</w:t>
      </w:r>
      <w:r>
        <w:rPr>
          <w:rFonts w:eastAsia="仿宋_GB2312"/>
          <w:sz w:val="32"/>
          <w:szCs w:val="32"/>
        </w:rPr>
        <w:t>资金使用无截留、挤占、挪用、虚列支出等情况。</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项目落实单位包括：攀枝花中国三线建设博物馆、攀枝花市恒卫保安服务公司和四川鑫房物业管理有限公司。</w:t>
      </w:r>
    </w:p>
    <w:p>
      <w:pPr>
        <w:spacing w:line="600" w:lineRule="exact"/>
        <w:ind w:firstLine="640" w:firstLineChars="200"/>
        <w:rPr>
          <w:rFonts w:eastAsia="仿宋_GB2312"/>
          <w:kern w:val="0"/>
          <w:sz w:val="32"/>
          <w:szCs w:val="32"/>
        </w:rPr>
      </w:pPr>
      <w:r>
        <w:rPr>
          <w:rFonts w:eastAsia="仿宋_GB2312"/>
          <w:kern w:val="0"/>
          <w:sz w:val="32"/>
          <w:szCs w:val="32"/>
        </w:rPr>
        <w:t>实施流程：该项目由四川鑫房物业管理有限公司负责博物馆水电项目维护、保洁工作和绿化工作及馆方安排的其他相关工作；由攀枝花市恒卫保安服务有限公司负责博物馆监控中心、客房、前后门岗和夜间场地巡逻，根据馆方工作需求和时间安排安保人员，确保不发生安全事故。</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spacing w:line="600" w:lineRule="exact"/>
        <w:ind w:firstLine="640" w:firstLineChars="200"/>
        <w:rPr>
          <w:rFonts w:eastAsia="仿宋_GB2312"/>
          <w:kern w:val="0"/>
          <w:sz w:val="32"/>
          <w:szCs w:val="32"/>
        </w:rPr>
      </w:pPr>
      <w:r>
        <w:rPr>
          <w:rFonts w:eastAsia="仿宋_GB2312"/>
          <w:kern w:val="0"/>
          <w:sz w:val="32"/>
          <w:szCs w:val="32"/>
        </w:rPr>
        <w:t>该项目分为安保工作劳务外包和物业服务劳务外包两项，其中安保工作劳务外包依据《中华人民共和国合同法</w:t>
      </w:r>
      <w:r>
        <w:rPr>
          <w:rFonts w:hint="eastAsia" w:eastAsia="仿宋_GB2312"/>
          <w:kern w:val="0"/>
          <w:sz w:val="32"/>
          <w:szCs w:val="32"/>
        </w:rPr>
        <w:t>》《</w:t>
      </w:r>
      <w:r>
        <w:rPr>
          <w:rFonts w:eastAsia="仿宋_GB2312"/>
          <w:kern w:val="0"/>
          <w:sz w:val="32"/>
          <w:szCs w:val="32"/>
        </w:rPr>
        <w:t>中华人民共和国政府采购法》与项目行业有关的法律法规，以及四川省攀枝花市博物馆安全保卫、保洁、绿化、水电</w:t>
      </w:r>
      <w:r>
        <w:rPr>
          <w:rFonts w:hint="eastAsia" w:eastAsia="仿宋_GB2312"/>
          <w:kern w:val="0"/>
          <w:sz w:val="32"/>
          <w:szCs w:val="32"/>
        </w:rPr>
        <w:t>项目</w:t>
      </w:r>
      <w:r>
        <w:rPr>
          <w:rFonts w:eastAsia="仿宋_GB2312"/>
          <w:kern w:val="0"/>
          <w:sz w:val="32"/>
          <w:szCs w:val="32"/>
        </w:rPr>
        <w:t>维护等后勤保障服务项目（项目编号：5104012019000022）的《招标文件》及《中标通知书》，甲、乙双方同意签订本合同；物业服务劳务外包根据《中华人民共和国政府采购法</w:t>
      </w:r>
      <w:r>
        <w:rPr>
          <w:rFonts w:hint="eastAsia" w:eastAsia="仿宋_GB2312"/>
          <w:kern w:val="0"/>
          <w:sz w:val="32"/>
          <w:szCs w:val="32"/>
        </w:rPr>
        <w:t>》《</w:t>
      </w:r>
      <w:r>
        <w:rPr>
          <w:rFonts w:eastAsia="仿宋_GB2312"/>
          <w:kern w:val="0"/>
          <w:sz w:val="32"/>
          <w:szCs w:val="32"/>
        </w:rPr>
        <w:t>中华人民共和国合同法》及采购项目（项目编号：5104012019000057）的《磋商文件》、乙方的《响应文件》及《成交通知书》，甲、乙双方同意签订本合同。</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为加强项目管理，由安全与后勤保障部负责统筹安排攀枝花市恒卫保安服务公司对博物馆进行安全保卫，四川鑫房物业管理有限公司对博物馆进行设施设备维护、场馆内外卫生清理及绿化养护。</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2021年全年保安公司和物业公司各自完成了相关工作，保安公司巡查300余次，物业维保人员针对水电维护20余次，绿化保洁人员进行卫生清理和绿化环境治理200余次，同时由于新冠疫情的特殊原因，保安公司和物业公司采取工作联动互动，确保了博物馆安全有序开放。</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该项目的实施，稳定了博物馆设施设备的</w:t>
      </w:r>
      <w:r>
        <w:rPr>
          <w:rFonts w:hint="eastAsia" w:eastAsia="仿宋_GB2312"/>
          <w:kern w:val="0"/>
          <w:sz w:val="32"/>
          <w:szCs w:val="32"/>
          <w:lang w:eastAsia="zh-CN"/>
        </w:rPr>
        <w:t>正常运行</w:t>
      </w:r>
      <w:r>
        <w:rPr>
          <w:rFonts w:eastAsia="仿宋_GB2312"/>
          <w:kern w:val="0"/>
          <w:sz w:val="32"/>
          <w:szCs w:val="32"/>
        </w:rPr>
        <w:t>，优化了馆内外整洁舒适的参观环境，加强了文物安全管理</w:t>
      </w:r>
      <w:bookmarkStart w:id="205" w:name="_GoBack"/>
      <w:bookmarkEnd w:id="205"/>
      <w:r>
        <w:rPr>
          <w:rFonts w:eastAsia="仿宋_GB2312"/>
          <w:kern w:val="0"/>
          <w:sz w:val="32"/>
          <w:szCs w:val="32"/>
        </w:rPr>
        <w:t>和参观游览安全管理，提高了游客参观满意度，进一步增进了三线历史文化展示和传播。</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该项目为博物馆日常免费开放，奠定了坚实的基础，在保障安全有序参观的同时，参观环境也得到了改善。</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开馆至目前已运行6年，各种设施设备逐步老化，维护成本增加。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spacing w:line="600" w:lineRule="exact"/>
        <w:ind w:firstLine="627" w:firstLineChars="196"/>
        <w:jc w:val="left"/>
        <w:outlineLvl w:val="0"/>
        <w:rPr>
          <w:rFonts w:eastAsia="仿宋_GB2312"/>
          <w:kern w:val="0"/>
          <w:sz w:val="32"/>
          <w:szCs w:val="32"/>
        </w:rPr>
      </w:pPr>
      <w:r>
        <w:rPr>
          <w:rFonts w:eastAsia="仿宋_GB2312"/>
          <w:kern w:val="0"/>
          <w:sz w:val="32"/>
          <w:szCs w:val="32"/>
        </w:rPr>
        <w:t>针对项目自评中发现的问题，提出下一步改进完善的意见及有关政策性建议。</w:t>
      </w:r>
    </w:p>
    <w:p>
      <w:pPr>
        <w:pStyle w:val="2"/>
        <w:spacing w:before="93"/>
        <w:rPr>
          <w:rFonts w:ascii="Times New Roman"/>
        </w:rPr>
      </w:pPr>
    </w:p>
    <w:p>
      <w:pPr>
        <w:pStyle w:val="2"/>
        <w:spacing w:before="93"/>
        <w:rPr>
          <w:rFonts w:ascii="Times New Roman"/>
        </w:rPr>
      </w:pPr>
    </w:p>
    <w:p>
      <w:pPr>
        <w:pStyle w:val="2"/>
        <w:spacing w:before="93"/>
        <w:rPr>
          <w:rFonts w:ascii="Times New Roman"/>
        </w:rPr>
      </w:pPr>
    </w:p>
    <w:p>
      <w:r>
        <w:br w:type="page"/>
      </w:r>
    </w:p>
    <w:p>
      <w:pPr>
        <w:pStyle w:val="2"/>
        <w:spacing w:before="93"/>
        <w:rPr>
          <w:rFonts w:ascii="Times New Roman"/>
        </w:rPr>
      </w:pP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419"/>
        <w:gridCol w:w="726"/>
        <w:gridCol w:w="1307"/>
        <w:gridCol w:w="1743"/>
        <w:gridCol w:w="2148"/>
        <w:gridCol w:w="2468"/>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eastAsia="仿宋"/>
                <w:b/>
                <w:sz w:val="32"/>
                <w:szCs w:val="32"/>
              </w:rPr>
            </w:pPr>
            <w:r>
              <w:rPr>
                <w:rFonts w:eastAsia="仿宋"/>
                <w:b/>
                <w:sz w:val="32"/>
                <w:szCs w:val="32"/>
              </w:rPr>
              <w:t>后勤保障经费项目绩效目标自评表</w:t>
            </w:r>
          </w:p>
        </w:tc>
      </w:tr>
      <w:tr>
        <w:tblPrEx>
          <w:tblCellMar>
            <w:top w:w="0" w:type="dxa"/>
            <w:left w:w="108" w:type="dxa"/>
            <w:bottom w:w="0" w:type="dxa"/>
            <w:right w:w="108" w:type="dxa"/>
          </w:tblCellMar>
        </w:tblPrEx>
        <w:trPr>
          <w:trHeight w:val="254" w:hRule="atLeast"/>
        </w:trPr>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主管部门及代码</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205001</w:t>
            </w:r>
            <w:r>
              <w:rPr>
                <w:rFonts w:hint="eastAsia" w:eastAsia="仿宋"/>
                <w:sz w:val="20"/>
                <w:szCs w:val="20"/>
              </w:rPr>
              <w:t>－</w:t>
            </w:r>
            <w:r>
              <w:rPr>
                <w:rFonts w:eastAsia="仿宋"/>
                <w:sz w:val="20"/>
                <w:szCs w:val="20"/>
              </w:rPr>
              <w:t>攀枝花市文化广播电视和旅游局</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攀枝花中国三线建设博物馆</w:t>
            </w:r>
          </w:p>
        </w:tc>
      </w:tr>
      <w:tr>
        <w:tblPrEx>
          <w:tblCellMar>
            <w:top w:w="0" w:type="dxa"/>
            <w:left w:w="108" w:type="dxa"/>
            <w:bottom w:w="0" w:type="dxa"/>
            <w:right w:w="108" w:type="dxa"/>
          </w:tblCellMar>
        </w:tblPrEx>
        <w:trPr>
          <w:trHeight w:val="341"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项目预算</w:t>
            </w:r>
          </w:p>
          <w:p>
            <w:pPr>
              <w:widowControl/>
              <w:spacing w:line="320" w:lineRule="exact"/>
              <w:jc w:val="left"/>
              <w:textAlignment w:val="center"/>
              <w:rPr>
                <w:rFonts w:eastAsia="仿宋"/>
                <w:kern w:val="0"/>
                <w:sz w:val="20"/>
                <w:szCs w:val="20"/>
                <w:lang w:bidi="ar"/>
              </w:rPr>
            </w:pPr>
            <w:r>
              <w:rPr>
                <w:rFonts w:eastAsia="仿宋"/>
                <w:kern w:val="0"/>
                <w:sz w:val="20"/>
                <w:szCs w:val="20"/>
                <w:lang w:bidi="ar"/>
              </w:rPr>
              <w:t>执行情况</w:t>
            </w:r>
          </w:p>
          <w:p>
            <w:pPr>
              <w:widowControl/>
              <w:spacing w:line="320" w:lineRule="exact"/>
              <w:jc w:val="left"/>
              <w:textAlignment w:val="center"/>
              <w:rPr>
                <w:rFonts w:eastAsia="仿宋"/>
                <w:sz w:val="20"/>
                <w:szCs w:val="20"/>
              </w:rPr>
            </w:pPr>
            <w:r>
              <w:rPr>
                <w:rFonts w:eastAsia="仿宋"/>
                <w:kern w:val="0"/>
                <w:sz w:val="20"/>
                <w:szCs w:val="20"/>
                <w:lang w:bidi="ar"/>
              </w:rPr>
              <w:t>（万元）</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 xml:space="preserve"> 预算数：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220</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220</w:t>
            </w:r>
          </w:p>
        </w:tc>
      </w:tr>
      <w:tr>
        <w:tblPrEx>
          <w:tblCellMar>
            <w:top w:w="0" w:type="dxa"/>
            <w:left w:w="108" w:type="dxa"/>
            <w:bottom w:w="0" w:type="dxa"/>
            <w:right w:w="108" w:type="dxa"/>
          </w:tblCellMar>
        </w:tblPrEx>
        <w:trPr>
          <w:trHeight w:val="555"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其中：</w:t>
            </w:r>
          </w:p>
          <w:p>
            <w:pPr>
              <w:widowControl/>
              <w:spacing w:line="320" w:lineRule="exact"/>
              <w:jc w:val="left"/>
              <w:textAlignment w:val="center"/>
              <w:rPr>
                <w:rFonts w:eastAsia="仿宋"/>
                <w:sz w:val="20"/>
                <w:szCs w:val="20"/>
              </w:rPr>
            </w:pPr>
            <w:r>
              <w:rPr>
                <w:rFonts w:eastAsia="仿宋"/>
                <w:kern w:val="0"/>
                <w:sz w:val="20"/>
                <w:szCs w:val="20"/>
                <w:lang w:bidi="ar"/>
              </w:rPr>
              <w:t>财政拨款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220</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其中：</w:t>
            </w:r>
          </w:p>
          <w:p>
            <w:pPr>
              <w:widowControl/>
              <w:spacing w:line="320" w:lineRule="exact"/>
              <w:jc w:val="left"/>
              <w:textAlignment w:val="center"/>
              <w:rPr>
                <w:rFonts w:eastAsia="仿宋"/>
                <w:sz w:val="20"/>
                <w:szCs w:val="20"/>
              </w:rPr>
            </w:pPr>
            <w:r>
              <w:rPr>
                <w:rFonts w:eastAsia="仿宋"/>
                <w:kern w:val="0"/>
                <w:sz w:val="20"/>
                <w:szCs w:val="20"/>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220</w:t>
            </w:r>
          </w:p>
        </w:tc>
      </w:tr>
      <w:tr>
        <w:tblPrEx>
          <w:tblCellMar>
            <w:top w:w="0" w:type="dxa"/>
            <w:left w:w="108" w:type="dxa"/>
            <w:bottom w:w="0" w:type="dxa"/>
            <w:right w:w="108" w:type="dxa"/>
          </w:tblCellMar>
        </w:tblPrEx>
        <w:trPr>
          <w:trHeight w:val="341"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其他资金</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p>
        </w:tc>
      </w:tr>
      <w:tr>
        <w:tblPrEx>
          <w:tblCellMar>
            <w:top w:w="0" w:type="dxa"/>
            <w:left w:w="108" w:type="dxa"/>
            <w:bottom w:w="0" w:type="dxa"/>
            <w:right w:w="108" w:type="dxa"/>
          </w:tblCellMar>
        </w:tblPrEx>
        <w:trPr>
          <w:trHeight w:val="217" w:hRule="atLeast"/>
        </w:trPr>
        <w:tc>
          <w:tcPr>
            <w:tcW w:w="1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年度总体目标</w:t>
            </w:r>
          </w:p>
          <w:p>
            <w:pPr>
              <w:widowControl/>
              <w:spacing w:line="320" w:lineRule="exact"/>
              <w:jc w:val="left"/>
              <w:textAlignment w:val="center"/>
              <w:rPr>
                <w:rFonts w:eastAsia="仿宋"/>
                <w:sz w:val="20"/>
                <w:szCs w:val="20"/>
              </w:rPr>
            </w:pPr>
            <w:r>
              <w:rPr>
                <w:rFonts w:eastAsia="仿宋"/>
                <w:kern w:val="0"/>
                <w:sz w:val="20"/>
                <w:szCs w:val="20"/>
                <w:lang w:bidi="ar"/>
              </w:rPr>
              <w:t>完成情况</w:t>
            </w: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预期目标</w:t>
            </w:r>
          </w:p>
        </w:tc>
        <w:tc>
          <w:tcPr>
            <w:tcW w:w="4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目标实际完成情况</w:t>
            </w:r>
          </w:p>
        </w:tc>
      </w:tr>
      <w:tr>
        <w:tblPrEx>
          <w:tblCellMar>
            <w:top w:w="0" w:type="dxa"/>
            <w:left w:w="108" w:type="dxa"/>
            <w:bottom w:w="0" w:type="dxa"/>
            <w:right w:w="108" w:type="dxa"/>
          </w:tblCellMar>
        </w:tblPrEx>
        <w:trPr>
          <w:trHeight w:val="797" w:hRule="atLeast"/>
        </w:trPr>
        <w:tc>
          <w:tcPr>
            <w:tcW w:w="1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368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
                <w:sz w:val="20"/>
                <w:szCs w:val="20"/>
              </w:rPr>
            </w:pPr>
            <w:r>
              <w:rPr>
                <w:rFonts w:eastAsia="仿宋"/>
                <w:sz w:val="20"/>
                <w:szCs w:val="20"/>
              </w:rPr>
              <w:t>做好博物馆的安全保卫、保洁、绿化、水电项目维护等后勤工作，确保博物馆的安全稳定运行</w:t>
            </w:r>
          </w:p>
        </w:tc>
        <w:tc>
          <w:tcPr>
            <w:tcW w:w="450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ind w:firstLine="400" w:firstLineChars="200"/>
              <w:jc w:val="left"/>
              <w:textAlignment w:val="top"/>
              <w:rPr>
                <w:rFonts w:eastAsia="仿宋"/>
                <w:sz w:val="20"/>
                <w:szCs w:val="20"/>
              </w:rPr>
            </w:pPr>
            <w:r>
              <w:rPr>
                <w:rFonts w:eastAsia="仿宋"/>
                <w:sz w:val="20"/>
                <w:szCs w:val="20"/>
              </w:rPr>
              <w:t>按照要求完成了博物馆日常安全保卫、保洁、绿化、水电维护等相关工作和疫情期间的安全防护及消毒工作</w:t>
            </w:r>
          </w:p>
        </w:tc>
      </w:tr>
      <w:tr>
        <w:tblPrEx>
          <w:tblCellMar>
            <w:top w:w="0" w:type="dxa"/>
            <w:left w:w="108" w:type="dxa"/>
            <w:bottom w:w="0" w:type="dxa"/>
            <w:right w:w="108" w:type="dxa"/>
          </w:tblCellMar>
        </w:tblPrEx>
        <w:trPr>
          <w:trHeight w:val="693" w:hRule="atLeast"/>
        </w:trPr>
        <w:tc>
          <w:tcPr>
            <w:tcW w:w="138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年度绩效指标完成情况</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一级</w:t>
            </w:r>
          </w:p>
          <w:p>
            <w:pPr>
              <w:widowControl/>
              <w:spacing w:line="320" w:lineRule="exact"/>
              <w:jc w:val="left"/>
              <w:textAlignment w:val="center"/>
              <w:rPr>
                <w:rFonts w:eastAsia="仿宋"/>
                <w:sz w:val="20"/>
                <w:szCs w:val="20"/>
              </w:rPr>
            </w:pPr>
            <w:r>
              <w:rPr>
                <w:rFonts w:eastAsia="仿宋"/>
                <w:kern w:val="0"/>
                <w:sz w:val="20"/>
                <w:szCs w:val="20"/>
                <w:lang w:bidi="ar"/>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二级</w:t>
            </w:r>
          </w:p>
          <w:p>
            <w:pPr>
              <w:widowControl/>
              <w:spacing w:line="320" w:lineRule="exact"/>
              <w:jc w:val="left"/>
              <w:textAlignment w:val="center"/>
              <w:rPr>
                <w:rFonts w:eastAsia="仿宋"/>
                <w:sz w:val="20"/>
                <w:szCs w:val="20"/>
              </w:rPr>
            </w:pPr>
            <w:r>
              <w:rPr>
                <w:rFonts w:eastAsia="仿宋"/>
                <w:kern w:val="0"/>
                <w:sz w:val="20"/>
                <w:szCs w:val="20"/>
                <w:lang w:bidi="ar"/>
              </w:rPr>
              <w:t>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三级</w:t>
            </w:r>
          </w:p>
          <w:p>
            <w:pPr>
              <w:widowControl/>
              <w:spacing w:line="320" w:lineRule="exact"/>
              <w:jc w:val="left"/>
              <w:textAlignment w:val="center"/>
              <w:rPr>
                <w:rFonts w:eastAsia="仿宋"/>
                <w:sz w:val="20"/>
                <w:szCs w:val="20"/>
              </w:rPr>
            </w:pPr>
            <w:r>
              <w:rPr>
                <w:rFonts w:eastAsia="仿宋"/>
                <w:kern w:val="0"/>
                <w:sz w:val="20"/>
                <w:szCs w:val="20"/>
                <w:lang w:bidi="ar"/>
              </w:rPr>
              <w:t>指标</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实际完成指标值</w:t>
            </w:r>
          </w:p>
        </w:tc>
      </w:tr>
      <w:tr>
        <w:tblPrEx>
          <w:tblCellMar>
            <w:top w:w="0" w:type="dxa"/>
            <w:left w:w="108" w:type="dxa"/>
            <w:bottom w:w="0" w:type="dxa"/>
            <w:right w:w="108" w:type="dxa"/>
          </w:tblCellMar>
        </w:tblPrEx>
        <w:trPr>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
                <w:kern w:val="0"/>
                <w:sz w:val="20"/>
                <w:szCs w:val="20"/>
                <w:lang w:bidi="ar"/>
              </w:rPr>
            </w:pPr>
            <w:r>
              <w:rPr>
                <w:rFonts w:eastAsia="仿宋"/>
                <w:kern w:val="0"/>
                <w:sz w:val="20"/>
                <w:szCs w:val="20"/>
                <w:lang w:bidi="ar"/>
              </w:rPr>
              <w:t>完成</w:t>
            </w:r>
          </w:p>
          <w:p>
            <w:pPr>
              <w:widowControl/>
              <w:spacing w:line="320" w:lineRule="exact"/>
              <w:jc w:val="left"/>
              <w:textAlignment w:val="bottom"/>
              <w:rPr>
                <w:rFonts w:eastAsia="仿宋"/>
                <w:sz w:val="20"/>
                <w:szCs w:val="20"/>
              </w:rPr>
            </w:pPr>
            <w:r>
              <w:rPr>
                <w:rFonts w:eastAsia="仿宋"/>
                <w:kern w:val="0"/>
                <w:sz w:val="20"/>
                <w:szCs w:val="20"/>
                <w:lang w:bidi="ar"/>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数量指标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水电维护；保洁、绿化工作；馆内重点部位安全</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水电维护20余次；保洁、绿化工作200余次；馆内重点部位安全保卫300余次</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水电维护20余次；保洁、绿化工作200余次；馆内重点部位安全保卫300余次</w:t>
            </w:r>
            <w:r>
              <w:rPr>
                <w:rFonts w:hint="eastAsia" w:eastAsia="仿宋"/>
                <w:sz w:val="20"/>
                <w:szCs w:val="20"/>
              </w:rPr>
              <w:t>。</w:t>
            </w:r>
          </w:p>
        </w:tc>
      </w:tr>
      <w:tr>
        <w:tblPrEx>
          <w:tblCellMar>
            <w:top w:w="0" w:type="dxa"/>
            <w:left w:w="108" w:type="dxa"/>
            <w:bottom w:w="0" w:type="dxa"/>
            <w:right w:w="108" w:type="dxa"/>
          </w:tblCellMar>
        </w:tblPrEx>
        <w:trPr>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质量指标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
                <w:sz w:val="20"/>
                <w:szCs w:val="20"/>
              </w:rPr>
            </w:pPr>
            <w:r>
              <w:rPr>
                <w:rFonts w:eastAsia="仿宋"/>
                <w:sz w:val="20"/>
                <w:szCs w:val="20"/>
              </w:rPr>
              <w:t>工作完成效果</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
                <w:sz w:val="20"/>
                <w:szCs w:val="20"/>
              </w:rPr>
            </w:pPr>
            <w:r>
              <w:rPr>
                <w:rFonts w:eastAsia="仿宋"/>
                <w:sz w:val="20"/>
                <w:szCs w:val="20"/>
              </w:rPr>
              <w:t>营造安全舒适的参观环境、保障游客及文物安全</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
                <w:sz w:val="20"/>
                <w:szCs w:val="20"/>
              </w:rPr>
            </w:pPr>
            <w:r>
              <w:rPr>
                <w:rFonts w:eastAsia="仿宋"/>
                <w:sz w:val="20"/>
                <w:szCs w:val="20"/>
              </w:rPr>
              <w:t>营造安全舒适的参观环境、保障游客及文物安全</w:t>
            </w:r>
            <w:r>
              <w:rPr>
                <w:rFonts w:hint="eastAsia" w:eastAsia="仿宋"/>
                <w:sz w:val="20"/>
                <w:szCs w:val="20"/>
              </w:rPr>
              <w:t>。</w:t>
            </w:r>
          </w:p>
        </w:tc>
      </w:tr>
      <w:tr>
        <w:tblPrEx>
          <w:tblCellMar>
            <w:top w:w="0" w:type="dxa"/>
            <w:left w:w="108" w:type="dxa"/>
            <w:bottom w:w="0" w:type="dxa"/>
            <w:right w:w="108" w:type="dxa"/>
          </w:tblCellMar>
        </w:tblPrEx>
        <w:trPr>
          <w:trHeight w:val="415"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时效指标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项目覆盖完成时间</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2021年全年</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2021年覆盖全年的安保、物业工作</w:t>
            </w:r>
            <w:r>
              <w:rPr>
                <w:rFonts w:hint="eastAsia" w:eastAsia="仿宋"/>
                <w:sz w:val="20"/>
                <w:szCs w:val="20"/>
              </w:rPr>
              <w:t>。</w:t>
            </w:r>
          </w:p>
        </w:tc>
      </w:tr>
      <w:tr>
        <w:tblPrEx>
          <w:tblCellMar>
            <w:top w:w="0" w:type="dxa"/>
            <w:left w:w="108" w:type="dxa"/>
            <w:bottom w:w="0" w:type="dxa"/>
            <w:right w:w="108" w:type="dxa"/>
          </w:tblCellMar>
        </w:tblPrEx>
        <w:trPr>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成本指标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安保工作和物业服务劳务费</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安保154.992万元，物业64.84万元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安保154.992万元，物业64.84万元</w:t>
            </w:r>
            <w:r>
              <w:rPr>
                <w:rFonts w:hint="eastAsia" w:eastAsia="仿宋"/>
                <w:sz w:val="20"/>
                <w:szCs w:val="20"/>
              </w:rPr>
              <w:t>。</w:t>
            </w:r>
          </w:p>
        </w:tc>
      </w:tr>
      <w:tr>
        <w:tblPrEx>
          <w:tblCellMar>
            <w:top w:w="0" w:type="dxa"/>
            <w:left w:w="108" w:type="dxa"/>
            <w:bottom w:w="0" w:type="dxa"/>
            <w:right w:w="108" w:type="dxa"/>
          </w:tblCellMar>
        </w:tblPrEx>
        <w:trPr>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
                <w:kern w:val="0"/>
                <w:sz w:val="20"/>
                <w:szCs w:val="20"/>
                <w:lang w:bidi="ar"/>
              </w:rPr>
            </w:pPr>
            <w:r>
              <w:rPr>
                <w:rFonts w:eastAsia="仿宋"/>
                <w:kern w:val="0"/>
                <w:sz w:val="20"/>
                <w:szCs w:val="20"/>
                <w:lang w:bidi="ar"/>
              </w:rPr>
              <w:t>效益</w:t>
            </w:r>
          </w:p>
          <w:p>
            <w:pPr>
              <w:widowControl/>
              <w:spacing w:line="320" w:lineRule="exact"/>
              <w:jc w:val="left"/>
              <w:textAlignment w:val="bottom"/>
              <w:rPr>
                <w:rFonts w:eastAsia="仿宋"/>
                <w:sz w:val="20"/>
                <w:szCs w:val="20"/>
              </w:rPr>
            </w:pPr>
            <w:r>
              <w:rPr>
                <w:rFonts w:eastAsia="仿宋"/>
                <w:kern w:val="0"/>
                <w:sz w:val="20"/>
                <w:szCs w:val="20"/>
                <w:lang w:bidi="ar"/>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经济效益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p>
        </w:tc>
      </w:tr>
      <w:tr>
        <w:tblPrEx>
          <w:tblCellMar>
            <w:top w:w="0" w:type="dxa"/>
            <w:left w:w="108" w:type="dxa"/>
            <w:bottom w:w="0" w:type="dxa"/>
            <w:right w:w="108" w:type="dxa"/>
          </w:tblCellMar>
        </w:tblPrEx>
        <w:trPr>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社会效益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安全、整洁、舒适的参观环境</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提供安全、整洁、舒适的参观环境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提供了安全、整洁、舒适的参观环境</w:t>
            </w:r>
            <w:r>
              <w:rPr>
                <w:rFonts w:hint="eastAsia" w:eastAsia="仿宋"/>
                <w:sz w:val="20"/>
                <w:szCs w:val="20"/>
              </w:rPr>
              <w:t>。</w:t>
            </w:r>
          </w:p>
        </w:tc>
      </w:tr>
      <w:tr>
        <w:tblPrEx>
          <w:tblCellMar>
            <w:top w:w="0" w:type="dxa"/>
            <w:left w:w="108" w:type="dxa"/>
            <w:bottom w:w="0" w:type="dxa"/>
            <w:right w:w="108" w:type="dxa"/>
          </w:tblCellMar>
        </w:tblPrEx>
        <w:trPr>
          <w:trHeight w:val="577"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eastAsia="仿宋"/>
                <w:sz w:val="20"/>
                <w:szCs w:val="20"/>
              </w:rPr>
            </w:pPr>
            <w:r>
              <w:rPr>
                <w:rFonts w:eastAsia="仿宋"/>
                <w:kern w:val="0"/>
                <w:sz w:val="20"/>
                <w:szCs w:val="20"/>
                <w:lang w:bidi="ar"/>
              </w:rPr>
              <w:t>生态效益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保障绿化环境</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保障绿化率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绿化水平覆盖率有所提升</w:t>
            </w:r>
            <w:r>
              <w:rPr>
                <w:rFonts w:hint="eastAsia" w:eastAsia="仿宋"/>
                <w:sz w:val="20"/>
                <w:szCs w:val="20"/>
              </w:rPr>
              <w:t>。</w:t>
            </w:r>
          </w:p>
        </w:tc>
      </w:tr>
      <w:tr>
        <w:tblPrEx>
          <w:tblCellMar>
            <w:top w:w="0" w:type="dxa"/>
            <w:left w:w="108" w:type="dxa"/>
            <w:bottom w:w="0" w:type="dxa"/>
            <w:right w:w="108" w:type="dxa"/>
          </w:tblCellMar>
        </w:tblPrEx>
        <w:trPr>
          <w:trHeight w:val="480" w:hRule="atLeast"/>
        </w:trPr>
        <w:tc>
          <w:tcPr>
            <w:tcW w:w="1384"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可持续影响 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安全有序免费开放</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全年无安全责任事故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全年安全责任事故0发生</w:t>
            </w:r>
            <w:r>
              <w:rPr>
                <w:rFonts w:hint="eastAsia" w:eastAsia="仿宋"/>
                <w:sz w:val="20"/>
                <w:szCs w:val="20"/>
              </w:rPr>
              <w:t>。</w:t>
            </w:r>
          </w:p>
        </w:tc>
      </w:tr>
      <w:tr>
        <w:tblPrEx>
          <w:tblCellMar>
            <w:top w:w="0" w:type="dxa"/>
            <w:left w:w="108" w:type="dxa"/>
            <w:bottom w:w="0" w:type="dxa"/>
            <w:right w:w="108" w:type="dxa"/>
          </w:tblCellMar>
        </w:tblPrEx>
        <w:trPr>
          <w:trHeight w:val="530" w:hRule="atLeast"/>
        </w:trPr>
        <w:tc>
          <w:tcPr>
            <w:tcW w:w="138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kern w:val="0"/>
                <w:sz w:val="20"/>
                <w:szCs w:val="20"/>
                <w:lang w:bidi="ar"/>
              </w:rPr>
            </w:pPr>
            <w:r>
              <w:rPr>
                <w:rFonts w:eastAsia="仿宋"/>
                <w:kern w:val="0"/>
                <w:sz w:val="20"/>
                <w:szCs w:val="20"/>
                <w:lang w:bidi="ar"/>
              </w:rPr>
              <w:t>满意</w:t>
            </w:r>
          </w:p>
          <w:p>
            <w:pPr>
              <w:widowControl/>
              <w:spacing w:line="320" w:lineRule="exact"/>
              <w:jc w:val="left"/>
              <w:textAlignment w:val="bottom"/>
              <w:rPr>
                <w:rFonts w:eastAsia="仿宋"/>
                <w:sz w:val="20"/>
                <w:szCs w:val="20"/>
              </w:rPr>
            </w:pPr>
            <w:r>
              <w:rPr>
                <w:rFonts w:eastAsia="仿宋"/>
                <w:kern w:val="0"/>
                <w:sz w:val="20"/>
                <w:szCs w:val="20"/>
                <w:lang w:bidi="ar"/>
              </w:rPr>
              <w:t>度指标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kern w:val="0"/>
                <w:sz w:val="20"/>
                <w:szCs w:val="20"/>
                <w:lang w:bidi="ar"/>
              </w:rPr>
            </w:pPr>
            <w:r>
              <w:rPr>
                <w:rFonts w:eastAsia="仿宋"/>
                <w:kern w:val="0"/>
                <w:sz w:val="20"/>
                <w:szCs w:val="20"/>
                <w:lang w:bidi="ar"/>
              </w:rPr>
              <w:t>满意度</w:t>
            </w:r>
          </w:p>
          <w:p>
            <w:pPr>
              <w:widowControl/>
              <w:spacing w:line="320" w:lineRule="exact"/>
              <w:jc w:val="left"/>
              <w:textAlignment w:val="bottom"/>
              <w:rPr>
                <w:rFonts w:eastAsia="仿宋"/>
                <w:sz w:val="20"/>
                <w:szCs w:val="20"/>
              </w:rPr>
            </w:pPr>
            <w:r>
              <w:rPr>
                <w:rFonts w:eastAsia="仿宋"/>
                <w:kern w:val="0"/>
                <w:sz w:val="20"/>
                <w:szCs w:val="20"/>
                <w:lang w:bidi="ar"/>
              </w:rPr>
              <w:t>指标</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服务对象满意度</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95%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95%</w:t>
            </w:r>
          </w:p>
        </w:tc>
      </w:tr>
    </w:tbl>
    <w:p>
      <w:pPr>
        <w:pStyle w:val="2"/>
        <w:spacing w:before="93"/>
        <w:rPr>
          <w:rFonts w:ascii="Times New Roman"/>
        </w:rPr>
      </w:pPr>
    </w:p>
    <w:p>
      <w:pPr>
        <w:pStyle w:val="2"/>
        <w:spacing w:before="93"/>
        <w:rPr>
          <w:rFonts w:ascii="Times New Roman"/>
          <w:sz w:val="32"/>
          <w:szCs w:val="32"/>
          <w:shd w:val="clear" w:color="auto" w:fill="FFFFFF"/>
          <w:lang w:val="zh-CN"/>
        </w:rPr>
      </w:pPr>
      <w:r>
        <w:rPr>
          <w:rFonts w:ascii="Times New Roman"/>
          <w:sz w:val="32"/>
          <w:szCs w:val="32"/>
          <w:shd w:val="clear" w:color="auto" w:fill="FFFFFF"/>
          <w:lang w:val="zh-CN"/>
        </w:rPr>
        <w:t>附件2-4</w:t>
      </w:r>
    </w:p>
    <w:p>
      <w:pPr>
        <w:pStyle w:val="35"/>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攀枝花文化艺术中心</w:t>
      </w:r>
    </w:p>
    <w:p>
      <w:pPr>
        <w:pStyle w:val="35"/>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公用及《浩然成昆》业务费</w:t>
      </w:r>
    </w:p>
    <w:p>
      <w:pPr>
        <w:pStyle w:val="35"/>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项目支出绩效自评报告</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一、项目概况</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1．项目管理职能。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主管部门攀枝花市文化电视广播和旅游局负责监督资金的使用进度、是否规范。</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spacing w:line="600" w:lineRule="exact"/>
        <w:ind w:firstLine="640" w:firstLineChars="200"/>
        <w:rPr>
          <w:rFonts w:eastAsia="仿宋_GB2312"/>
          <w:sz w:val="32"/>
          <w:szCs w:val="32"/>
        </w:rPr>
      </w:pPr>
      <w:r>
        <w:rPr>
          <w:rFonts w:eastAsia="仿宋_GB2312"/>
          <w:sz w:val="32"/>
          <w:szCs w:val="32"/>
          <w:shd w:val="clear" w:color="auto" w:fill="FFFFFF"/>
        </w:rPr>
        <w:t>2012年，按照市政府《关于攀枝花艺术剧院体制改革方案的批复》（攀府函〔2012〕50号）要求，撤销市艺术剧院，成立攀枝花市文化艺术中心。按照全市事业单位人头经费和公用</w:t>
      </w:r>
      <w:r>
        <w:rPr>
          <w:rFonts w:eastAsia="仿宋_GB2312"/>
          <w:sz w:val="32"/>
          <w:szCs w:val="32"/>
        </w:rPr>
        <w:t>经费平均水平足额预算并核拨市文化艺术中心在编在岗人员专项补贴经费。2013年，</w:t>
      </w:r>
      <w:r>
        <w:rPr>
          <w:rFonts w:hint="eastAsia" w:eastAsia="仿宋_GB2312"/>
          <w:sz w:val="32"/>
          <w:szCs w:val="32"/>
        </w:rPr>
        <w:t>根据市政府相关要求，</w:t>
      </w:r>
      <w:r>
        <w:rPr>
          <w:rFonts w:eastAsia="仿宋_GB2312"/>
          <w:sz w:val="32"/>
          <w:szCs w:val="32"/>
        </w:rPr>
        <w:t>市文化艺术中心</w:t>
      </w:r>
      <w:r>
        <w:rPr>
          <w:rFonts w:hint="eastAsia" w:eastAsia="仿宋_GB2312"/>
          <w:sz w:val="32"/>
          <w:szCs w:val="32"/>
        </w:rPr>
        <w:t>的</w:t>
      </w:r>
      <w:r>
        <w:rPr>
          <w:rFonts w:eastAsia="仿宋_GB2312"/>
          <w:sz w:val="32"/>
          <w:szCs w:val="32"/>
        </w:rPr>
        <w:t>经营收入和房租收入由市文化艺术中心自主安排，作为市政府对其剧目创作、文化交流、设备更新、人才培养及日常公用支出和演出设备购置的补助。</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sz w:val="32"/>
          <w:szCs w:val="32"/>
        </w:rPr>
      </w:pPr>
      <w:r>
        <w:rPr>
          <w:rFonts w:eastAsia="仿宋_GB2312"/>
          <w:kern w:val="0"/>
          <w:sz w:val="32"/>
          <w:szCs w:val="32"/>
        </w:rPr>
        <w:t>收入实行收支两条线，每笔演出及房租收入全部上缴财政，收入纳入每年预算，再打报告财政以非税收入征管成本性支出的方式，</w:t>
      </w:r>
      <w:r>
        <w:rPr>
          <w:rFonts w:eastAsia="仿宋_GB2312"/>
          <w:sz w:val="32"/>
          <w:szCs w:val="32"/>
        </w:rPr>
        <w:t>以指标的形式下拨。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全年收入约7</w:t>
      </w:r>
      <w:r>
        <w:rPr>
          <w:rFonts w:hint="eastAsia" w:eastAsia="仿宋_GB2312"/>
          <w:kern w:val="0"/>
          <w:sz w:val="32"/>
          <w:szCs w:val="32"/>
        </w:rPr>
        <w:t>5.43万</w:t>
      </w:r>
      <w:r>
        <w:rPr>
          <w:rFonts w:eastAsia="仿宋_GB2312"/>
          <w:kern w:val="0"/>
          <w:sz w:val="32"/>
          <w:szCs w:val="32"/>
        </w:rPr>
        <w:t>元，主要用于日常公共经费支出及业务支出。</w:t>
      </w:r>
      <w:r>
        <w:rPr>
          <w:rFonts w:eastAsia="仿宋_GB2312"/>
          <w:sz w:val="32"/>
          <w:szCs w:val="32"/>
        </w:rPr>
        <w:t>2020年单位大型京剧《浩然成昆》获得四川艺术基金25</w:t>
      </w:r>
      <w:r>
        <w:rPr>
          <w:rFonts w:hint="eastAsia" w:eastAsia="仿宋_GB2312"/>
          <w:sz w:val="32"/>
          <w:szCs w:val="32"/>
        </w:rPr>
        <w:t>.00万元</w:t>
      </w:r>
      <w:r>
        <w:rPr>
          <w:rFonts w:eastAsia="仿宋_GB2312"/>
          <w:sz w:val="32"/>
          <w:szCs w:val="32"/>
        </w:rPr>
        <w:t>专项资助结转到2021年支付。</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公用经费主要用于日常公共经费支出及业务支出，保障单位基本运行。《浩然成昆》结转的资金用于支付项目发生的相关费用。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保障单位基本运行，主要用于日常公共经费支出及业务支出。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申报内容与实际相符，申报目标合理可行。</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二、项目资金申报及使用情况</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根据上缴的房租等收入及《浩然成昆》项目结转的资金，申报了2021年的公用及《浩然成昆》项目经费10</w:t>
      </w:r>
      <w:r>
        <w:rPr>
          <w:rFonts w:hint="eastAsia" w:eastAsia="仿宋_GB2312"/>
          <w:kern w:val="0"/>
          <w:sz w:val="32"/>
          <w:szCs w:val="32"/>
        </w:rPr>
        <w:t>0.</w:t>
      </w:r>
      <w:r>
        <w:rPr>
          <w:rFonts w:eastAsia="仿宋_GB2312"/>
          <w:kern w:val="0"/>
          <w:sz w:val="32"/>
          <w:szCs w:val="32"/>
        </w:rPr>
        <w:t>43</w:t>
      </w:r>
      <w:r>
        <w:rPr>
          <w:rFonts w:hint="eastAsia" w:eastAsia="仿宋_GB2312"/>
          <w:kern w:val="0"/>
          <w:sz w:val="32"/>
          <w:szCs w:val="32"/>
        </w:rPr>
        <w:t>万</w:t>
      </w:r>
      <w:r>
        <w:rPr>
          <w:rFonts w:eastAsia="仿宋_GB2312"/>
          <w:kern w:val="0"/>
          <w:sz w:val="32"/>
          <w:szCs w:val="32"/>
        </w:rPr>
        <w:t>元。</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（二）资金计划、到位及使用情况（可用表格形式反映）。</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2021年年初我单位向财政报送了10</w:t>
      </w:r>
      <w:r>
        <w:rPr>
          <w:rFonts w:hint="eastAsia" w:eastAsia="仿宋_GB2312"/>
          <w:kern w:val="0"/>
          <w:sz w:val="32"/>
          <w:szCs w:val="32"/>
        </w:rPr>
        <w:t>0.</w:t>
      </w:r>
      <w:r>
        <w:rPr>
          <w:rFonts w:eastAsia="仿宋_GB2312"/>
          <w:kern w:val="0"/>
          <w:sz w:val="32"/>
          <w:szCs w:val="32"/>
        </w:rPr>
        <w:t>43</w:t>
      </w:r>
      <w:r>
        <w:rPr>
          <w:rFonts w:hint="eastAsia" w:eastAsia="仿宋_GB2312"/>
          <w:kern w:val="0"/>
          <w:sz w:val="32"/>
          <w:szCs w:val="32"/>
        </w:rPr>
        <w:t>万</w:t>
      </w:r>
      <w:r>
        <w:rPr>
          <w:rFonts w:eastAsia="仿宋_GB2312"/>
          <w:kern w:val="0"/>
          <w:sz w:val="32"/>
          <w:szCs w:val="32"/>
        </w:rPr>
        <w:t>元的资金计划，资金为市级财政资金。</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2021年6月收到财政拨款10</w:t>
      </w:r>
      <w:r>
        <w:rPr>
          <w:rFonts w:hint="eastAsia" w:eastAsia="仿宋_GB2312"/>
          <w:kern w:val="0"/>
          <w:sz w:val="32"/>
          <w:szCs w:val="32"/>
        </w:rPr>
        <w:t>0.</w:t>
      </w:r>
      <w:r>
        <w:rPr>
          <w:rFonts w:eastAsia="仿宋_GB2312"/>
          <w:kern w:val="0"/>
          <w:sz w:val="32"/>
          <w:szCs w:val="32"/>
        </w:rPr>
        <w:t>43</w:t>
      </w:r>
      <w:r>
        <w:rPr>
          <w:rFonts w:hint="eastAsia" w:eastAsia="仿宋_GB2312"/>
          <w:kern w:val="0"/>
          <w:sz w:val="32"/>
          <w:szCs w:val="32"/>
        </w:rPr>
        <w:t>万</w:t>
      </w:r>
      <w:r>
        <w:rPr>
          <w:rFonts w:eastAsia="仿宋_GB2312"/>
          <w:kern w:val="0"/>
          <w:sz w:val="32"/>
          <w:szCs w:val="32"/>
        </w:rPr>
        <w:t>元。</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3．资金使用。</w:t>
      </w:r>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公用</w:t>
      </w:r>
      <w:r>
        <w:rPr>
          <w:rFonts w:hint="eastAsia" w:eastAsia="仿宋_GB2312"/>
          <w:sz w:val="32"/>
          <w:szCs w:val="32"/>
        </w:rPr>
        <w:t>经费</w:t>
      </w:r>
      <w:r>
        <w:rPr>
          <w:rFonts w:eastAsia="仿宋_GB2312"/>
          <w:sz w:val="32"/>
          <w:szCs w:val="32"/>
        </w:rPr>
        <w:t>及《浩然成昆》项目业务费</w:t>
      </w:r>
      <w:r>
        <w:rPr>
          <w:rFonts w:eastAsia="仿宋_GB2312"/>
          <w:kern w:val="0"/>
          <w:sz w:val="32"/>
          <w:szCs w:val="32"/>
        </w:rPr>
        <w:t>10</w:t>
      </w:r>
      <w:r>
        <w:rPr>
          <w:rFonts w:hint="eastAsia" w:eastAsia="仿宋_GB2312"/>
          <w:kern w:val="0"/>
          <w:sz w:val="32"/>
          <w:szCs w:val="32"/>
        </w:rPr>
        <w:t>0.</w:t>
      </w:r>
      <w:r>
        <w:rPr>
          <w:rFonts w:eastAsia="仿宋_GB2312"/>
          <w:kern w:val="0"/>
          <w:sz w:val="32"/>
          <w:szCs w:val="32"/>
        </w:rPr>
        <w:t>43</w:t>
      </w:r>
      <w:r>
        <w:rPr>
          <w:rFonts w:hint="eastAsia" w:eastAsia="仿宋_GB2312"/>
          <w:kern w:val="0"/>
          <w:sz w:val="32"/>
          <w:szCs w:val="32"/>
        </w:rPr>
        <w:t>万</w:t>
      </w:r>
      <w:r>
        <w:rPr>
          <w:rFonts w:eastAsia="仿宋_GB2312"/>
          <w:kern w:val="0"/>
          <w:sz w:val="32"/>
          <w:szCs w:val="32"/>
        </w:rPr>
        <w:t>元</w:t>
      </w:r>
      <w:r>
        <w:rPr>
          <w:rFonts w:eastAsia="仿宋_GB2312"/>
          <w:sz w:val="32"/>
          <w:szCs w:val="32"/>
        </w:rPr>
        <w:t>，</w:t>
      </w:r>
      <w:r>
        <w:rPr>
          <w:rFonts w:hint="eastAsia" w:eastAsia="仿宋_GB2312"/>
          <w:sz w:val="32"/>
          <w:szCs w:val="32"/>
        </w:rPr>
        <w:t>主要用于</w:t>
      </w:r>
      <w:r>
        <w:rPr>
          <w:rFonts w:eastAsia="仿宋_GB2312"/>
          <w:sz w:val="32"/>
          <w:szCs w:val="32"/>
        </w:rPr>
        <w:t>办公费、印刷费、水费、电费、邮电费、物业管理费、差旅费、维修费、培训费、公务接待费、专用材料费、劳务费、委托业务费、福利费、税金及附加费用、其他商品和服务支出、办公设备购置费、专用设备购置</w:t>
      </w:r>
      <w:r>
        <w:rPr>
          <w:rFonts w:hint="eastAsia" w:eastAsia="仿宋_GB2312"/>
          <w:sz w:val="32"/>
          <w:szCs w:val="32"/>
        </w:rPr>
        <w:t>等开支</w:t>
      </w:r>
      <w:r>
        <w:rPr>
          <w:rFonts w:eastAsia="仿宋_GB2312"/>
          <w:sz w:val="32"/>
          <w:szCs w:val="32"/>
        </w:rPr>
        <w:t>。2021年全部使用完毕。</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（三）项目财务管理情况。</w:t>
      </w:r>
    </w:p>
    <w:p>
      <w:pPr>
        <w:spacing w:line="600" w:lineRule="exact"/>
        <w:ind w:firstLine="640" w:firstLineChars="200"/>
        <w:rPr>
          <w:rFonts w:eastAsia="仿宋_GB2312"/>
          <w:color w:val="333333"/>
          <w:sz w:val="32"/>
          <w:szCs w:val="32"/>
          <w:shd w:val="clear" w:color="auto" w:fill="FFFFFF"/>
        </w:rPr>
      </w:pPr>
      <w:r>
        <w:rPr>
          <w:rFonts w:eastAsia="仿宋_GB2312"/>
          <w:color w:val="333333"/>
          <w:sz w:val="32"/>
          <w:szCs w:val="32"/>
          <w:shd w:val="clear" w:color="auto" w:fill="FFFFFF"/>
        </w:rPr>
        <w:t>我单位项目资金严格按照市财政局批复的项目和用途使用，未经批准</w:t>
      </w:r>
      <w:r>
        <w:rPr>
          <w:rFonts w:hint="eastAsia" w:eastAsia="仿宋_GB2312"/>
          <w:color w:val="333333"/>
          <w:sz w:val="32"/>
          <w:szCs w:val="32"/>
          <w:shd w:val="clear" w:color="auto" w:fill="FFFFFF"/>
        </w:rPr>
        <w:t>不得</w:t>
      </w:r>
      <w:r>
        <w:rPr>
          <w:rFonts w:eastAsia="仿宋_GB2312"/>
          <w:color w:val="333333"/>
          <w:sz w:val="32"/>
          <w:szCs w:val="32"/>
          <w:shd w:val="clear" w:color="auto" w:fill="FFFFFF"/>
        </w:rPr>
        <w:t>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w:t>
      </w:r>
    </w:p>
    <w:p>
      <w:pPr>
        <w:spacing w:line="600" w:lineRule="exact"/>
        <w:ind w:firstLine="643" w:firstLineChars="200"/>
        <w:rPr>
          <w:rFonts w:eastAsia="仿宋_GB2312"/>
          <w:b/>
          <w:bCs/>
          <w:kern w:val="0"/>
          <w:sz w:val="32"/>
          <w:szCs w:val="32"/>
        </w:rPr>
      </w:pPr>
      <w:r>
        <w:rPr>
          <w:rFonts w:eastAsia="仿宋_GB2312"/>
          <w:b/>
          <w:bCs/>
          <w:kern w:val="0"/>
          <w:sz w:val="32"/>
          <w:szCs w:val="32"/>
        </w:rPr>
        <w:t>三、项目实施及管理情况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结合项目组织实施管理办法，重点围绕以下内容进行分析评价，并对自评中发现的问题分析说明。</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（一）项目组织架构及实施流程。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按规定支付当月的公用经费及业务经费。</w:t>
      </w:r>
    </w:p>
    <w:p>
      <w:pPr>
        <w:autoSpaceDE w:val="0"/>
        <w:autoSpaceDN w:val="0"/>
        <w:adjustRightInd w:val="0"/>
        <w:spacing w:line="600" w:lineRule="exact"/>
        <w:ind w:firstLine="643" w:firstLineChars="200"/>
        <w:jc w:val="left"/>
        <w:rPr>
          <w:rFonts w:eastAsia="仿宋_GB2312"/>
          <w:b/>
          <w:bCs/>
          <w:color w:val="000000"/>
          <w:kern w:val="0"/>
          <w:sz w:val="32"/>
          <w:szCs w:val="32"/>
        </w:rPr>
      </w:pPr>
      <w:r>
        <w:rPr>
          <w:rFonts w:eastAsia="仿宋_GB2312"/>
          <w:b/>
          <w:bCs/>
          <w:kern w:val="0"/>
          <w:sz w:val="32"/>
          <w:szCs w:val="32"/>
        </w:rPr>
        <w:t>（二）项目管理情况。</w:t>
      </w:r>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对专项资金的管理，做到财务管理规范，严格按照有关政策、法规和制度</w:t>
      </w:r>
      <w:r>
        <w:fldChar w:fldCharType="begin"/>
      </w:r>
      <w:r>
        <w:instrText xml:space="preserve"> HYPERLINK "http://www.haoword.com/qiyewenhua/guizhangzhidu/" \t "_blank" </w:instrText>
      </w:r>
      <w:r>
        <w:fldChar w:fldCharType="separate"/>
      </w:r>
      <w:r>
        <w:fldChar w:fldCharType="end"/>
      </w:r>
      <w:r>
        <w:rPr>
          <w:rFonts w:eastAsia="仿宋_GB2312"/>
          <w:sz w:val="32"/>
          <w:szCs w:val="32"/>
        </w:rPr>
        <w:t>办事。建立健全了专项资金的使用、管理制度，完善专项资金的审核制度、内控制度和资金使用台账制度，确保资金安全。</w:t>
      </w:r>
      <w:r>
        <w:rPr>
          <w:rFonts w:eastAsia="仿宋_GB2312"/>
          <w:color w:val="000000"/>
          <w:sz w:val="32"/>
          <w:szCs w:val="32"/>
        </w:rPr>
        <w:t>坚决杜绝</w:t>
      </w:r>
      <w:r>
        <w:rPr>
          <w:rFonts w:eastAsia="仿宋_GB2312"/>
          <w:sz w:val="32"/>
          <w:szCs w:val="32"/>
        </w:rPr>
        <w:t>擅自改变资金的用途和投向。</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（三）项目监管情况。</w:t>
      </w:r>
    </w:p>
    <w:p>
      <w:pPr>
        <w:spacing w:line="600" w:lineRule="exact"/>
        <w:ind w:firstLine="800" w:firstLineChars="250"/>
        <w:rPr>
          <w:rFonts w:eastAsia="仿宋_GB2312"/>
          <w:color w:val="333333"/>
          <w:sz w:val="32"/>
          <w:szCs w:val="32"/>
          <w:shd w:val="clear" w:color="auto" w:fill="FFFFFF"/>
        </w:rPr>
      </w:pPr>
      <w:r>
        <w:rPr>
          <w:rFonts w:eastAsia="仿宋_GB2312"/>
          <w:color w:val="333333"/>
          <w:sz w:val="32"/>
          <w:szCs w:val="32"/>
          <w:shd w:val="clear" w:color="auto" w:fill="FFFFFF"/>
        </w:rPr>
        <w:t>我单位项目资金严格按照市财政局批复的项目和用途使用，未经批准</w:t>
      </w:r>
      <w:r>
        <w:rPr>
          <w:rFonts w:hint="eastAsia" w:eastAsia="仿宋_GB2312"/>
          <w:color w:val="333333"/>
          <w:sz w:val="32"/>
          <w:szCs w:val="32"/>
          <w:shd w:val="clear" w:color="auto" w:fill="FFFFFF"/>
        </w:rPr>
        <w:t>不得</w:t>
      </w:r>
      <w:r>
        <w:rPr>
          <w:rFonts w:eastAsia="仿宋_GB2312"/>
          <w:color w:val="333333"/>
          <w:sz w:val="32"/>
          <w:szCs w:val="32"/>
          <w:shd w:val="clear" w:color="auto" w:fill="FFFFFF"/>
        </w:rPr>
        <w:t>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w:t>
      </w:r>
    </w:p>
    <w:p>
      <w:pPr>
        <w:spacing w:line="600" w:lineRule="exact"/>
        <w:ind w:firstLine="643" w:firstLineChars="200"/>
        <w:rPr>
          <w:rFonts w:eastAsia="仿宋_GB2312"/>
          <w:b/>
          <w:bCs/>
          <w:kern w:val="0"/>
          <w:sz w:val="32"/>
          <w:szCs w:val="32"/>
        </w:rPr>
      </w:pPr>
      <w:r>
        <w:rPr>
          <w:rFonts w:eastAsia="仿宋_GB2312"/>
          <w:b/>
          <w:bCs/>
          <w:kern w:val="0"/>
          <w:sz w:val="32"/>
          <w:szCs w:val="32"/>
        </w:rPr>
        <w:t>四、项目绩效情况</w:t>
      </w:r>
    </w:p>
    <w:p>
      <w:pPr>
        <w:spacing w:line="600" w:lineRule="exact"/>
        <w:ind w:firstLine="643" w:firstLineChars="200"/>
        <w:rPr>
          <w:rFonts w:eastAsia="仿宋_GB2312"/>
          <w:b/>
          <w:bCs/>
          <w:kern w:val="0"/>
          <w:sz w:val="32"/>
          <w:szCs w:val="32"/>
        </w:rPr>
      </w:pPr>
      <w:r>
        <w:rPr>
          <w:rFonts w:eastAsia="仿宋_GB2312"/>
          <w:b/>
          <w:bCs/>
          <w:kern w:val="0"/>
          <w:sz w:val="32"/>
          <w:szCs w:val="32"/>
        </w:rPr>
        <w:t>（一）项目完成情况。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eastAsia="仿宋_GB2312"/>
          <w:kern w:val="0"/>
          <w:sz w:val="32"/>
          <w:szCs w:val="32"/>
        </w:rPr>
        <w:t>．</w:t>
      </w:r>
      <w:r>
        <w:rPr>
          <w:rFonts w:eastAsia="仿宋_GB2312"/>
          <w:color w:val="000000"/>
          <w:sz w:val="32"/>
          <w:szCs w:val="32"/>
        </w:rPr>
        <w:t>数量指标：按要求推选了全市十大原创优秀歌曲以及市歌选举，并制作了专辑及MV的制作等事宜。</w:t>
      </w:r>
    </w:p>
    <w:p>
      <w:pPr>
        <w:widowControl/>
        <w:spacing w:line="600" w:lineRule="exact"/>
        <w:ind w:firstLine="640" w:firstLineChars="200"/>
        <w:rPr>
          <w:rFonts w:eastAsia="仿宋_GB2312"/>
          <w:color w:val="000000"/>
          <w:kern w:val="0"/>
          <w:sz w:val="32"/>
          <w:szCs w:val="32"/>
        </w:rPr>
      </w:pPr>
      <w:r>
        <w:rPr>
          <w:rFonts w:hint="eastAsia" w:eastAsia="仿宋_GB2312"/>
          <w:color w:val="000000"/>
          <w:sz w:val="32"/>
          <w:szCs w:val="32"/>
        </w:rPr>
        <w:t>2</w:t>
      </w:r>
      <w:r>
        <w:rPr>
          <w:rFonts w:eastAsia="仿宋_GB2312"/>
          <w:kern w:val="0"/>
          <w:sz w:val="32"/>
          <w:szCs w:val="32"/>
        </w:rPr>
        <w:t>．</w:t>
      </w:r>
      <w:r>
        <w:rPr>
          <w:rFonts w:eastAsia="仿宋_GB2312"/>
          <w:color w:val="000000"/>
          <w:sz w:val="32"/>
          <w:szCs w:val="32"/>
        </w:rPr>
        <w:t>质量指标：</w:t>
      </w:r>
      <w:r>
        <w:rPr>
          <w:rFonts w:eastAsia="仿宋_GB2312"/>
          <w:color w:val="000000"/>
          <w:kern w:val="0"/>
          <w:sz w:val="32"/>
          <w:szCs w:val="32"/>
        </w:rPr>
        <w:t>我单位较好地完成了2021年此专项的工作任务，各项项目得到有序开展。到年底完成全部项目的100%，资金拨付达到100%，完成项目验收率达到100%。</w:t>
      </w:r>
    </w:p>
    <w:p>
      <w:pPr>
        <w:spacing w:line="600" w:lineRule="exact"/>
        <w:ind w:firstLine="640" w:firstLineChars="200"/>
        <w:rPr>
          <w:rFonts w:eastAsia="仿宋_GB2312"/>
          <w:color w:val="000000"/>
          <w:sz w:val="32"/>
          <w:szCs w:val="32"/>
        </w:rPr>
      </w:pPr>
      <w:r>
        <w:rPr>
          <w:rFonts w:hint="eastAsia" w:eastAsia="仿宋_GB2312"/>
          <w:color w:val="000000"/>
          <w:sz w:val="32"/>
          <w:szCs w:val="32"/>
        </w:rPr>
        <w:t>3</w:t>
      </w:r>
      <w:r>
        <w:rPr>
          <w:rFonts w:eastAsia="仿宋_GB2312"/>
          <w:kern w:val="0"/>
          <w:sz w:val="32"/>
          <w:szCs w:val="32"/>
        </w:rPr>
        <w:t>．</w:t>
      </w:r>
      <w:r>
        <w:rPr>
          <w:rFonts w:eastAsia="仿宋_GB2312"/>
          <w:color w:val="000000"/>
          <w:sz w:val="32"/>
          <w:szCs w:val="32"/>
        </w:rPr>
        <w:t>时效指标：2021年按工作计划进度100%完成各项任务。</w:t>
      </w:r>
    </w:p>
    <w:p>
      <w:pPr>
        <w:spacing w:line="600" w:lineRule="exact"/>
        <w:ind w:firstLine="640" w:firstLineChars="200"/>
        <w:outlineLvl w:val="0"/>
        <w:rPr>
          <w:rFonts w:eastAsia="仿宋_GB2312"/>
          <w:color w:val="000000"/>
          <w:sz w:val="32"/>
          <w:szCs w:val="32"/>
        </w:rPr>
      </w:pPr>
      <w:r>
        <w:rPr>
          <w:rFonts w:hint="eastAsia" w:eastAsia="仿宋_GB2312"/>
          <w:color w:val="000000"/>
          <w:sz w:val="32"/>
          <w:szCs w:val="32"/>
        </w:rPr>
        <w:t>4</w:t>
      </w:r>
      <w:r>
        <w:rPr>
          <w:rFonts w:eastAsia="仿宋_GB2312"/>
          <w:kern w:val="0"/>
          <w:sz w:val="32"/>
          <w:szCs w:val="32"/>
        </w:rPr>
        <w:t>．</w:t>
      </w:r>
      <w:r>
        <w:rPr>
          <w:rFonts w:eastAsia="仿宋_GB2312"/>
          <w:color w:val="000000"/>
          <w:sz w:val="32"/>
          <w:szCs w:val="32"/>
        </w:rPr>
        <w:t>成本指标：2021年按相关资金要求全部完成了工作任务。</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包括项目完成数量、质量、时效、成本等情况，对照项目计划完成目标，对</w:t>
      </w:r>
      <w:r>
        <w:rPr>
          <w:rFonts w:hint="eastAsia" w:eastAsia="仿宋_GB2312"/>
          <w:kern w:val="0"/>
          <w:sz w:val="32"/>
          <w:szCs w:val="32"/>
        </w:rPr>
        <w:t>截至</w:t>
      </w:r>
      <w:r>
        <w:rPr>
          <w:rFonts w:eastAsia="仿宋_GB2312"/>
          <w:kern w:val="0"/>
          <w:sz w:val="32"/>
          <w:szCs w:val="32"/>
        </w:rPr>
        <w:t>评价时点的任务量完成、质量标准、进度计划、成本控制目标的实现程度进行评价，并进行分析说明。</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（二）项目效益情况。</w:t>
      </w:r>
    </w:p>
    <w:p>
      <w:pPr>
        <w:spacing w:line="600" w:lineRule="exact"/>
        <w:ind w:firstLine="640" w:firstLineChars="200"/>
        <w:rPr>
          <w:rFonts w:eastAsia="仿宋_GB2312"/>
          <w:color w:val="000000"/>
          <w:sz w:val="32"/>
          <w:szCs w:val="32"/>
        </w:rPr>
      </w:pPr>
      <w:r>
        <w:rPr>
          <w:rFonts w:hint="eastAsia" w:eastAsia="仿宋_GB2312"/>
          <w:color w:val="000000"/>
          <w:sz w:val="32"/>
          <w:szCs w:val="32"/>
        </w:rPr>
        <w:t>1</w:t>
      </w:r>
      <w:r>
        <w:rPr>
          <w:rFonts w:eastAsia="仿宋_GB2312"/>
          <w:kern w:val="0"/>
          <w:sz w:val="32"/>
          <w:szCs w:val="32"/>
        </w:rPr>
        <w:t>．</w:t>
      </w:r>
      <w:r>
        <w:rPr>
          <w:rFonts w:eastAsia="仿宋_GB2312"/>
          <w:color w:val="000000"/>
          <w:sz w:val="32"/>
          <w:szCs w:val="32"/>
        </w:rPr>
        <w:t>经济效益：公益性演出。</w:t>
      </w:r>
    </w:p>
    <w:p>
      <w:pPr>
        <w:spacing w:line="600" w:lineRule="exact"/>
        <w:ind w:firstLine="640" w:firstLineChars="200"/>
        <w:rPr>
          <w:rFonts w:eastAsia="仿宋_GB2312"/>
          <w:color w:val="000000"/>
          <w:kern w:val="0"/>
          <w:sz w:val="32"/>
          <w:szCs w:val="32"/>
        </w:rPr>
      </w:pPr>
      <w:r>
        <w:rPr>
          <w:rFonts w:hint="eastAsia" w:eastAsia="仿宋_GB2312"/>
          <w:color w:val="000000"/>
          <w:sz w:val="32"/>
          <w:szCs w:val="32"/>
        </w:rPr>
        <w:t>2</w:t>
      </w:r>
      <w:r>
        <w:rPr>
          <w:rFonts w:eastAsia="仿宋_GB2312"/>
          <w:kern w:val="0"/>
          <w:sz w:val="32"/>
          <w:szCs w:val="32"/>
        </w:rPr>
        <w:t>．</w:t>
      </w:r>
      <w:r>
        <w:rPr>
          <w:rFonts w:eastAsia="仿宋_GB2312"/>
          <w:color w:val="000000"/>
          <w:sz w:val="32"/>
          <w:szCs w:val="32"/>
        </w:rPr>
        <w:t>社会效益：</w:t>
      </w:r>
      <w:r>
        <w:rPr>
          <w:rFonts w:eastAsia="仿宋_GB2312"/>
          <w:color w:val="000000"/>
          <w:kern w:val="0"/>
          <w:sz w:val="32"/>
          <w:szCs w:val="32"/>
        </w:rPr>
        <w:t>把文化推向社会、推向基层，让</w:t>
      </w:r>
      <w:r>
        <w:rPr>
          <w:rFonts w:hint="eastAsia" w:eastAsia="仿宋_GB2312"/>
          <w:color w:val="000000"/>
          <w:kern w:val="0"/>
          <w:sz w:val="32"/>
          <w:szCs w:val="32"/>
        </w:rPr>
        <w:t>广大人民群众</w:t>
      </w:r>
      <w:r>
        <w:rPr>
          <w:rFonts w:eastAsia="仿宋_GB2312"/>
          <w:color w:val="000000"/>
          <w:kern w:val="0"/>
          <w:sz w:val="32"/>
          <w:szCs w:val="32"/>
        </w:rPr>
        <w:t>享受文化，丰富</w:t>
      </w:r>
      <w:r>
        <w:rPr>
          <w:rFonts w:hint="eastAsia" w:eastAsia="仿宋_GB2312"/>
          <w:color w:val="000000"/>
          <w:kern w:val="0"/>
          <w:sz w:val="32"/>
          <w:szCs w:val="32"/>
        </w:rPr>
        <w:t>广大人民群众</w:t>
      </w:r>
      <w:r>
        <w:rPr>
          <w:rFonts w:eastAsia="仿宋_GB2312"/>
          <w:color w:val="000000"/>
          <w:kern w:val="0"/>
          <w:sz w:val="32"/>
          <w:szCs w:val="32"/>
        </w:rPr>
        <w:t>的精神文化生活；大力宣传中国传统川剧、让老百姓了解，喜欢、热爱中国传统文化。</w:t>
      </w:r>
    </w:p>
    <w:p>
      <w:pPr>
        <w:spacing w:line="600" w:lineRule="exact"/>
        <w:ind w:firstLine="640" w:firstLineChars="200"/>
        <w:rPr>
          <w:rFonts w:eastAsia="仿宋_GB2312"/>
          <w:color w:val="000000"/>
          <w:sz w:val="32"/>
          <w:szCs w:val="32"/>
        </w:rPr>
      </w:pPr>
      <w:r>
        <w:rPr>
          <w:rFonts w:hint="eastAsia" w:eastAsia="仿宋_GB2312"/>
          <w:color w:val="000000"/>
          <w:sz w:val="32"/>
          <w:szCs w:val="32"/>
        </w:rPr>
        <w:t>3</w:t>
      </w:r>
      <w:r>
        <w:rPr>
          <w:rFonts w:eastAsia="仿宋_GB2312"/>
          <w:kern w:val="0"/>
          <w:sz w:val="32"/>
          <w:szCs w:val="32"/>
        </w:rPr>
        <w:t>．</w:t>
      </w:r>
      <w:r>
        <w:rPr>
          <w:rFonts w:eastAsia="仿宋_GB2312"/>
          <w:color w:val="000000"/>
          <w:sz w:val="32"/>
          <w:szCs w:val="32"/>
        </w:rPr>
        <w:t>可持续影响：项目经我们初步评估，具有极强的可操作性，投入低，社会效益好。</w:t>
      </w:r>
    </w:p>
    <w:p>
      <w:pPr>
        <w:spacing w:line="600" w:lineRule="exact"/>
        <w:ind w:firstLine="643" w:firstLineChars="200"/>
        <w:rPr>
          <w:rFonts w:eastAsia="仿宋_GB2312"/>
          <w:b/>
          <w:bCs/>
          <w:kern w:val="0"/>
          <w:sz w:val="32"/>
          <w:szCs w:val="32"/>
        </w:rPr>
      </w:pPr>
      <w:r>
        <w:rPr>
          <w:rFonts w:eastAsia="仿宋_GB2312"/>
          <w:b/>
          <w:bCs/>
          <w:kern w:val="0"/>
          <w:sz w:val="32"/>
          <w:szCs w:val="32"/>
        </w:rPr>
        <w:t>五、评价结论及建议</w:t>
      </w:r>
    </w:p>
    <w:p>
      <w:pPr>
        <w:spacing w:line="600" w:lineRule="exact"/>
        <w:ind w:firstLine="643" w:firstLineChars="200"/>
        <w:rPr>
          <w:rFonts w:eastAsia="仿宋_GB2312"/>
          <w:b/>
          <w:bCs/>
          <w:kern w:val="0"/>
          <w:sz w:val="32"/>
          <w:szCs w:val="32"/>
        </w:rPr>
      </w:pPr>
      <w:r>
        <w:rPr>
          <w:rFonts w:eastAsia="仿宋_GB2312"/>
          <w:b/>
          <w:bCs/>
          <w:kern w:val="0"/>
          <w:sz w:val="32"/>
          <w:szCs w:val="32"/>
        </w:rPr>
        <w:t>（一）评价结论。</w:t>
      </w:r>
    </w:p>
    <w:p>
      <w:pPr>
        <w:widowControl/>
        <w:spacing w:line="600" w:lineRule="exact"/>
        <w:ind w:firstLine="640" w:firstLineChars="200"/>
        <w:rPr>
          <w:rFonts w:eastAsia="仿宋_GB2312"/>
          <w:color w:val="000000"/>
          <w:kern w:val="0"/>
          <w:sz w:val="32"/>
          <w:szCs w:val="32"/>
        </w:rPr>
      </w:pPr>
      <w:r>
        <w:rPr>
          <w:rFonts w:eastAsia="仿宋_GB2312"/>
          <w:color w:val="000000"/>
          <w:kern w:val="0"/>
          <w:sz w:val="32"/>
          <w:szCs w:val="32"/>
        </w:rPr>
        <w:t>我单位严格按照相应的业务管理制度，规范各项经费的开支。资金使用规范，符合国家财经法规和财务管理以及有关专项资金管理办法的规定；资金的拨付有完整的审批程序和手续；不存在截留、挤占、挪用、虚列支出等情况。保障会计核算准确、财务资料完整。</w:t>
      </w:r>
      <w:r>
        <w:rPr>
          <w:rFonts w:eastAsia="仿宋_GB2312"/>
          <w:color w:val="000000"/>
          <w:sz w:val="32"/>
          <w:szCs w:val="32"/>
        </w:rPr>
        <w:t>全面完成了各项工作。</w:t>
      </w:r>
      <w:r>
        <w:rPr>
          <w:rFonts w:eastAsia="仿宋_GB2312"/>
          <w:color w:val="000000"/>
          <w:kern w:val="0"/>
          <w:sz w:val="32"/>
          <w:szCs w:val="32"/>
        </w:rPr>
        <w:t>我单位按项目实际支出和项目申报绩效目标进行对比分析，所有项目均与批复下达相符。</w:t>
      </w:r>
    </w:p>
    <w:p>
      <w:pPr>
        <w:widowControl/>
        <w:spacing w:line="600" w:lineRule="exact"/>
        <w:ind w:firstLine="675" w:firstLineChars="210"/>
        <w:rPr>
          <w:rFonts w:eastAsia="仿宋_GB2312"/>
          <w:b/>
          <w:bCs/>
          <w:kern w:val="0"/>
          <w:sz w:val="32"/>
          <w:szCs w:val="32"/>
        </w:rPr>
      </w:pPr>
      <w:r>
        <w:rPr>
          <w:rFonts w:eastAsia="仿宋_GB2312"/>
          <w:b/>
          <w:bCs/>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由于改革原因，单位人员只出不进，人员年龄结构老化，设备老化，严重影响节目效果、质量。</w:t>
      </w:r>
    </w:p>
    <w:p>
      <w:pPr>
        <w:autoSpaceDE w:val="0"/>
        <w:autoSpaceDN w:val="0"/>
        <w:adjustRightInd w:val="0"/>
        <w:spacing w:line="600" w:lineRule="exact"/>
        <w:ind w:firstLine="643" w:firstLineChars="200"/>
        <w:jc w:val="left"/>
        <w:rPr>
          <w:rFonts w:eastAsia="仿宋_GB2312"/>
          <w:b/>
          <w:bCs/>
          <w:kern w:val="0"/>
          <w:sz w:val="32"/>
          <w:szCs w:val="32"/>
        </w:rPr>
      </w:pPr>
      <w:r>
        <w:rPr>
          <w:rFonts w:eastAsia="仿宋_GB2312"/>
          <w:b/>
          <w:bCs/>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增加对单位人员的补充、经费的支持。争取创作出更多更好的节目服务于</w:t>
      </w:r>
      <w:r>
        <w:rPr>
          <w:rFonts w:hint="eastAsia" w:eastAsia="仿宋_GB2312"/>
          <w:kern w:val="0"/>
          <w:sz w:val="32"/>
          <w:szCs w:val="32"/>
        </w:rPr>
        <w:t>广大人民群众</w:t>
      </w:r>
      <w:r>
        <w:rPr>
          <w:rFonts w:eastAsia="仿宋_GB2312"/>
          <w:kern w:val="0"/>
          <w:sz w:val="32"/>
          <w:szCs w:val="32"/>
        </w:rPr>
        <w:t>。</w:t>
      </w:r>
    </w:p>
    <w:p>
      <w:pPr>
        <w:rPr>
          <w:rFonts w:eastAsia="黑体"/>
          <w:sz w:val="44"/>
          <w:szCs w:val="44"/>
        </w:rPr>
      </w:pPr>
      <w:r>
        <w:rPr>
          <w:rFonts w:eastAsia="黑体"/>
          <w:sz w:val="44"/>
          <w:szCs w:val="44"/>
        </w:rPr>
        <w:br w:type="page"/>
      </w:r>
    </w:p>
    <w:tbl>
      <w:tblPr>
        <w:tblStyle w:val="14"/>
        <w:tblpPr w:leftFromText="180" w:rightFromText="180" w:vertAnchor="text" w:horzAnchor="page" w:tblpX="1345" w:tblpY="588"/>
        <w:tblOverlap w:val="never"/>
        <w:tblW w:w="9751" w:type="dxa"/>
        <w:tblInd w:w="0" w:type="dxa"/>
        <w:tblLayout w:type="fixed"/>
        <w:tblCellMar>
          <w:top w:w="0" w:type="dxa"/>
          <w:left w:w="108" w:type="dxa"/>
          <w:bottom w:w="0" w:type="dxa"/>
          <w:right w:w="108" w:type="dxa"/>
        </w:tblCellMar>
      </w:tblPr>
      <w:tblGrid>
        <w:gridCol w:w="1619"/>
        <w:gridCol w:w="1124"/>
        <w:gridCol w:w="1530"/>
        <w:gridCol w:w="1215"/>
        <w:gridCol w:w="2089"/>
        <w:gridCol w:w="1938"/>
        <w:gridCol w:w="236"/>
      </w:tblGrid>
      <w:tr>
        <w:tblPrEx>
          <w:tblCellMar>
            <w:top w:w="0" w:type="dxa"/>
            <w:left w:w="108" w:type="dxa"/>
            <w:bottom w:w="0" w:type="dxa"/>
            <w:right w:w="108" w:type="dxa"/>
          </w:tblCellMar>
        </w:tblPrEx>
        <w:trPr>
          <w:trHeight w:val="1432" w:hRule="atLeast"/>
        </w:trPr>
        <w:tc>
          <w:tcPr>
            <w:tcW w:w="9517" w:type="dxa"/>
            <w:gridSpan w:val="6"/>
            <w:tcBorders>
              <w:top w:val="nil"/>
              <w:left w:val="nil"/>
              <w:bottom w:val="nil"/>
              <w:right w:val="nil"/>
            </w:tcBorders>
            <w:shd w:val="clear" w:color="auto" w:fill="auto"/>
            <w:vAlign w:val="center"/>
          </w:tcPr>
          <w:p>
            <w:pPr>
              <w:widowControl/>
              <w:jc w:val="center"/>
              <w:textAlignment w:val="center"/>
              <w:rPr>
                <w:rFonts w:eastAsiaTheme="majorEastAsia"/>
              </w:rPr>
            </w:pPr>
            <w:r>
              <w:rPr>
                <w:b/>
                <w:bCs/>
                <w:sz w:val="32"/>
                <w:szCs w:val="32"/>
              </w:rPr>
              <w:t>公用及京剧《浩然成昆》业务经费</w:t>
            </w:r>
            <w:r>
              <w:rPr>
                <w:b/>
                <w:bCs/>
                <w:sz w:val="36"/>
                <w:szCs w:val="36"/>
              </w:rPr>
              <w:t>项目绩效目标自评表</w:t>
            </w:r>
          </w:p>
        </w:tc>
        <w:tc>
          <w:tcPr>
            <w:tcW w:w="234" w:type="dxa"/>
            <w:tcBorders>
              <w:top w:val="nil"/>
              <w:left w:val="nil"/>
              <w:bottom w:val="nil"/>
              <w:right w:val="nil"/>
            </w:tcBorders>
            <w:shd w:val="clear" w:color="auto" w:fill="auto"/>
            <w:vAlign w:val="center"/>
          </w:tcPr>
          <w:p>
            <w:pPr>
              <w:widowControl/>
              <w:jc w:val="center"/>
              <w:textAlignment w:val="center"/>
              <w:rPr>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r>
              <w:rPr>
                <w:rFonts w:eastAsia="仿宋"/>
                <w:kern w:val="0"/>
                <w:sz w:val="24"/>
              </w:rPr>
              <w:t>主管部门及代码</w:t>
            </w:r>
          </w:p>
        </w:tc>
        <w:tc>
          <w:tcPr>
            <w:tcW w:w="27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eastAsia="仿宋"/>
                <w:sz w:val="24"/>
              </w:rPr>
            </w:pPr>
            <w:r>
              <w:rPr>
                <w:rFonts w:eastAsia="仿宋"/>
                <w:sz w:val="24"/>
              </w:rPr>
              <w:t>攀枝花市文化广播电视和旅游局</w:t>
            </w:r>
            <w:r>
              <w:rPr>
                <w:rFonts w:hint="eastAsia" w:eastAsia="仿宋"/>
                <w:sz w:val="24"/>
              </w:rPr>
              <w:t>－</w:t>
            </w:r>
            <w:r>
              <w:rPr>
                <w:rFonts w:eastAsia="仿宋"/>
                <w:sz w:val="24"/>
              </w:rPr>
              <w:t xml:space="preserve"> 205001</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r>
              <w:rPr>
                <w:rFonts w:eastAsia="仿宋"/>
                <w:kern w:val="0"/>
                <w:sz w:val="24"/>
              </w:rPr>
              <w:t>实施单位</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r>
              <w:rPr>
                <w:rFonts w:eastAsia="仿宋"/>
                <w:sz w:val="24"/>
              </w:rPr>
              <w:t>攀枝花市文化艺术中心</w:t>
            </w:r>
          </w:p>
        </w:tc>
      </w:tr>
      <w:tr>
        <w:tblPrEx>
          <w:tblCellMar>
            <w:top w:w="0" w:type="dxa"/>
            <w:left w:w="108" w:type="dxa"/>
            <w:bottom w:w="0" w:type="dxa"/>
            <w:right w:w="108" w:type="dxa"/>
          </w:tblCellMar>
        </w:tblPrEx>
        <w:trPr>
          <w:gridAfter w:val="1"/>
          <w:wAfter w:w="234" w:type="dxa"/>
          <w:trHeight w:val="341" w:hRule="atLeast"/>
        </w:trPr>
        <w:tc>
          <w:tcPr>
            <w:tcW w:w="27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kern w:val="0"/>
                <w:sz w:val="24"/>
              </w:rPr>
            </w:pPr>
            <w:r>
              <w:rPr>
                <w:rFonts w:eastAsia="仿宋"/>
                <w:kern w:val="0"/>
                <w:sz w:val="24"/>
              </w:rPr>
              <w:t>项目预算</w:t>
            </w:r>
          </w:p>
          <w:p>
            <w:pPr>
              <w:widowControl/>
              <w:spacing w:line="320" w:lineRule="exact"/>
              <w:jc w:val="center"/>
              <w:textAlignment w:val="center"/>
              <w:rPr>
                <w:rFonts w:eastAsia="仿宋"/>
                <w:kern w:val="0"/>
                <w:sz w:val="24"/>
              </w:rPr>
            </w:pPr>
            <w:r>
              <w:rPr>
                <w:rFonts w:eastAsia="仿宋"/>
                <w:kern w:val="0"/>
                <w:sz w:val="24"/>
              </w:rPr>
              <w:t>执行情况</w:t>
            </w:r>
          </w:p>
          <w:p>
            <w:pPr>
              <w:widowControl/>
              <w:spacing w:line="320" w:lineRule="exact"/>
              <w:jc w:val="center"/>
              <w:textAlignment w:val="center"/>
              <w:rPr>
                <w:rFonts w:eastAsia="仿宋"/>
                <w:sz w:val="24"/>
              </w:rPr>
            </w:pPr>
            <w:r>
              <w:rPr>
                <w:rFonts w:eastAsia="仿宋"/>
                <w:kern w:val="0"/>
                <w:sz w:val="24"/>
              </w:rPr>
              <w:t>（万元）</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4"/>
              </w:rPr>
            </w:pPr>
            <w:r>
              <w:rPr>
                <w:rFonts w:eastAsia="仿宋"/>
                <w:kern w:val="0"/>
                <w:sz w:val="24"/>
              </w:rPr>
              <w:t xml:space="preserve"> 预算数：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4"/>
              </w:rPr>
            </w:pPr>
            <w:r>
              <w:rPr>
                <w:rFonts w:eastAsia="仿宋"/>
                <w:sz w:val="24"/>
              </w:rPr>
              <w:t>100.43</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4"/>
              </w:rPr>
            </w:pPr>
            <w:r>
              <w:rPr>
                <w:rFonts w:eastAsia="仿宋"/>
                <w:kern w:val="0"/>
                <w:sz w:val="24"/>
              </w:rPr>
              <w:t xml:space="preserve"> 执行数：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r>
              <w:rPr>
                <w:rFonts w:eastAsia="仿宋"/>
                <w:sz w:val="24"/>
              </w:rPr>
              <w:t>100.43</w:t>
            </w:r>
          </w:p>
        </w:tc>
      </w:tr>
      <w:tr>
        <w:tblPrEx>
          <w:tblCellMar>
            <w:top w:w="0" w:type="dxa"/>
            <w:left w:w="108" w:type="dxa"/>
            <w:bottom w:w="0" w:type="dxa"/>
            <w:right w:w="108" w:type="dxa"/>
          </w:tblCellMar>
        </w:tblPrEx>
        <w:trPr>
          <w:gridAfter w:val="1"/>
          <w:wAfter w:w="234" w:type="dxa"/>
          <w:trHeight w:val="555" w:hRule="atLeast"/>
        </w:trPr>
        <w:tc>
          <w:tcPr>
            <w:tcW w:w="27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4"/>
              </w:rPr>
            </w:pPr>
            <w:r>
              <w:rPr>
                <w:rFonts w:eastAsia="仿宋"/>
                <w:kern w:val="0"/>
                <w:sz w:val="24"/>
              </w:rPr>
              <w:t>其中：</w:t>
            </w:r>
          </w:p>
          <w:p>
            <w:pPr>
              <w:widowControl/>
              <w:spacing w:line="320" w:lineRule="exact"/>
              <w:jc w:val="left"/>
              <w:textAlignment w:val="center"/>
              <w:rPr>
                <w:rFonts w:eastAsia="仿宋"/>
                <w:sz w:val="24"/>
              </w:rPr>
            </w:pPr>
            <w:r>
              <w:rPr>
                <w:rFonts w:eastAsia="仿宋"/>
                <w:kern w:val="0"/>
                <w:sz w:val="24"/>
              </w:rPr>
              <w:t>财政拨款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4"/>
              </w:rPr>
            </w:pPr>
            <w:r>
              <w:rPr>
                <w:rFonts w:eastAsia="仿宋"/>
                <w:sz w:val="24"/>
              </w:rPr>
              <w:t>100.43</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4"/>
              </w:rPr>
            </w:pPr>
            <w:r>
              <w:rPr>
                <w:rFonts w:eastAsia="仿宋"/>
                <w:kern w:val="0"/>
                <w:sz w:val="24"/>
              </w:rPr>
              <w:t>其中：</w:t>
            </w:r>
          </w:p>
          <w:p>
            <w:pPr>
              <w:widowControl/>
              <w:spacing w:line="320" w:lineRule="exact"/>
              <w:jc w:val="left"/>
              <w:textAlignment w:val="center"/>
              <w:rPr>
                <w:rFonts w:eastAsia="仿宋"/>
                <w:sz w:val="24"/>
              </w:rPr>
            </w:pPr>
            <w:r>
              <w:rPr>
                <w:rFonts w:eastAsia="仿宋"/>
                <w:kern w:val="0"/>
                <w:sz w:val="24"/>
              </w:rPr>
              <w:t>财政拨款</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r>
              <w:rPr>
                <w:rFonts w:eastAsia="仿宋"/>
                <w:sz w:val="24"/>
              </w:rPr>
              <w:t>100.43</w:t>
            </w:r>
          </w:p>
        </w:tc>
      </w:tr>
      <w:tr>
        <w:tblPrEx>
          <w:tblCellMar>
            <w:top w:w="0" w:type="dxa"/>
            <w:left w:w="108" w:type="dxa"/>
            <w:bottom w:w="0" w:type="dxa"/>
            <w:right w:w="108" w:type="dxa"/>
          </w:tblCellMar>
        </w:tblPrEx>
        <w:trPr>
          <w:gridAfter w:val="1"/>
          <w:wAfter w:w="234" w:type="dxa"/>
          <w:trHeight w:val="341" w:hRule="atLeast"/>
        </w:trPr>
        <w:tc>
          <w:tcPr>
            <w:tcW w:w="27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4"/>
              </w:rPr>
            </w:pPr>
            <w:r>
              <w:rPr>
                <w:rFonts w:eastAsia="仿宋"/>
                <w:kern w:val="0"/>
                <w:sz w:val="24"/>
              </w:rPr>
              <w:t>其他资金</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4"/>
              </w:rPr>
            </w:pPr>
            <w:r>
              <w:rPr>
                <w:rFonts w:eastAsia="仿宋"/>
                <w:kern w:val="0"/>
                <w:sz w:val="24"/>
              </w:rPr>
              <w:t>其他资金</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p>
        </w:tc>
      </w:tr>
      <w:tr>
        <w:tblPrEx>
          <w:tblCellMar>
            <w:top w:w="0" w:type="dxa"/>
            <w:left w:w="108" w:type="dxa"/>
            <w:bottom w:w="0" w:type="dxa"/>
            <w:right w:w="108" w:type="dxa"/>
          </w:tblCellMar>
        </w:tblPrEx>
        <w:trPr>
          <w:gridAfter w:val="1"/>
          <w:wAfter w:w="234" w:type="dxa"/>
          <w:trHeight w:val="217"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kern w:val="0"/>
                <w:sz w:val="24"/>
              </w:rPr>
            </w:pPr>
            <w:r>
              <w:rPr>
                <w:rFonts w:eastAsia="仿宋"/>
                <w:kern w:val="0"/>
                <w:sz w:val="24"/>
              </w:rPr>
              <w:t>年度总体目标</w:t>
            </w:r>
          </w:p>
          <w:p>
            <w:pPr>
              <w:widowControl/>
              <w:spacing w:line="320" w:lineRule="exact"/>
              <w:jc w:val="center"/>
              <w:textAlignment w:val="center"/>
              <w:rPr>
                <w:rFonts w:eastAsia="仿宋"/>
                <w:sz w:val="24"/>
              </w:rPr>
            </w:pPr>
            <w:r>
              <w:rPr>
                <w:rFonts w:eastAsia="仿宋"/>
                <w:kern w:val="0"/>
                <w:sz w:val="24"/>
              </w:rPr>
              <w:t>完成情况</w:t>
            </w: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r>
              <w:rPr>
                <w:rFonts w:eastAsia="仿宋"/>
                <w:kern w:val="0"/>
                <w:sz w:val="24"/>
              </w:rPr>
              <w:t>预期目标</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r>
              <w:rPr>
                <w:rFonts w:eastAsia="仿宋"/>
                <w:kern w:val="0"/>
                <w:sz w:val="24"/>
              </w:rPr>
              <w:t>目标实际完成情况</w:t>
            </w:r>
          </w:p>
        </w:tc>
      </w:tr>
      <w:tr>
        <w:tblPrEx>
          <w:tblCellMar>
            <w:top w:w="0" w:type="dxa"/>
            <w:left w:w="108" w:type="dxa"/>
            <w:bottom w:w="0" w:type="dxa"/>
            <w:right w:w="108" w:type="dxa"/>
          </w:tblCellMar>
        </w:tblPrEx>
        <w:trPr>
          <w:gridAfter w:val="1"/>
          <w:wAfter w:w="234" w:type="dxa"/>
          <w:trHeight w:val="577"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eastAsia="仿宋"/>
                <w:sz w:val="24"/>
              </w:rPr>
            </w:pPr>
          </w:p>
        </w:tc>
        <w:tc>
          <w:tcPr>
            <w:tcW w:w="3870"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
                <w:sz w:val="24"/>
              </w:rPr>
            </w:pPr>
            <w:r>
              <w:rPr>
                <w:rFonts w:eastAsia="仿宋"/>
                <w:sz w:val="24"/>
              </w:rPr>
              <w:t>2021年度公用经费及业务经费</w:t>
            </w:r>
          </w:p>
        </w:tc>
        <w:tc>
          <w:tcPr>
            <w:tcW w:w="402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
                <w:sz w:val="24"/>
              </w:rPr>
            </w:pPr>
            <w:r>
              <w:rPr>
                <w:rFonts w:eastAsia="仿宋"/>
                <w:sz w:val="24"/>
              </w:rPr>
              <w:t>全面保障了2021年度单位公用经费及业务经费的正常运转。</w:t>
            </w:r>
          </w:p>
        </w:tc>
      </w:tr>
      <w:tr>
        <w:tblPrEx>
          <w:tblCellMar>
            <w:top w:w="0" w:type="dxa"/>
            <w:left w:w="108" w:type="dxa"/>
            <w:bottom w:w="0" w:type="dxa"/>
            <w:right w:w="108" w:type="dxa"/>
          </w:tblCellMar>
        </w:tblPrEx>
        <w:trPr>
          <w:gridAfter w:val="1"/>
          <w:wAfter w:w="234" w:type="dxa"/>
          <w:trHeight w:val="588" w:hRule="atLeast"/>
        </w:trPr>
        <w:tc>
          <w:tcPr>
            <w:tcW w:w="162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r>
              <w:rPr>
                <w:rFonts w:eastAsia="仿宋"/>
                <w:kern w:val="0"/>
                <w:sz w:val="24"/>
              </w:rPr>
              <w:t>年度绩效指标完成情况</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kern w:val="0"/>
                <w:sz w:val="24"/>
              </w:rPr>
            </w:pPr>
            <w:r>
              <w:rPr>
                <w:rFonts w:eastAsia="仿宋"/>
                <w:kern w:val="0"/>
                <w:sz w:val="24"/>
              </w:rPr>
              <w:t>一级</w:t>
            </w:r>
          </w:p>
          <w:p>
            <w:pPr>
              <w:widowControl/>
              <w:spacing w:line="320" w:lineRule="exact"/>
              <w:jc w:val="center"/>
              <w:textAlignment w:val="center"/>
              <w:rPr>
                <w:rFonts w:eastAsia="仿宋"/>
                <w:sz w:val="24"/>
              </w:rPr>
            </w:pPr>
            <w:r>
              <w:rPr>
                <w:rFonts w:eastAsia="仿宋"/>
                <w:kern w:val="0"/>
                <w:sz w:val="24"/>
              </w:rPr>
              <w:t>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kern w:val="0"/>
                <w:sz w:val="24"/>
              </w:rPr>
            </w:pPr>
            <w:r>
              <w:rPr>
                <w:rFonts w:eastAsia="仿宋"/>
                <w:kern w:val="0"/>
                <w:sz w:val="24"/>
              </w:rPr>
              <w:t>二级</w:t>
            </w:r>
          </w:p>
          <w:p>
            <w:pPr>
              <w:widowControl/>
              <w:spacing w:line="320" w:lineRule="exact"/>
              <w:jc w:val="center"/>
              <w:textAlignment w:val="center"/>
              <w:rPr>
                <w:rFonts w:eastAsia="仿宋"/>
                <w:sz w:val="24"/>
              </w:rPr>
            </w:pPr>
            <w:r>
              <w:rPr>
                <w:rFonts w:eastAsia="仿宋"/>
                <w:kern w:val="0"/>
                <w:sz w:val="24"/>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kern w:val="0"/>
                <w:sz w:val="24"/>
              </w:rPr>
            </w:pPr>
            <w:r>
              <w:rPr>
                <w:rFonts w:eastAsia="仿宋"/>
                <w:kern w:val="0"/>
                <w:sz w:val="24"/>
              </w:rPr>
              <w:t>三级</w:t>
            </w:r>
          </w:p>
          <w:p>
            <w:pPr>
              <w:widowControl/>
              <w:spacing w:line="320" w:lineRule="exact"/>
              <w:jc w:val="center"/>
              <w:textAlignment w:val="center"/>
              <w:rPr>
                <w:rFonts w:eastAsia="仿宋"/>
                <w:sz w:val="24"/>
              </w:rPr>
            </w:pPr>
            <w:r>
              <w:rPr>
                <w:rFonts w:eastAsia="仿宋"/>
                <w:kern w:val="0"/>
                <w:sz w:val="24"/>
              </w:rPr>
              <w:t>指标</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r>
              <w:rPr>
                <w:rFonts w:eastAsia="仿宋"/>
                <w:kern w:val="0"/>
                <w:sz w:val="24"/>
              </w:rPr>
              <w:t>预期指标值</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eastAsia="仿宋"/>
                <w:sz w:val="24"/>
              </w:rPr>
            </w:pPr>
            <w:r>
              <w:rPr>
                <w:rFonts w:eastAsia="仿宋"/>
                <w:kern w:val="0"/>
                <w:sz w:val="24"/>
              </w:rPr>
              <w:t>实际完成指标值</w:t>
            </w:r>
          </w:p>
        </w:tc>
      </w:tr>
      <w:tr>
        <w:tblPrEx>
          <w:tblCellMar>
            <w:top w:w="0" w:type="dxa"/>
            <w:left w:w="108" w:type="dxa"/>
            <w:bottom w:w="0" w:type="dxa"/>
            <w:right w:w="108" w:type="dxa"/>
          </w:tblCellMar>
        </w:tblPrEx>
        <w:trPr>
          <w:gridAfter w:val="1"/>
          <w:wAfter w:w="234" w:type="dxa"/>
          <w:trHeight w:val="415"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4"/>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
                <w:kern w:val="0"/>
                <w:sz w:val="24"/>
              </w:rPr>
            </w:pPr>
            <w:r>
              <w:rPr>
                <w:rFonts w:eastAsia="仿宋"/>
                <w:kern w:val="0"/>
                <w:sz w:val="24"/>
              </w:rPr>
              <w:t>完成</w:t>
            </w:r>
          </w:p>
          <w:p>
            <w:pPr>
              <w:widowControl/>
              <w:spacing w:line="320" w:lineRule="exact"/>
              <w:jc w:val="left"/>
              <w:textAlignment w:val="bottom"/>
              <w:rPr>
                <w:rFonts w:eastAsia="仿宋"/>
                <w:sz w:val="24"/>
              </w:rPr>
            </w:pPr>
            <w:r>
              <w:rPr>
                <w:rFonts w:eastAsia="仿宋"/>
                <w:kern w:val="0"/>
                <w:sz w:val="24"/>
              </w:rPr>
              <w:t>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kern w:val="0"/>
                <w:sz w:val="24"/>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基本运行</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137名在编在岗职工</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137名在编在岗职工</w:t>
            </w:r>
          </w:p>
        </w:tc>
      </w:tr>
      <w:tr>
        <w:tblPrEx>
          <w:tblCellMar>
            <w:top w:w="0" w:type="dxa"/>
            <w:left w:w="108" w:type="dxa"/>
            <w:bottom w:w="0" w:type="dxa"/>
            <w:right w:w="108" w:type="dxa"/>
          </w:tblCellMar>
        </w:tblPrEx>
        <w:trPr>
          <w:gridAfter w:val="1"/>
          <w:wAfter w:w="234" w:type="dxa"/>
          <w:trHeight w:val="415"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kern w:val="0"/>
                <w:sz w:val="24"/>
              </w:rPr>
              <w:t>质量指标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内容</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日常公用经费及业务经费</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b/>
                <w:bCs/>
                <w:sz w:val="24"/>
              </w:rPr>
            </w:pPr>
            <w:r>
              <w:rPr>
                <w:rFonts w:eastAsia="仿宋"/>
                <w:sz w:val="24"/>
              </w:rPr>
              <w:t>日常公用经费及业务经费</w:t>
            </w:r>
          </w:p>
        </w:tc>
      </w:tr>
      <w:tr>
        <w:tblPrEx>
          <w:tblCellMar>
            <w:top w:w="0" w:type="dxa"/>
            <w:left w:w="108" w:type="dxa"/>
            <w:bottom w:w="0" w:type="dxa"/>
            <w:right w:w="108" w:type="dxa"/>
          </w:tblCellMar>
        </w:tblPrEx>
        <w:trPr>
          <w:gridAfter w:val="1"/>
          <w:wAfter w:w="234" w:type="dxa"/>
          <w:trHeight w:val="415"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kern w:val="0"/>
                <w:sz w:val="24"/>
              </w:rPr>
              <w:t>时效指标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按计划进行</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2021年12月31日</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2021年12月31日</w:t>
            </w:r>
          </w:p>
        </w:tc>
      </w:tr>
      <w:tr>
        <w:tblPrEx>
          <w:tblCellMar>
            <w:top w:w="0" w:type="dxa"/>
            <w:left w:w="108" w:type="dxa"/>
            <w:bottom w:w="0" w:type="dxa"/>
            <w:right w:w="108" w:type="dxa"/>
          </w:tblCellMar>
        </w:tblPrEx>
        <w:trPr>
          <w:gridAfter w:val="1"/>
          <w:wAfter w:w="234" w:type="dxa"/>
          <w:trHeight w:val="825"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kern w:val="0"/>
                <w:sz w:val="24"/>
              </w:rPr>
              <w:t>成本指标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支付日常公用经费及业务经费</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10</w:t>
            </w:r>
            <w:r>
              <w:rPr>
                <w:rFonts w:hint="eastAsia" w:eastAsia="仿宋"/>
                <w:sz w:val="24"/>
              </w:rPr>
              <w:t>0.</w:t>
            </w:r>
            <w:r>
              <w:rPr>
                <w:rFonts w:eastAsia="仿宋"/>
                <w:sz w:val="24"/>
              </w:rPr>
              <w:t>43万元</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10</w:t>
            </w:r>
            <w:r>
              <w:rPr>
                <w:rFonts w:hint="eastAsia" w:eastAsia="仿宋"/>
                <w:sz w:val="24"/>
              </w:rPr>
              <w:t>0.</w:t>
            </w:r>
            <w:r>
              <w:rPr>
                <w:rFonts w:eastAsia="仿宋"/>
                <w:sz w:val="24"/>
              </w:rPr>
              <w:t>43万元</w:t>
            </w:r>
          </w:p>
        </w:tc>
      </w:tr>
      <w:tr>
        <w:tblPrEx>
          <w:tblCellMar>
            <w:top w:w="0" w:type="dxa"/>
            <w:left w:w="108" w:type="dxa"/>
            <w:bottom w:w="0" w:type="dxa"/>
            <w:right w:w="108" w:type="dxa"/>
          </w:tblCellMar>
        </w:tblPrEx>
        <w:trPr>
          <w:gridAfter w:val="1"/>
          <w:wAfter w:w="234" w:type="dxa"/>
          <w:trHeight w:val="470"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4"/>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
                <w:kern w:val="0"/>
                <w:sz w:val="24"/>
              </w:rPr>
            </w:pPr>
            <w:r>
              <w:rPr>
                <w:rFonts w:eastAsia="仿宋"/>
                <w:kern w:val="0"/>
                <w:sz w:val="24"/>
              </w:rPr>
              <w:t>效益</w:t>
            </w:r>
          </w:p>
          <w:p>
            <w:pPr>
              <w:widowControl/>
              <w:spacing w:line="320" w:lineRule="exact"/>
              <w:jc w:val="left"/>
              <w:textAlignment w:val="bottom"/>
              <w:rPr>
                <w:rFonts w:eastAsia="仿宋"/>
                <w:sz w:val="24"/>
              </w:rPr>
            </w:pPr>
            <w:r>
              <w:rPr>
                <w:rFonts w:eastAsia="仿宋"/>
                <w:kern w:val="0"/>
                <w:sz w:val="24"/>
              </w:rPr>
              <w:t>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kern w:val="0"/>
                <w:sz w:val="24"/>
              </w:rPr>
              <w:t>经济效益  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p>
        </w:tc>
      </w:tr>
      <w:tr>
        <w:tblPrEx>
          <w:tblCellMar>
            <w:top w:w="0" w:type="dxa"/>
            <w:left w:w="108" w:type="dxa"/>
            <w:bottom w:w="0" w:type="dxa"/>
            <w:right w:w="108" w:type="dxa"/>
          </w:tblCellMar>
        </w:tblPrEx>
        <w:trPr>
          <w:gridAfter w:val="1"/>
          <w:wAfter w:w="234" w:type="dxa"/>
          <w:trHeight w:val="1005"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kern w:val="0"/>
                <w:sz w:val="24"/>
              </w:rPr>
              <w:t>社会效益  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推动文化走向基层</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把文化推向社会、推向基层，让</w:t>
            </w:r>
            <w:r>
              <w:rPr>
                <w:rFonts w:hint="eastAsia" w:eastAsia="仿宋"/>
                <w:sz w:val="24"/>
              </w:rPr>
              <w:t>广大人民群众</w:t>
            </w:r>
            <w:r>
              <w:rPr>
                <w:rFonts w:eastAsia="仿宋"/>
                <w:sz w:val="24"/>
              </w:rPr>
              <w:t>享受文化，丰富</w:t>
            </w:r>
            <w:r>
              <w:rPr>
                <w:rFonts w:hint="eastAsia" w:eastAsia="仿宋"/>
                <w:sz w:val="24"/>
              </w:rPr>
              <w:t>广大人民群众</w:t>
            </w:r>
            <w:r>
              <w:rPr>
                <w:rFonts w:eastAsia="仿宋"/>
                <w:sz w:val="24"/>
              </w:rPr>
              <w:t>的精神文化生活。</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把文化推向社会、推向基层，让</w:t>
            </w:r>
            <w:r>
              <w:rPr>
                <w:rFonts w:hint="eastAsia" w:eastAsia="仿宋"/>
                <w:sz w:val="24"/>
              </w:rPr>
              <w:t>广大人民群众</w:t>
            </w:r>
            <w:r>
              <w:rPr>
                <w:rFonts w:eastAsia="仿宋"/>
                <w:sz w:val="24"/>
              </w:rPr>
              <w:t>享受文化，丰富</w:t>
            </w:r>
            <w:r>
              <w:rPr>
                <w:rFonts w:hint="eastAsia" w:eastAsia="仿宋"/>
                <w:sz w:val="24"/>
              </w:rPr>
              <w:t>广大人民群众</w:t>
            </w:r>
            <w:r>
              <w:rPr>
                <w:rFonts w:eastAsia="仿宋"/>
                <w:sz w:val="24"/>
              </w:rPr>
              <w:t>的精神文化生活。</w:t>
            </w:r>
          </w:p>
        </w:tc>
      </w:tr>
      <w:tr>
        <w:tblPrEx>
          <w:tblCellMar>
            <w:top w:w="0" w:type="dxa"/>
            <w:left w:w="108" w:type="dxa"/>
            <w:bottom w:w="0" w:type="dxa"/>
            <w:right w:w="108" w:type="dxa"/>
          </w:tblCellMar>
        </w:tblPrEx>
        <w:trPr>
          <w:gridAfter w:val="1"/>
          <w:wAfter w:w="234" w:type="dxa"/>
          <w:trHeight w:val="480" w:hRule="atLeast"/>
        </w:trPr>
        <w:tc>
          <w:tcPr>
            <w:tcW w:w="1620"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4"/>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4"/>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kern w:val="0"/>
                <w:sz w:val="24"/>
              </w:rPr>
              <w:t>可持续影响 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文化走向基层</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长期</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长期</w:t>
            </w:r>
          </w:p>
        </w:tc>
      </w:tr>
      <w:tr>
        <w:tblPrEx>
          <w:tblCellMar>
            <w:top w:w="0" w:type="dxa"/>
            <w:left w:w="108" w:type="dxa"/>
            <w:bottom w:w="0" w:type="dxa"/>
            <w:right w:w="108" w:type="dxa"/>
          </w:tblCellMar>
        </w:tblPrEx>
        <w:trPr>
          <w:gridAfter w:val="1"/>
          <w:wAfter w:w="234" w:type="dxa"/>
          <w:trHeight w:val="530" w:hRule="atLeast"/>
        </w:trPr>
        <w:tc>
          <w:tcPr>
            <w:tcW w:w="1620"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
                <w:sz w:val="24"/>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kern w:val="0"/>
                <w:sz w:val="24"/>
              </w:rPr>
            </w:pPr>
            <w:r>
              <w:rPr>
                <w:rFonts w:eastAsia="仿宋"/>
                <w:kern w:val="0"/>
                <w:sz w:val="24"/>
              </w:rPr>
              <w:t>满意</w:t>
            </w:r>
          </w:p>
          <w:p>
            <w:pPr>
              <w:widowControl/>
              <w:spacing w:line="320" w:lineRule="exact"/>
              <w:jc w:val="left"/>
              <w:textAlignment w:val="bottom"/>
              <w:rPr>
                <w:rFonts w:eastAsia="仿宋"/>
                <w:sz w:val="24"/>
              </w:rPr>
            </w:pPr>
            <w:r>
              <w:rPr>
                <w:rFonts w:eastAsia="仿宋"/>
                <w:kern w:val="0"/>
                <w:sz w:val="24"/>
              </w:rPr>
              <w:t>度指标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kern w:val="0"/>
                <w:sz w:val="24"/>
              </w:rPr>
            </w:pPr>
            <w:r>
              <w:rPr>
                <w:rFonts w:eastAsia="仿宋"/>
                <w:kern w:val="0"/>
                <w:sz w:val="24"/>
              </w:rPr>
              <w:t>满意度</w:t>
            </w:r>
          </w:p>
          <w:p>
            <w:pPr>
              <w:widowControl/>
              <w:spacing w:line="320" w:lineRule="exact"/>
              <w:jc w:val="left"/>
              <w:textAlignment w:val="bottom"/>
              <w:rPr>
                <w:rFonts w:eastAsia="仿宋"/>
                <w:sz w:val="24"/>
              </w:rPr>
            </w:pPr>
            <w:r>
              <w:rPr>
                <w:rFonts w:eastAsia="仿宋"/>
                <w:kern w:val="0"/>
                <w:sz w:val="24"/>
              </w:rPr>
              <w:t>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满意度</w:t>
            </w:r>
          </w:p>
        </w:tc>
        <w:tc>
          <w:tcPr>
            <w:tcW w:w="20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≥95%</w:t>
            </w:r>
          </w:p>
        </w:tc>
        <w:tc>
          <w:tcPr>
            <w:tcW w:w="193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4"/>
              </w:rPr>
            </w:pPr>
            <w:r>
              <w:rPr>
                <w:rFonts w:eastAsia="仿宋"/>
                <w:sz w:val="24"/>
              </w:rPr>
              <w:t>≥95%</w:t>
            </w:r>
          </w:p>
        </w:tc>
      </w:tr>
    </w:tbl>
    <w:p>
      <w:pPr>
        <w:spacing w:line="600" w:lineRule="exact"/>
        <w:jc w:val="center"/>
        <w:outlineLvl w:val="0"/>
        <w:rPr>
          <w:rFonts w:eastAsia="黑体"/>
          <w:sz w:val="44"/>
          <w:szCs w:val="44"/>
        </w:rPr>
      </w:pPr>
    </w:p>
    <w:p>
      <w:pPr>
        <w:rPr>
          <w:sz w:val="32"/>
          <w:szCs w:val="32"/>
          <w:shd w:val="clear" w:color="auto" w:fill="FFFFFF"/>
          <w:lang w:val="zh-CN"/>
        </w:rPr>
      </w:pPr>
      <w:r>
        <w:rPr>
          <w:sz w:val="32"/>
          <w:szCs w:val="32"/>
          <w:shd w:val="clear" w:color="auto" w:fill="FFFFFF"/>
          <w:lang w:val="zh-CN"/>
        </w:rPr>
        <w:br w:type="page"/>
      </w:r>
    </w:p>
    <w:p>
      <w:pPr>
        <w:pStyle w:val="2"/>
        <w:spacing w:before="93"/>
        <w:rPr>
          <w:rFonts w:ascii="Times New Roman"/>
          <w:sz w:val="32"/>
          <w:szCs w:val="32"/>
          <w:shd w:val="clear" w:color="auto" w:fill="FFFFFF"/>
          <w:lang w:val="zh-CN"/>
        </w:rPr>
      </w:pPr>
      <w:r>
        <w:rPr>
          <w:rFonts w:ascii="Times New Roman"/>
          <w:sz w:val="32"/>
          <w:szCs w:val="32"/>
          <w:shd w:val="clear" w:color="auto" w:fill="FFFFFF"/>
          <w:lang w:val="zh-CN"/>
        </w:rPr>
        <w:t>附件2-5</w:t>
      </w:r>
    </w:p>
    <w:p>
      <w:pPr>
        <w:pStyle w:val="35"/>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攀枝花三线建设博物馆</w:t>
      </w:r>
    </w:p>
    <w:p>
      <w:pPr>
        <w:spacing w:line="580" w:lineRule="exact"/>
        <w:jc w:val="center"/>
        <w:rPr>
          <w:rFonts w:eastAsia="黑体"/>
          <w:bCs/>
          <w:sz w:val="32"/>
          <w:szCs w:val="32"/>
        </w:rPr>
      </w:pPr>
      <w:r>
        <w:rPr>
          <w:rFonts w:eastAsia="方正小标宋_GBK"/>
          <w:sz w:val="44"/>
          <w:szCs w:val="44"/>
        </w:rPr>
        <w:t>省级文物保护专项资金项目支出绩效自评报告</w:t>
      </w:r>
    </w:p>
    <w:p>
      <w:pPr>
        <w:spacing w:line="580" w:lineRule="exact"/>
        <w:ind w:firstLine="640" w:firstLineChars="200"/>
        <w:rPr>
          <w:rFonts w:eastAsia="黑体"/>
          <w:bCs/>
          <w:sz w:val="32"/>
          <w:szCs w:val="32"/>
        </w:rPr>
      </w:pPr>
    </w:p>
    <w:p>
      <w:pPr>
        <w:spacing w:line="580" w:lineRule="exact"/>
        <w:ind w:firstLine="640" w:firstLineChars="200"/>
        <w:rPr>
          <w:rFonts w:eastAsia="黑体"/>
          <w:bCs/>
          <w:sz w:val="32"/>
          <w:szCs w:val="32"/>
        </w:rPr>
      </w:pPr>
      <w:r>
        <w:rPr>
          <w:rFonts w:eastAsia="黑体"/>
          <w:bCs/>
          <w:sz w:val="32"/>
          <w:szCs w:val="32"/>
        </w:rPr>
        <w:t>一、项目概况</w:t>
      </w:r>
    </w:p>
    <w:p>
      <w:pPr>
        <w:spacing w:line="580" w:lineRule="exact"/>
        <w:ind w:firstLine="640" w:firstLineChars="200"/>
        <w:rPr>
          <w:rFonts w:eastAsia="楷体_GB2312"/>
          <w:sz w:val="32"/>
          <w:szCs w:val="32"/>
        </w:rPr>
      </w:pPr>
      <w:r>
        <w:rPr>
          <w:rFonts w:eastAsia="楷体_GB2312"/>
          <w:sz w:val="32"/>
          <w:szCs w:val="32"/>
        </w:rPr>
        <w:t>（一）项目基本情况</w:t>
      </w:r>
      <w:r>
        <w:rPr>
          <w:rFonts w:hint="eastAsia" w:eastAsia="楷体_GB2312"/>
          <w:sz w:val="32"/>
          <w:szCs w:val="32"/>
        </w:rPr>
        <w:t>。</w:t>
      </w:r>
    </w:p>
    <w:p>
      <w:pPr>
        <w:spacing w:line="600" w:lineRule="exact"/>
        <w:ind w:firstLine="640" w:firstLineChars="200"/>
        <w:rPr>
          <w:rFonts w:eastAsia="仿宋_GB2312"/>
          <w:sz w:val="32"/>
          <w:szCs w:val="32"/>
        </w:rPr>
      </w:pPr>
      <w:r>
        <w:rPr>
          <w:rFonts w:eastAsia="仿宋_GB2312"/>
          <w:sz w:val="32"/>
          <w:szCs w:val="32"/>
        </w:rPr>
        <w:t>1</w:t>
      </w:r>
      <w:r>
        <w:rPr>
          <w:rFonts w:eastAsia="仿宋_GB2312"/>
          <w:kern w:val="0"/>
          <w:sz w:val="32"/>
          <w:szCs w:val="32"/>
        </w:rPr>
        <w:t>．</w:t>
      </w:r>
      <w:r>
        <w:rPr>
          <w:rFonts w:eastAsia="仿宋_GB2312"/>
          <w:sz w:val="32"/>
          <w:szCs w:val="32"/>
          <w:lang w:val="zh-CN"/>
        </w:rPr>
        <w:t>攀枝花中国三线建设</w:t>
      </w:r>
      <w:r>
        <w:rPr>
          <w:rFonts w:eastAsia="仿宋_GB2312"/>
          <w:sz w:val="32"/>
          <w:szCs w:val="32"/>
        </w:rPr>
        <w:t>博物馆位于四川省攀枝花市仁和区三线大道77号，占地面积59亩，建设总面积24023平方米，项目总投资3.4亿元。2014年2月博物馆主体工程动工，2015年3月3日建成并免费对外开放。攀枝花开发建设纪念馆位于四川省攀枝花市东区大渡口北街2号，总占地面积2100平方米，总建筑面积1854平方米，其中展厅面积400平方米，馆藏文物1000余件。2009年列为国家免费开放纪念馆，2012年8月公布为省级文物保护单位。2021年省级文物保护专项资金主要用于博物馆的文物征集、文物安全设施设备、文物保护培训、文物安全检查等。</w:t>
      </w:r>
    </w:p>
    <w:p>
      <w:pPr>
        <w:spacing w:line="600" w:lineRule="exact"/>
        <w:ind w:firstLine="640" w:firstLineChars="200"/>
        <w:rPr>
          <w:rFonts w:eastAsia="仿宋_GB2312"/>
          <w:sz w:val="32"/>
          <w:szCs w:val="32"/>
        </w:rPr>
      </w:pPr>
      <w:r>
        <w:rPr>
          <w:rFonts w:eastAsia="仿宋_GB2312"/>
          <w:sz w:val="32"/>
          <w:szCs w:val="32"/>
        </w:rPr>
        <w:t>2</w:t>
      </w:r>
      <w:r>
        <w:rPr>
          <w:rFonts w:eastAsia="仿宋_GB2312"/>
          <w:kern w:val="0"/>
          <w:sz w:val="32"/>
          <w:szCs w:val="32"/>
        </w:rPr>
        <w:t>．</w:t>
      </w:r>
      <w:r>
        <w:rPr>
          <w:rFonts w:eastAsia="仿宋_GB2312"/>
          <w:sz w:val="32"/>
          <w:szCs w:val="32"/>
        </w:rPr>
        <w:t>项目立项依据、资金申报的依据。</w:t>
      </w:r>
    </w:p>
    <w:p>
      <w:pPr>
        <w:spacing w:line="600" w:lineRule="exact"/>
        <w:ind w:firstLine="640" w:firstLineChars="200"/>
        <w:rPr>
          <w:rFonts w:eastAsia="仿宋_GB2312"/>
          <w:sz w:val="32"/>
          <w:szCs w:val="32"/>
        </w:rPr>
      </w:pPr>
      <w:r>
        <w:rPr>
          <w:rFonts w:eastAsia="仿宋_GB2312"/>
          <w:sz w:val="32"/>
          <w:szCs w:val="32"/>
        </w:rPr>
        <w:t>按照四川省文物局、四川省财政厅《关于申报2021年度省级文物保护专项资金的通知》（川文物发</w:t>
      </w:r>
      <w:r>
        <w:rPr>
          <w:rFonts w:eastAsia="仿宋_GB2312"/>
          <w:sz w:val="32"/>
          <w:szCs w:val="32"/>
          <w:shd w:val="clear" w:color="auto" w:fill="FFFFFF"/>
        </w:rPr>
        <w:t>〔20</w:t>
      </w:r>
      <w:r>
        <w:rPr>
          <w:rFonts w:hint="eastAsia" w:eastAsia="仿宋_GB2312"/>
          <w:sz w:val="32"/>
          <w:szCs w:val="32"/>
          <w:shd w:val="clear" w:color="auto" w:fill="FFFFFF"/>
        </w:rPr>
        <w:t>20</w:t>
      </w:r>
      <w:r>
        <w:rPr>
          <w:rFonts w:eastAsia="仿宋_GB2312"/>
          <w:sz w:val="32"/>
          <w:szCs w:val="32"/>
          <w:shd w:val="clear" w:color="auto" w:fill="FFFFFF"/>
        </w:rPr>
        <w:t>〕</w:t>
      </w:r>
      <w:r>
        <w:rPr>
          <w:rFonts w:eastAsia="仿宋_GB2312"/>
          <w:sz w:val="32"/>
          <w:szCs w:val="32"/>
        </w:rPr>
        <w:t>63号）要求，结合博物馆实际情况，经研究，博物馆于2020年申请2021年度省级文物保护专项资金，编辑上报相关申报材料，2021年8月根据《四川省财政厅 四川省文物局关于提前关于下达2021年第二批国家文物保护专项资金和省级文物保护专项资金预算的通知》（川财教〔2021〕78号）的文件要求，下达省级文物保护资金130万。</w:t>
      </w:r>
    </w:p>
    <w:p>
      <w:pPr>
        <w:spacing w:line="600" w:lineRule="exact"/>
        <w:ind w:firstLine="640" w:firstLineChars="200"/>
        <w:rPr>
          <w:rFonts w:eastAsia="仿宋_GB2312"/>
          <w:sz w:val="32"/>
          <w:szCs w:val="32"/>
        </w:rPr>
      </w:pPr>
      <w:r>
        <w:rPr>
          <w:rFonts w:eastAsia="仿宋_GB2312"/>
          <w:sz w:val="32"/>
          <w:szCs w:val="32"/>
        </w:rPr>
        <w:t>3</w:t>
      </w:r>
      <w:r>
        <w:rPr>
          <w:rFonts w:eastAsia="仿宋_GB2312"/>
          <w:kern w:val="0"/>
          <w:sz w:val="32"/>
          <w:szCs w:val="32"/>
        </w:rPr>
        <w:t>．</w:t>
      </w:r>
      <w:r>
        <w:rPr>
          <w:rFonts w:eastAsia="仿宋_GB2312"/>
          <w:sz w:val="32"/>
          <w:szCs w:val="32"/>
        </w:rPr>
        <w:t>资金管理办法主要依据</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严格按照《博物馆专项资金管理制度》和《政府会计制度》管理。</w:t>
      </w:r>
    </w:p>
    <w:p>
      <w:pPr>
        <w:spacing w:line="600" w:lineRule="exact"/>
        <w:ind w:firstLine="640" w:firstLineChars="200"/>
        <w:rPr>
          <w:rFonts w:eastAsia="仿宋_GB2312"/>
          <w:sz w:val="32"/>
          <w:szCs w:val="32"/>
        </w:rPr>
      </w:pPr>
      <w:r>
        <w:rPr>
          <w:rFonts w:eastAsia="仿宋_GB2312"/>
          <w:sz w:val="32"/>
          <w:szCs w:val="32"/>
        </w:rPr>
        <w:t>4</w:t>
      </w:r>
      <w:r>
        <w:rPr>
          <w:rFonts w:eastAsia="仿宋_GB2312"/>
          <w:kern w:val="0"/>
          <w:sz w:val="32"/>
          <w:szCs w:val="32"/>
        </w:rPr>
        <w:t>．</w:t>
      </w:r>
      <w:r>
        <w:rPr>
          <w:rFonts w:eastAsia="仿宋_GB2312"/>
          <w:sz w:val="32"/>
          <w:szCs w:val="32"/>
        </w:rPr>
        <w:t>资金分配的原则及考虑因素</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根据明细项目需求，资金分配为：</w:t>
      </w:r>
      <w:r>
        <w:rPr>
          <w:rFonts w:eastAsia="仿宋_GB2312"/>
          <w:color w:val="000000" w:themeColor="text1"/>
          <w:sz w:val="32"/>
          <w:szCs w:val="32"/>
          <w:lang w:val="zh-CN"/>
          <w14:textFill>
            <w14:solidFill>
              <w14:schemeClr w14:val="tx1"/>
            </w14:solidFill>
          </w14:textFill>
        </w:rPr>
        <w:t>文物安全设施设备维修工程</w:t>
      </w:r>
      <w:r>
        <w:rPr>
          <w:rFonts w:hint="eastAsia" w:eastAsia="仿宋_GB2312"/>
          <w:color w:val="000000" w:themeColor="text1"/>
          <w:sz w:val="32"/>
          <w:szCs w:val="32"/>
          <w:lang w:val="zh-CN"/>
          <w14:textFill>
            <w14:solidFill>
              <w14:schemeClr w14:val="tx1"/>
            </w14:solidFill>
          </w14:textFill>
        </w:rPr>
        <w:t>截至目前</w:t>
      </w:r>
      <w:r>
        <w:rPr>
          <w:rFonts w:eastAsia="仿宋_GB2312"/>
          <w:color w:val="000000" w:themeColor="text1"/>
          <w:sz w:val="32"/>
          <w:szCs w:val="32"/>
          <w:lang w:val="zh-CN"/>
          <w14:textFill>
            <w14:solidFill>
              <w14:schemeClr w14:val="tx1"/>
            </w14:solidFill>
          </w14:textFill>
        </w:rPr>
        <w:t>已完成，共计支付款项</w:t>
      </w:r>
      <w:r>
        <w:rPr>
          <w:rFonts w:eastAsia="仿宋_GB2312"/>
          <w:color w:val="000000" w:themeColor="text1"/>
          <w:sz w:val="32"/>
          <w:szCs w:val="32"/>
          <w14:textFill>
            <w14:solidFill>
              <w14:schemeClr w14:val="tx1"/>
            </w14:solidFill>
          </w14:textFill>
        </w:rPr>
        <w:t>30万元；博物馆办公楼及室外防水维修工程项目第一笔款29.8万元使用省级文保资金支付，剩余款项使用市级专项资金支付；</w:t>
      </w:r>
      <w:r>
        <w:rPr>
          <w:rFonts w:eastAsia="仿宋_GB2312"/>
          <w:sz w:val="32"/>
          <w:szCs w:val="32"/>
          <w:lang w:val="zh-CN"/>
        </w:rPr>
        <w:t>监控系统改造升级项目预计使用</w:t>
      </w:r>
      <w:r>
        <w:rPr>
          <w:rFonts w:eastAsia="仿宋_GB2312"/>
          <w:sz w:val="32"/>
          <w:szCs w:val="32"/>
        </w:rPr>
        <w:t>55万元；</w:t>
      </w:r>
      <w:r>
        <w:rPr>
          <w:rFonts w:eastAsia="仿宋_GB2312"/>
          <w:color w:val="000000" w:themeColor="text1"/>
          <w:sz w:val="32"/>
          <w:szCs w:val="32"/>
          <w14:textFill>
            <w14:solidFill>
              <w14:schemeClr w14:val="tx1"/>
            </w14:solidFill>
          </w14:textFill>
        </w:rPr>
        <w:t>攀枝花市文物安全责任公示牌项目预计投入13万元。</w:t>
      </w:r>
    </w:p>
    <w:p>
      <w:pPr>
        <w:spacing w:line="580" w:lineRule="exact"/>
        <w:ind w:firstLine="640" w:firstLineChars="200"/>
        <w:rPr>
          <w:rFonts w:eastAsia="楷体_GB2312"/>
          <w:sz w:val="32"/>
          <w:szCs w:val="32"/>
        </w:rPr>
      </w:pPr>
      <w:r>
        <w:rPr>
          <w:rFonts w:eastAsia="楷体_GB2312"/>
          <w:sz w:val="32"/>
          <w:szCs w:val="32"/>
        </w:rPr>
        <w:t>（二）项目绩效目标</w:t>
      </w:r>
      <w:r>
        <w:rPr>
          <w:rFonts w:hint="eastAsia" w:eastAsia="楷体_GB2312"/>
          <w:sz w:val="32"/>
          <w:szCs w:val="32"/>
        </w:rPr>
        <w:t>。</w:t>
      </w:r>
    </w:p>
    <w:p>
      <w:pPr>
        <w:spacing w:line="600" w:lineRule="exact"/>
        <w:ind w:firstLine="640" w:firstLineChars="200"/>
        <w:rPr>
          <w:rFonts w:eastAsia="仿宋_GB2312"/>
          <w:sz w:val="32"/>
          <w:szCs w:val="32"/>
        </w:rPr>
      </w:pPr>
      <w:r>
        <w:rPr>
          <w:rFonts w:eastAsia="仿宋_GB2312"/>
          <w:sz w:val="32"/>
          <w:szCs w:val="32"/>
        </w:rPr>
        <w:t>1</w:t>
      </w:r>
      <w:r>
        <w:rPr>
          <w:rFonts w:eastAsia="仿宋_GB2312"/>
          <w:kern w:val="0"/>
          <w:sz w:val="32"/>
          <w:szCs w:val="32"/>
        </w:rPr>
        <w:t>．</w:t>
      </w:r>
      <w:r>
        <w:rPr>
          <w:rFonts w:eastAsia="仿宋_GB2312"/>
          <w:sz w:val="32"/>
          <w:szCs w:val="32"/>
        </w:rPr>
        <w:t>项目主要内容</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博物馆省级文物保护专项资金用于办公楼及室外防水维修、监控系统改造升级、文物安全设施维修、</w:t>
      </w:r>
      <w:r>
        <w:rPr>
          <w:rFonts w:eastAsia="仿宋_GB2312"/>
          <w:color w:val="000000" w:themeColor="text1"/>
          <w:sz w:val="32"/>
          <w:szCs w:val="32"/>
          <w14:textFill>
            <w14:solidFill>
              <w14:schemeClr w14:val="tx1"/>
            </w14:solidFill>
          </w14:textFill>
        </w:rPr>
        <w:t>攀枝花市文物安全责任公示牌项目</w:t>
      </w:r>
      <w:r>
        <w:rPr>
          <w:rFonts w:eastAsia="仿宋_GB2312"/>
          <w:sz w:val="32"/>
          <w:szCs w:val="32"/>
        </w:rPr>
        <w:t>等项目；</w:t>
      </w:r>
    </w:p>
    <w:p>
      <w:pPr>
        <w:spacing w:line="600" w:lineRule="exact"/>
        <w:ind w:firstLine="640" w:firstLineChars="200"/>
        <w:rPr>
          <w:rFonts w:eastAsia="仿宋_GB2312"/>
          <w:sz w:val="32"/>
          <w:szCs w:val="32"/>
        </w:rPr>
      </w:pPr>
      <w:r>
        <w:rPr>
          <w:rFonts w:eastAsia="仿宋_GB2312"/>
          <w:sz w:val="32"/>
          <w:szCs w:val="32"/>
        </w:rPr>
        <w:t>2</w:t>
      </w:r>
      <w:r>
        <w:rPr>
          <w:rFonts w:eastAsia="仿宋_GB2312"/>
          <w:kern w:val="0"/>
          <w:sz w:val="32"/>
          <w:szCs w:val="32"/>
        </w:rPr>
        <w:t>．</w:t>
      </w:r>
      <w:r>
        <w:rPr>
          <w:rFonts w:eastAsia="仿宋_GB2312"/>
          <w:sz w:val="32"/>
          <w:szCs w:val="32"/>
        </w:rPr>
        <w:t>项目应实现的具体绩效目标</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①征集、购买三线文物。</w:t>
      </w:r>
    </w:p>
    <w:p>
      <w:pPr>
        <w:spacing w:line="600" w:lineRule="exact"/>
        <w:ind w:firstLine="640" w:firstLineChars="200"/>
        <w:rPr>
          <w:rFonts w:eastAsia="仿宋_GB2312"/>
          <w:sz w:val="32"/>
          <w:szCs w:val="32"/>
        </w:rPr>
      </w:pPr>
      <w:r>
        <w:rPr>
          <w:rFonts w:eastAsia="仿宋_GB2312"/>
          <w:sz w:val="32"/>
          <w:szCs w:val="32"/>
        </w:rPr>
        <w:t>②组织参加文物保护培训。</w:t>
      </w:r>
    </w:p>
    <w:p>
      <w:pPr>
        <w:spacing w:line="600" w:lineRule="exact"/>
        <w:ind w:firstLine="640" w:firstLineChars="200"/>
        <w:rPr>
          <w:rFonts w:eastAsia="仿宋_GB2312"/>
          <w:sz w:val="32"/>
          <w:szCs w:val="32"/>
        </w:rPr>
      </w:pPr>
      <w:r>
        <w:rPr>
          <w:rFonts w:eastAsia="仿宋_GB2312"/>
          <w:sz w:val="32"/>
          <w:szCs w:val="32"/>
        </w:rPr>
        <w:t>③开展文物安全专项检查。</w:t>
      </w:r>
    </w:p>
    <w:p>
      <w:pPr>
        <w:spacing w:line="600" w:lineRule="exact"/>
        <w:ind w:firstLine="640" w:firstLineChars="200"/>
        <w:rPr>
          <w:rFonts w:eastAsia="仿宋_GB2312"/>
          <w:sz w:val="32"/>
          <w:szCs w:val="32"/>
        </w:rPr>
      </w:pPr>
      <w:r>
        <w:rPr>
          <w:rFonts w:eastAsia="仿宋_GB2312"/>
          <w:sz w:val="32"/>
          <w:szCs w:val="32"/>
        </w:rPr>
        <w:t>④计划对视频监控系统进行升级改造，提升文物安全管控。</w:t>
      </w:r>
    </w:p>
    <w:p>
      <w:pPr>
        <w:spacing w:line="600" w:lineRule="exact"/>
        <w:ind w:firstLine="640" w:firstLineChars="200"/>
        <w:rPr>
          <w:rFonts w:eastAsia="仿宋_GB2312"/>
          <w:sz w:val="32"/>
          <w:szCs w:val="32"/>
        </w:rPr>
      </w:pPr>
      <w:r>
        <w:rPr>
          <w:rFonts w:eastAsia="仿宋_GB2312"/>
          <w:sz w:val="32"/>
          <w:szCs w:val="32"/>
        </w:rPr>
        <w:t>⑤对各类影响文物安全的设施设备进行维修。</w:t>
      </w:r>
    </w:p>
    <w:p>
      <w:pPr>
        <w:spacing w:line="600" w:lineRule="exact"/>
        <w:ind w:firstLine="640" w:firstLineChars="200"/>
        <w:rPr>
          <w:rFonts w:eastAsia="仿宋_GB2312"/>
          <w:sz w:val="32"/>
          <w:szCs w:val="32"/>
        </w:rPr>
      </w:pPr>
      <w:r>
        <w:rPr>
          <w:rFonts w:hint="eastAsia" w:eastAsia="仿宋_GB2312"/>
          <w:sz w:val="32"/>
          <w:szCs w:val="32"/>
        </w:rPr>
        <w:t>3</w:t>
      </w:r>
      <w:r>
        <w:rPr>
          <w:rFonts w:eastAsia="仿宋_GB2312"/>
          <w:kern w:val="0"/>
          <w:sz w:val="32"/>
          <w:szCs w:val="32"/>
        </w:rPr>
        <w:t>．</w:t>
      </w:r>
      <w:r>
        <w:rPr>
          <w:rFonts w:eastAsia="仿宋_GB2312"/>
          <w:sz w:val="32"/>
          <w:szCs w:val="32"/>
        </w:rPr>
        <w:t>申报内容与实际相符，申报目标合理可行</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博物馆对省级文物保护专项项目和中央、省级免开资金的申报内容与具体实施内容相符，申报目标合理可行。</w:t>
      </w:r>
    </w:p>
    <w:p>
      <w:pPr>
        <w:spacing w:line="580" w:lineRule="exact"/>
        <w:ind w:firstLine="640" w:firstLineChars="200"/>
        <w:rPr>
          <w:rFonts w:eastAsia="黑体"/>
          <w:bCs/>
          <w:sz w:val="32"/>
          <w:szCs w:val="32"/>
        </w:rPr>
      </w:pPr>
      <w:r>
        <w:rPr>
          <w:rFonts w:eastAsia="黑体"/>
          <w:bCs/>
          <w:sz w:val="32"/>
          <w:szCs w:val="32"/>
        </w:rPr>
        <w:t>二、项目资金申报及使用情况</w:t>
      </w:r>
    </w:p>
    <w:p>
      <w:pPr>
        <w:spacing w:line="580" w:lineRule="exact"/>
        <w:ind w:firstLine="640" w:firstLineChars="200"/>
        <w:rPr>
          <w:rFonts w:eastAsia="楷体_GB2312"/>
          <w:sz w:val="32"/>
          <w:szCs w:val="32"/>
        </w:rPr>
      </w:pPr>
      <w:r>
        <w:rPr>
          <w:rFonts w:eastAsia="楷体_GB2312"/>
          <w:sz w:val="32"/>
          <w:szCs w:val="32"/>
        </w:rPr>
        <w:t>（一）项目资金申报及批复情况</w:t>
      </w:r>
      <w:r>
        <w:rPr>
          <w:rFonts w:hint="eastAsia" w:eastAsia="楷体_GB2312"/>
          <w:sz w:val="32"/>
          <w:szCs w:val="32"/>
        </w:rPr>
        <w:t>。</w:t>
      </w:r>
    </w:p>
    <w:p>
      <w:pPr>
        <w:adjustRightInd w:val="0"/>
        <w:snapToGrid w:val="0"/>
        <w:spacing w:line="600" w:lineRule="exact"/>
        <w:ind w:firstLine="640" w:firstLineChars="200"/>
        <w:rPr>
          <w:rFonts w:eastAsia="仿宋_GB2312"/>
          <w:sz w:val="32"/>
          <w:szCs w:val="32"/>
        </w:rPr>
      </w:pPr>
      <w:r>
        <w:rPr>
          <w:rFonts w:eastAsia="仿宋_GB2312"/>
          <w:sz w:val="32"/>
          <w:szCs w:val="32"/>
          <w:lang w:val="zh-CN"/>
        </w:rPr>
        <w:t>根据</w:t>
      </w:r>
      <w:r>
        <w:rPr>
          <w:rFonts w:eastAsia="仿宋_GB2312"/>
          <w:sz w:val="32"/>
          <w:szCs w:val="32"/>
        </w:rPr>
        <w:t>《攀枝花市财政局关于下达2021年第二批国家文物保护专项资金和省级文物保护专项资金预算的通知》（攀财资教〔2021〕57号）文件要求，于</w:t>
      </w:r>
      <w:r>
        <w:rPr>
          <w:rFonts w:eastAsia="仿宋_GB2312"/>
          <w:sz w:val="32"/>
          <w:szCs w:val="32"/>
          <w:lang w:val="zh-CN"/>
        </w:rPr>
        <w:t>2021年8月</w:t>
      </w:r>
      <w:r>
        <w:rPr>
          <w:rFonts w:eastAsia="仿宋_GB2312"/>
          <w:sz w:val="32"/>
          <w:szCs w:val="32"/>
        </w:rPr>
        <w:t>收到省级文物保护专项资金130万元，</w:t>
      </w:r>
      <w:r>
        <w:rPr>
          <w:rFonts w:hint="eastAsia" w:eastAsia="仿宋_GB2312"/>
          <w:sz w:val="32"/>
          <w:szCs w:val="32"/>
        </w:rPr>
        <w:t>截至2021年</w:t>
      </w:r>
      <w:r>
        <w:rPr>
          <w:rFonts w:eastAsia="仿宋_GB2312"/>
          <w:sz w:val="32"/>
          <w:szCs w:val="32"/>
        </w:rPr>
        <w:t>年底使用资金30万元，剩余资金根据市财政要求结转回收指标，2021年无结余。</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仿宋_GB2312"/>
          <w:kern w:val="0"/>
          <w:sz w:val="32"/>
          <w:szCs w:val="32"/>
        </w:rPr>
        <w:t>1．资金计划</w:t>
      </w:r>
      <w:r>
        <w:rPr>
          <w:rFonts w:eastAsia="楷体_GB2312"/>
          <w:kern w:val="0"/>
          <w:sz w:val="32"/>
          <w:szCs w:val="32"/>
        </w:rPr>
        <w:t>。</w:t>
      </w:r>
    </w:p>
    <w:p>
      <w:pPr>
        <w:spacing w:line="600" w:lineRule="exact"/>
        <w:ind w:firstLine="640" w:firstLineChars="200"/>
        <w:rPr>
          <w:rFonts w:eastAsia="仿宋_GB2312"/>
          <w:sz w:val="32"/>
          <w:szCs w:val="32"/>
        </w:rPr>
      </w:pPr>
      <w:r>
        <w:rPr>
          <w:rFonts w:eastAsia="仿宋_GB2312"/>
          <w:color w:val="000000" w:themeColor="text1"/>
          <w:sz w:val="32"/>
          <w:szCs w:val="32"/>
          <w:lang w:val="zh-CN"/>
          <w14:textFill>
            <w14:solidFill>
              <w14:schemeClr w14:val="tx1"/>
            </w14:solidFill>
          </w14:textFill>
        </w:rPr>
        <w:t>根据工作要求，及结合博物馆的实际情况，文物安全设施设备维修工程</w:t>
      </w:r>
      <w:r>
        <w:rPr>
          <w:rFonts w:hint="eastAsia" w:eastAsia="仿宋_GB2312"/>
          <w:color w:val="000000" w:themeColor="text1"/>
          <w:sz w:val="32"/>
          <w:szCs w:val="32"/>
          <w:lang w:val="zh-CN"/>
          <w14:textFill>
            <w14:solidFill>
              <w14:schemeClr w14:val="tx1"/>
            </w14:solidFill>
          </w14:textFill>
        </w:rPr>
        <w:t>截至目前</w:t>
      </w:r>
      <w:r>
        <w:rPr>
          <w:rFonts w:eastAsia="仿宋_GB2312"/>
          <w:color w:val="000000" w:themeColor="text1"/>
          <w:sz w:val="32"/>
          <w:szCs w:val="32"/>
          <w:lang w:val="zh-CN"/>
          <w14:textFill>
            <w14:solidFill>
              <w14:schemeClr w14:val="tx1"/>
            </w14:solidFill>
          </w14:textFill>
        </w:rPr>
        <w:t>已完成，共计支付款项</w:t>
      </w:r>
      <w:r>
        <w:rPr>
          <w:rFonts w:eastAsia="仿宋_GB2312"/>
          <w:color w:val="000000" w:themeColor="text1"/>
          <w:sz w:val="32"/>
          <w:szCs w:val="32"/>
          <w14:textFill>
            <w14:solidFill>
              <w14:schemeClr w14:val="tx1"/>
            </w14:solidFill>
          </w14:textFill>
        </w:rPr>
        <w:t>30万元；博物馆办公楼及室外防水维修工程项目第一笔款29.8万元使用省级文保资金支付，剩余款项使用市级专项资金支付；</w:t>
      </w:r>
      <w:r>
        <w:rPr>
          <w:rFonts w:eastAsia="仿宋_GB2312"/>
          <w:sz w:val="32"/>
          <w:szCs w:val="32"/>
          <w:lang w:val="zh-CN"/>
        </w:rPr>
        <w:t>监控系统改造升级项目预计使用</w:t>
      </w:r>
      <w:r>
        <w:rPr>
          <w:rFonts w:eastAsia="仿宋_GB2312"/>
          <w:sz w:val="32"/>
          <w:szCs w:val="32"/>
        </w:rPr>
        <w:t>55万元；</w:t>
      </w:r>
      <w:r>
        <w:rPr>
          <w:rFonts w:eastAsia="仿宋_GB2312"/>
          <w:color w:val="000000" w:themeColor="text1"/>
          <w:sz w:val="32"/>
          <w:szCs w:val="32"/>
          <w14:textFill>
            <w14:solidFill>
              <w14:schemeClr w14:val="tx1"/>
            </w14:solidFill>
          </w14:textFill>
        </w:rPr>
        <w:t>攀枝花市文物安全责任公示牌项目预计投入13万元。</w:t>
      </w:r>
    </w:p>
    <w:p>
      <w:pPr>
        <w:autoSpaceDE w:val="0"/>
        <w:autoSpaceDN w:val="0"/>
        <w:adjustRightInd w:val="0"/>
        <w:spacing w:line="600" w:lineRule="exact"/>
        <w:ind w:firstLine="640" w:firstLineChars="200"/>
        <w:jc w:val="left"/>
        <w:rPr>
          <w:rFonts w:eastAsia="楷体_GB2312"/>
          <w:kern w:val="0"/>
          <w:sz w:val="32"/>
          <w:szCs w:val="32"/>
        </w:rPr>
      </w:pPr>
      <w:r>
        <w:rPr>
          <w:rFonts w:eastAsia="仿宋_GB2312"/>
          <w:kern w:val="0"/>
          <w:sz w:val="32"/>
          <w:szCs w:val="32"/>
        </w:rPr>
        <w:t>2．资金到位</w:t>
      </w:r>
      <w:r>
        <w:rPr>
          <w:rFonts w:eastAsia="楷体_GB2312"/>
          <w:kern w:val="0"/>
          <w:sz w:val="32"/>
          <w:szCs w:val="32"/>
        </w:rPr>
        <w:t>。</w:t>
      </w:r>
    </w:p>
    <w:p>
      <w:pPr>
        <w:adjustRightInd w:val="0"/>
        <w:snapToGrid w:val="0"/>
        <w:spacing w:line="600" w:lineRule="exact"/>
        <w:ind w:firstLine="640" w:firstLineChars="200"/>
        <w:rPr>
          <w:rFonts w:eastAsia="仿宋_GB2312"/>
          <w:sz w:val="32"/>
          <w:szCs w:val="32"/>
        </w:rPr>
      </w:pPr>
      <w:r>
        <w:rPr>
          <w:rFonts w:eastAsia="仿宋_GB2312"/>
          <w:sz w:val="32"/>
          <w:szCs w:val="32"/>
          <w:lang w:val="zh-CN"/>
        </w:rPr>
        <w:t>根据</w:t>
      </w:r>
      <w:r>
        <w:rPr>
          <w:rFonts w:eastAsia="仿宋_GB2312"/>
          <w:sz w:val="32"/>
          <w:szCs w:val="32"/>
        </w:rPr>
        <w:t>《攀枝花市财政局关于下达2021年第二批国家文物保护专项资金和省级文物保护专项资金预算的通知》（攀财资教〔2021〕57号）文件要求，于</w:t>
      </w:r>
      <w:r>
        <w:rPr>
          <w:rFonts w:eastAsia="仿宋_GB2312"/>
          <w:sz w:val="32"/>
          <w:szCs w:val="32"/>
          <w:lang w:val="zh-CN"/>
        </w:rPr>
        <w:t>2021年8月</w:t>
      </w:r>
      <w:r>
        <w:rPr>
          <w:rFonts w:eastAsia="仿宋_GB2312"/>
          <w:sz w:val="32"/>
          <w:szCs w:val="32"/>
        </w:rPr>
        <w:t>收到省级文物保护专项资金130万元，并被列入“2070205</w:t>
      </w:r>
      <w:r>
        <w:rPr>
          <w:rFonts w:hint="eastAsia" w:eastAsia="仿宋_GB2312"/>
          <w:sz w:val="32"/>
          <w:szCs w:val="32"/>
        </w:rPr>
        <w:t>—</w:t>
      </w:r>
      <w:r>
        <w:rPr>
          <w:rFonts w:eastAsia="仿宋_GB2312"/>
          <w:sz w:val="32"/>
          <w:szCs w:val="32"/>
        </w:rPr>
        <w:t>博物馆”预算科目。</w:t>
      </w:r>
    </w:p>
    <w:p>
      <w:pPr>
        <w:autoSpaceDE w:val="0"/>
        <w:autoSpaceDN w:val="0"/>
        <w:adjustRightInd w:val="0"/>
        <w:spacing w:line="600" w:lineRule="exact"/>
        <w:ind w:firstLine="640" w:firstLineChars="200"/>
        <w:jc w:val="left"/>
        <w:rPr>
          <w:rFonts w:eastAsia="楷体_GB2312"/>
          <w:kern w:val="0"/>
          <w:sz w:val="32"/>
          <w:szCs w:val="32"/>
        </w:rPr>
      </w:pPr>
      <w:r>
        <w:rPr>
          <w:rFonts w:eastAsia="仿宋_GB2312"/>
          <w:kern w:val="0"/>
          <w:sz w:val="32"/>
          <w:szCs w:val="32"/>
        </w:rPr>
        <w:t>3．资金使用</w:t>
      </w:r>
      <w:r>
        <w:rPr>
          <w:rFonts w:eastAsia="楷体_GB2312"/>
          <w:kern w:val="0"/>
          <w:sz w:val="32"/>
          <w:szCs w:val="32"/>
        </w:rPr>
        <w:t>。</w:t>
      </w:r>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2021年度，省级文物保护专项资金130万元，2021年底已支付款项30万元，完成30%支付进度。</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pStyle w:val="36"/>
        <w:snapToGrid w:val="0"/>
        <w:spacing w:line="600" w:lineRule="exact"/>
        <w:ind w:firstLine="636"/>
        <w:rPr>
          <w:rFonts w:eastAsia="仿宋_GB2312"/>
          <w:sz w:val="32"/>
          <w:szCs w:val="32"/>
        </w:rPr>
      </w:pPr>
      <w:r>
        <w:rPr>
          <w:rFonts w:eastAsia="仿宋_GB2312"/>
          <w:sz w:val="32"/>
          <w:szCs w:val="32"/>
        </w:rPr>
        <w:t>各项支出严格按照有关财经法规和财务管理制度规定执行，费用开支有标准、有预算，项目支付进度根据实际建设工程量由馆党组集中研究通过后予以拨付。财务管理工作规范有序进行</w:t>
      </w:r>
      <w:r>
        <w:rPr>
          <w:rFonts w:hint="eastAsia" w:eastAsia="仿宋_GB2312"/>
          <w:sz w:val="32"/>
          <w:szCs w:val="32"/>
        </w:rPr>
        <w:t>，</w:t>
      </w:r>
      <w:r>
        <w:rPr>
          <w:rFonts w:eastAsia="仿宋_GB2312"/>
          <w:sz w:val="32"/>
          <w:szCs w:val="32"/>
        </w:rPr>
        <w:t>资金使用无截留、挤占、挪用、虚列支出等情况。</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spacing w:line="600" w:lineRule="exact"/>
        <w:ind w:firstLine="640"/>
        <w:rPr>
          <w:rFonts w:eastAsia="仿宋_GB2312"/>
          <w:bCs/>
          <w:sz w:val="32"/>
          <w:szCs w:val="32"/>
          <w:lang w:val="zh-CN"/>
        </w:rPr>
      </w:pPr>
      <w:r>
        <w:rPr>
          <w:rFonts w:eastAsia="仿宋_GB2312"/>
          <w:bCs/>
          <w:sz w:val="32"/>
          <w:szCs w:val="32"/>
          <w:lang w:val="zh-CN"/>
        </w:rPr>
        <w:t>1</w:t>
      </w:r>
      <w:r>
        <w:rPr>
          <w:rFonts w:eastAsia="仿宋_GB2312"/>
          <w:kern w:val="0"/>
          <w:sz w:val="32"/>
          <w:szCs w:val="32"/>
        </w:rPr>
        <w:t>．</w:t>
      </w:r>
      <w:r>
        <w:rPr>
          <w:rFonts w:eastAsia="仿宋_GB2312"/>
          <w:bCs/>
          <w:sz w:val="32"/>
          <w:szCs w:val="32"/>
          <w:lang w:val="zh-CN"/>
        </w:rPr>
        <w:t>博物馆办公楼及室外防水维修工程项目</w:t>
      </w:r>
      <w:r>
        <w:rPr>
          <w:rFonts w:hint="eastAsia" w:eastAsia="仿宋_GB2312"/>
          <w:bCs/>
          <w:sz w:val="32"/>
          <w:szCs w:val="32"/>
          <w:lang w:val="zh-CN"/>
        </w:rPr>
        <w:t>。</w:t>
      </w:r>
    </w:p>
    <w:p>
      <w:pPr>
        <w:adjustRightInd w:val="0"/>
        <w:snapToGrid w:val="0"/>
        <w:spacing w:line="600" w:lineRule="exact"/>
        <w:ind w:firstLine="640" w:firstLineChars="200"/>
        <w:rPr>
          <w:rFonts w:eastAsia="仿宋_GB2312"/>
          <w:sz w:val="32"/>
          <w:szCs w:val="32"/>
        </w:rPr>
      </w:pPr>
      <w:r>
        <w:rPr>
          <w:rFonts w:eastAsia="仿宋_GB2312"/>
          <w:kern w:val="0"/>
          <w:sz w:val="32"/>
          <w:szCs w:val="32"/>
        </w:rPr>
        <w:t>根据《政府采购法》相关规定，2021年11月启动</w:t>
      </w:r>
      <w:r>
        <w:rPr>
          <w:rFonts w:eastAsia="仿宋_GB2312"/>
          <w:color w:val="000000" w:themeColor="text1"/>
          <w:sz w:val="32"/>
          <w:szCs w:val="32"/>
          <w14:textFill>
            <w14:solidFill>
              <w14:schemeClr w14:val="tx1"/>
            </w14:solidFill>
          </w14:textFill>
        </w:rPr>
        <w:t>博物馆办公楼及室外防水维修工程项目</w:t>
      </w:r>
      <w:r>
        <w:rPr>
          <w:rFonts w:eastAsia="仿宋_GB2312"/>
          <w:kern w:val="0"/>
          <w:sz w:val="32"/>
          <w:szCs w:val="32"/>
        </w:rPr>
        <w:t>招标工作，委托四川易弘工程管理有限公司代理，采购方式为竞争性磋商，同年11月完成该项目政府采购工作，确定</w:t>
      </w:r>
      <w:r>
        <w:rPr>
          <w:rFonts w:eastAsia="仿宋_GB2312"/>
          <w:sz w:val="32"/>
          <w:szCs w:val="32"/>
        </w:rPr>
        <w:t>四川鑫佳良建筑工程有限责任公司为中标单位，负责博物馆办公楼及室外防水维修工程，并签订合同，开始实施项目。该项目于2021年12月31日竣工，博物馆于2022年1月14日进行项目验收，验收合格，</w:t>
      </w:r>
      <w:r>
        <w:rPr>
          <w:rFonts w:hint="eastAsia" w:eastAsia="仿宋_GB2312"/>
          <w:sz w:val="32"/>
          <w:szCs w:val="32"/>
        </w:rPr>
        <w:t>截至目前</w:t>
      </w:r>
      <w:r>
        <w:rPr>
          <w:rFonts w:eastAsia="仿宋_GB2312"/>
          <w:sz w:val="32"/>
          <w:szCs w:val="32"/>
        </w:rPr>
        <w:t>已支付第一笔款项。</w:t>
      </w:r>
    </w:p>
    <w:p>
      <w:pPr>
        <w:spacing w:line="600" w:lineRule="exact"/>
        <w:ind w:firstLine="640"/>
        <w:rPr>
          <w:rFonts w:eastAsia="仿宋_GB2312"/>
          <w:bCs/>
          <w:sz w:val="32"/>
          <w:szCs w:val="32"/>
          <w:lang w:val="zh-CN"/>
        </w:rPr>
      </w:pPr>
      <w:r>
        <w:rPr>
          <w:rFonts w:eastAsia="仿宋_GB2312"/>
          <w:bCs/>
          <w:sz w:val="32"/>
          <w:szCs w:val="32"/>
          <w:lang w:val="zh-CN"/>
        </w:rPr>
        <w:t>2</w:t>
      </w:r>
      <w:r>
        <w:rPr>
          <w:rFonts w:eastAsia="仿宋_GB2312"/>
          <w:kern w:val="0"/>
          <w:sz w:val="32"/>
          <w:szCs w:val="32"/>
        </w:rPr>
        <w:t>．</w:t>
      </w:r>
      <w:r>
        <w:rPr>
          <w:rFonts w:eastAsia="仿宋_GB2312"/>
          <w:bCs/>
          <w:sz w:val="32"/>
          <w:szCs w:val="32"/>
          <w:lang w:val="zh-CN"/>
        </w:rPr>
        <w:t>监控系统改造升级项目</w:t>
      </w:r>
      <w:r>
        <w:rPr>
          <w:rFonts w:hint="eastAsia" w:eastAsia="仿宋_GB2312"/>
          <w:bCs/>
          <w:sz w:val="32"/>
          <w:szCs w:val="32"/>
          <w:lang w:val="zh-CN"/>
        </w:rPr>
        <w:t>。</w:t>
      </w:r>
    </w:p>
    <w:p>
      <w:pPr>
        <w:adjustRightInd w:val="0"/>
        <w:snapToGrid w:val="0"/>
        <w:spacing w:line="600" w:lineRule="exact"/>
        <w:ind w:firstLine="640" w:firstLineChars="200"/>
        <w:rPr>
          <w:rFonts w:eastAsia="仿宋_GB2312"/>
          <w:sz w:val="32"/>
          <w:szCs w:val="32"/>
        </w:rPr>
      </w:pPr>
      <w:r>
        <w:rPr>
          <w:rFonts w:eastAsia="仿宋_GB2312"/>
          <w:color w:val="000000" w:themeColor="text1"/>
          <w:sz w:val="32"/>
          <w:szCs w:val="32"/>
          <w14:textFill>
            <w14:solidFill>
              <w14:schemeClr w14:val="tx1"/>
            </w14:solidFill>
          </w14:textFill>
        </w:rPr>
        <w:t>该项目由安防系统点位排查及制作电子沙盘服务、安防系统故障点位设备采购两部分组成。目前，启动公开招标程序，预计4月底完成项目建设。</w:t>
      </w:r>
    </w:p>
    <w:p>
      <w:pPr>
        <w:spacing w:line="600" w:lineRule="exact"/>
        <w:ind w:firstLine="640"/>
        <w:rPr>
          <w:rFonts w:eastAsia="仿宋_GB2312"/>
          <w:b/>
          <w:sz w:val="32"/>
          <w:szCs w:val="32"/>
          <w:lang w:val="zh-CN"/>
        </w:rPr>
      </w:pPr>
      <w:r>
        <w:rPr>
          <w:rFonts w:eastAsia="仿宋_GB2312"/>
          <w:bCs/>
          <w:sz w:val="32"/>
          <w:szCs w:val="32"/>
          <w:lang w:val="zh-CN"/>
        </w:rPr>
        <w:t>3</w:t>
      </w:r>
      <w:r>
        <w:rPr>
          <w:rFonts w:eastAsia="仿宋_GB2312"/>
          <w:kern w:val="0"/>
          <w:sz w:val="32"/>
          <w:szCs w:val="32"/>
        </w:rPr>
        <w:t>．</w:t>
      </w:r>
      <w:r>
        <w:rPr>
          <w:rFonts w:eastAsia="仿宋_GB2312"/>
          <w:bCs/>
          <w:sz w:val="32"/>
          <w:szCs w:val="32"/>
          <w:lang w:val="zh-CN"/>
        </w:rPr>
        <w:t>文物安全设施设备维修工程</w:t>
      </w:r>
      <w:r>
        <w:rPr>
          <w:rFonts w:hint="eastAsia" w:eastAsia="仿宋_GB2312"/>
          <w:bCs/>
          <w:sz w:val="32"/>
          <w:szCs w:val="32"/>
          <w:lang w:val="zh-CN"/>
        </w:rPr>
        <w:t>。</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该项目包含日常展厅维护，基础设施维修工程项目。根据博物馆及“两馆”的实际需求，严格按照相关规定推进项目建设。</w:t>
      </w:r>
    </w:p>
    <w:p>
      <w:pPr>
        <w:spacing w:line="600" w:lineRule="exact"/>
        <w:ind w:firstLine="640"/>
        <w:rPr>
          <w:rFonts w:eastAsia="楷体_GB2312"/>
          <w:bCs/>
          <w:sz w:val="32"/>
          <w:szCs w:val="32"/>
          <w:lang w:val="zh-CN"/>
        </w:rPr>
      </w:pPr>
      <w:r>
        <w:rPr>
          <w:rFonts w:eastAsia="仿宋_GB2312"/>
          <w:bCs/>
          <w:sz w:val="32"/>
          <w:szCs w:val="32"/>
          <w:lang w:val="zh-CN"/>
        </w:rPr>
        <w:t>4．攀枝花市文物安全责任公示牌项目</w:t>
      </w:r>
      <w:r>
        <w:rPr>
          <w:rFonts w:hint="eastAsia" w:eastAsia="仿宋_GB2312"/>
          <w:bCs/>
          <w:sz w:val="32"/>
          <w:szCs w:val="32"/>
          <w:lang w:val="zh-CN"/>
        </w:rPr>
        <w:t>。</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该项目将为我市所有文保单位统一设置“攀枝花市文物安全责任公示牌”设施。已安排文保资金13万元。目前，该项目完成设计稿审核，启动项目建设。</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spacing w:line="600" w:lineRule="exact"/>
        <w:ind w:firstLine="640" w:firstLineChars="200"/>
        <w:rPr>
          <w:rFonts w:eastAsia="仿宋_GB2312"/>
          <w:bCs/>
          <w:sz w:val="32"/>
          <w:szCs w:val="32"/>
          <w:lang w:val="zh-CN"/>
        </w:rPr>
      </w:pPr>
      <w:r>
        <w:rPr>
          <w:rFonts w:eastAsia="仿宋_GB2312"/>
          <w:bCs/>
          <w:sz w:val="32"/>
          <w:szCs w:val="32"/>
          <w:lang w:val="zh-CN"/>
        </w:rPr>
        <w:t>1</w:t>
      </w:r>
      <w:r>
        <w:rPr>
          <w:rFonts w:eastAsia="仿宋_GB2312"/>
          <w:kern w:val="0"/>
          <w:sz w:val="32"/>
          <w:szCs w:val="32"/>
        </w:rPr>
        <w:t>．</w:t>
      </w:r>
      <w:r>
        <w:rPr>
          <w:rFonts w:eastAsia="仿宋_GB2312"/>
          <w:bCs/>
          <w:sz w:val="32"/>
          <w:szCs w:val="32"/>
          <w:lang w:val="zh-CN"/>
        </w:rPr>
        <w:t>博物馆办公楼及室外防水维修工程项目</w:t>
      </w:r>
      <w:r>
        <w:rPr>
          <w:rFonts w:hint="eastAsia" w:eastAsia="仿宋_GB2312"/>
          <w:bCs/>
          <w:sz w:val="32"/>
          <w:szCs w:val="32"/>
          <w:lang w:val="zh-CN"/>
        </w:rPr>
        <w:t>。</w:t>
      </w:r>
    </w:p>
    <w:p>
      <w:pPr>
        <w:spacing w:line="600" w:lineRule="exact"/>
        <w:ind w:firstLine="640" w:firstLineChars="200"/>
        <w:rPr>
          <w:rFonts w:eastAsia="仿宋_GB2312"/>
          <w:sz w:val="32"/>
          <w:szCs w:val="32"/>
        </w:rPr>
      </w:pPr>
      <w:r>
        <w:rPr>
          <w:rFonts w:eastAsia="仿宋_GB2312"/>
          <w:sz w:val="32"/>
          <w:szCs w:val="32"/>
        </w:rPr>
        <w:t>2022年1月14日，博物馆办公楼及室外防水维修工程全面完成并验收合格，支付第一笔款项29.8万元。该项目的建成改善了博物馆职工办公环境，消除了雨季安全隐患。</w:t>
      </w:r>
    </w:p>
    <w:p>
      <w:pPr>
        <w:spacing w:line="600" w:lineRule="exact"/>
        <w:ind w:firstLine="640"/>
        <w:rPr>
          <w:rFonts w:eastAsia="仿宋_GB2312"/>
          <w:bCs/>
          <w:sz w:val="32"/>
          <w:szCs w:val="32"/>
          <w:lang w:val="zh-CN"/>
        </w:rPr>
      </w:pPr>
      <w:r>
        <w:rPr>
          <w:rFonts w:eastAsia="仿宋_GB2312"/>
          <w:bCs/>
          <w:sz w:val="32"/>
          <w:szCs w:val="32"/>
          <w:lang w:val="zh-CN"/>
        </w:rPr>
        <w:t>2</w:t>
      </w:r>
      <w:r>
        <w:rPr>
          <w:rFonts w:eastAsia="仿宋_GB2312"/>
          <w:kern w:val="0"/>
          <w:sz w:val="32"/>
          <w:szCs w:val="32"/>
        </w:rPr>
        <w:t>．</w:t>
      </w:r>
      <w:r>
        <w:rPr>
          <w:rFonts w:eastAsia="仿宋_GB2312"/>
          <w:bCs/>
          <w:sz w:val="32"/>
          <w:szCs w:val="32"/>
          <w:lang w:val="zh-CN"/>
        </w:rPr>
        <w:t>监控系统改造升级项目</w:t>
      </w:r>
      <w:r>
        <w:rPr>
          <w:rFonts w:hint="eastAsia" w:eastAsia="仿宋_GB2312"/>
          <w:bCs/>
          <w:sz w:val="32"/>
          <w:szCs w:val="32"/>
          <w:lang w:val="zh-CN"/>
        </w:rPr>
        <w:t>。</w:t>
      </w:r>
    </w:p>
    <w:p>
      <w:pPr>
        <w:spacing w:line="600" w:lineRule="exact"/>
        <w:ind w:firstLine="640" w:firstLineChars="200"/>
        <w:rPr>
          <w:rFonts w:eastAsia="仿宋_GB2312"/>
          <w:sz w:val="32"/>
          <w:szCs w:val="32"/>
        </w:rPr>
      </w:pPr>
      <w:r>
        <w:rPr>
          <w:rFonts w:eastAsia="仿宋_GB2312"/>
          <w:sz w:val="32"/>
          <w:szCs w:val="32"/>
        </w:rPr>
        <w:t>市博物馆馆藏大量珍贵文物，安全防护至关重要。目前，博物馆的监控系统存在覆盖面不全、摄像设备</w:t>
      </w:r>
      <w:r>
        <w:rPr>
          <w:rFonts w:hint="eastAsia" w:eastAsia="仿宋_GB2312"/>
          <w:sz w:val="32"/>
          <w:szCs w:val="32"/>
        </w:rPr>
        <w:t>高清晰度</w:t>
      </w:r>
      <w:r>
        <w:rPr>
          <w:rFonts w:eastAsia="仿宋_GB2312"/>
          <w:sz w:val="32"/>
          <w:szCs w:val="32"/>
        </w:rPr>
        <w:t>不足等问题。项目建成后，将实现监控全方位无死角覆盖，实时储存监控视频，根据不同场景不同需求对应设置不同智能功能，满足各种监控智能化需求。博物馆已安排文保专项资金55万余元，开展监控系统改造升级项目，该项目已启动公开招标程序，预计4月底完成项目建设。</w:t>
      </w:r>
    </w:p>
    <w:p>
      <w:pPr>
        <w:spacing w:line="600" w:lineRule="exact"/>
        <w:ind w:firstLine="640"/>
        <w:rPr>
          <w:rFonts w:eastAsia="楷体_GB2312"/>
          <w:b/>
          <w:sz w:val="32"/>
          <w:szCs w:val="32"/>
          <w:lang w:val="zh-CN"/>
        </w:rPr>
      </w:pPr>
      <w:r>
        <w:rPr>
          <w:rFonts w:eastAsia="仿宋_GB2312"/>
          <w:bCs/>
          <w:sz w:val="32"/>
          <w:szCs w:val="32"/>
          <w:lang w:val="zh-CN"/>
        </w:rPr>
        <w:t>3</w:t>
      </w:r>
      <w:r>
        <w:rPr>
          <w:rFonts w:eastAsia="仿宋_GB2312"/>
          <w:kern w:val="0"/>
          <w:sz w:val="32"/>
          <w:szCs w:val="32"/>
        </w:rPr>
        <w:t>．</w:t>
      </w:r>
      <w:r>
        <w:rPr>
          <w:rFonts w:eastAsia="仿宋_GB2312"/>
          <w:bCs/>
          <w:sz w:val="32"/>
          <w:szCs w:val="32"/>
          <w:lang w:val="zh-CN"/>
        </w:rPr>
        <w:t>文物安全设施设备维修工程</w:t>
      </w:r>
      <w:r>
        <w:rPr>
          <w:rFonts w:hint="eastAsia" w:eastAsia="仿宋_GB2312"/>
          <w:bCs/>
          <w:sz w:val="32"/>
          <w:szCs w:val="32"/>
          <w:lang w:val="zh-CN"/>
        </w:rPr>
        <w:t>。</w:t>
      </w:r>
    </w:p>
    <w:p>
      <w:pPr>
        <w:adjustRightInd w:val="0"/>
        <w:snapToGrid w:val="0"/>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该项目完成了大田会议纪念馆文物保护及环境提升项目，支付文保资金30万元，极大改善了游客参观环境，提升了展馆品质和效果。</w:t>
      </w:r>
    </w:p>
    <w:p>
      <w:pPr>
        <w:spacing w:line="600" w:lineRule="exact"/>
        <w:ind w:firstLine="640" w:firstLineChars="200"/>
        <w:rPr>
          <w:rFonts w:eastAsia="仿宋_GB2312"/>
          <w:bCs/>
          <w:sz w:val="32"/>
          <w:szCs w:val="32"/>
        </w:rPr>
      </w:pPr>
      <w:r>
        <w:rPr>
          <w:rFonts w:eastAsia="仿宋_GB2312"/>
          <w:bCs/>
          <w:sz w:val="32"/>
          <w:szCs w:val="32"/>
        </w:rPr>
        <w:t>4</w:t>
      </w:r>
      <w:r>
        <w:rPr>
          <w:rFonts w:eastAsia="仿宋_GB2312"/>
          <w:kern w:val="0"/>
          <w:sz w:val="32"/>
          <w:szCs w:val="32"/>
        </w:rPr>
        <w:t>．</w:t>
      </w:r>
      <w:r>
        <w:rPr>
          <w:rFonts w:eastAsia="仿宋_GB2312"/>
          <w:bCs/>
          <w:sz w:val="32"/>
          <w:szCs w:val="32"/>
        </w:rPr>
        <w:t>攀枝花市文物安全责任公示牌项目</w:t>
      </w:r>
      <w:r>
        <w:rPr>
          <w:rFonts w:hint="eastAsia" w:eastAsia="仿宋_GB2312"/>
          <w:bCs/>
          <w:sz w:val="32"/>
          <w:szCs w:val="32"/>
        </w:rPr>
        <w:t>。</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该项目已完成了项目调查，并完成初审，完成了项目设计，启动了建设前期工作。已安排文保专项资金13万元。项目完成后将进一步提升全市文物保护力度措施，发挥出全民对文物保护的自觉意识和能力。</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pStyle w:val="36"/>
        <w:snapToGrid w:val="0"/>
        <w:spacing w:line="600" w:lineRule="exact"/>
        <w:ind w:firstLine="636"/>
        <w:rPr>
          <w:rFonts w:eastAsia="仿宋_GB2312"/>
          <w:b/>
          <w:kern w:val="2"/>
          <w:sz w:val="32"/>
          <w:szCs w:val="32"/>
        </w:rPr>
      </w:pPr>
      <w:r>
        <w:rPr>
          <w:rFonts w:eastAsia="仿宋_GB2312"/>
          <w:bCs/>
          <w:sz w:val="32"/>
          <w:szCs w:val="32"/>
        </w:rPr>
        <w:t>1</w:t>
      </w:r>
      <w:r>
        <w:rPr>
          <w:rFonts w:eastAsia="仿宋_GB2312"/>
          <w:sz w:val="32"/>
          <w:szCs w:val="32"/>
        </w:rPr>
        <w:t>．</w:t>
      </w:r>
      <w:r>
        <w:rPr>
          <w:rFonts w:eastAsia="仿宋_GB2312"/>
          <w:bCs/>
          <w:sz w:val="32"/>
          <w:szCs w:val="32"/>
        </w:rPr>
        <w:t>经济效益指标</w:t>
      </w:r>
      <w:r>
        <w:rPr>
          <w:rFonts w:hint="eastAsia" w:eastAsia="仿宋_GB2312"/>
          <w:bCs/>
          <w:sz w:val="32"/>
          <w:szCs w:val="32"/>
        </w:rPr>
        <w:t>。</w:t>
      </w:r>
    </w:p>
    <w:p>
      <w:pPr>
        <w:spacing w:line="600" w:lineRule="exact"/>
        <w:ind w:firstLine="640" w:firstLineChars="200"/>
        <w:rPr>
          <w:rFonts w:eastAsia="仿宋_GB2312"/>
          <w:sz w:val="32"/>
          <w:szCs w:val="32"/>
        </w:rPr>
      </w:pPr>
      <w:r>
        <w:rPr>
          <w:rFonts w:eastAsia="仿宋_GB2312"/>
          <w:sz w:val="32"/>
          <w:szCs w:val="32"/>
        </w:rPr>
        <w:t>攀枝花中国三线建设博物馆、攀枝花开发建设纪念馆、攀枝花大田会议纪念馆存在不同程度隐性的、潜在的各类安全隐患和设施设备陈旧老化等问题，而通过该项目的实施，进一步改善了博物馆和“两馆”的整体参观环境，保障了文物安全和游客参观安全，一方面，博物馆的展出文物对三线历史有着重大教育意义，吸引着不同阶层游客前来参观，对相应的配套产业带来较大的经济效益；另一方面，作为全国爱国主义教育示范基地和红色文化教育主阵地，研学游、红色主题游线成为新的消费模式，引领着攀枝花红色文旅融合和产业不断壮大，助推我市文旅经济高质量发展。</w:t>
      </w:r>
    </w:p>
    <w:p>
      <w:pPr>
        <w:pStyle w:val="36"/>
        <w:snapToGrid w:val="0"/>
        <w:spacing w:line="600" w:lineRule="exact"/>
        <w:ind w:firstLine="636"/>
        <w:rPr>
          <w:rFonts w:eastAsia="仿宋_GB2312"/>
          <w:bCs/>
          <w:sz w:val="32"/>
          <w:szCs w:val="32"/>
        </w:rPr>
      </w:pPr>
      <w:r>
        <w:rPr>
          <w:rFonts w:eastAsia="仿宋_GB2312"/>
          <w:bCs/>
          <w:sz w:val="32"/>
          <w:szCs w:val="32"/>
        </w:rPr>
        <w:t>2</w:t>
      </w:r>
      <w:r>
        <w:rPr>
          <w:rFonts w:eastAsia="仿宋_GB2312"/>
          <w:sz w:val="32"/>
          <w:szCs w:val="32"/>
        </w:rPr>
        <w:t>．</w:t>
      </w:r>
      <w:r>
        <w:rPr>
          <w:rFonts w:eastAsia="仿宋_GB2312"/>
          <w:bCs/>
          <w:sz w:val="32"/>
          <w:szCs w:val="32"/>
        </w:rPr>
        <w:t>社会效益指标</w:t>
      </w:r>
      <w:r>
        <w:rPr>
          <w:rFonts w:hint="eastAsia" w:eastAsia="仿宋_GB2312"/>
          <w:bCs/>
          <w:sz w:val="32"/>
          <w:szCs w:val="32"/>
        </w:rPr>
        <w:t>。</w:t>
      </w:r>
    </w:p>
    <w:p>
      <w:pPr>
        <w:spacing w:line="600" w:lineRule="exact"/>
        <w:ind w:firstLine="640" w:firstLineChars="200"/>
        <w:rPr>
          <w:rFonts w:eastAsia="仿宋_GB2312"/>
          <w:sz w:val="32"/>
          <w:szCs w:val="32"/>
        </w:rPr>
      </w:pPr>
      <w:r>
        <w:rPr>
          <w:rFonts w:eastAsia="仿宋_GB2312"/>
          <w:sz w:val="32"/>
          <w:szCs w:val="32"/>
        </w:rPr>
        <w:t>攀枝花中国三线建设博物馆和“两馆”是目前国内面积最大、展陈最全、藏品最多的三线主题博物馆，通过对基础设施的修缮、室内外环境的改造和监控系统改造升级等，有效提升了博物馆整体展陈品质和视觉效果，提高人们观展的舒适度、便捷度，同时，狠抓文物展品安全、建筑安全，在保障参观安全的前提下吸引更多的观众走进博物馆，了解三线历史文化，传承三线精神。</w:t>
      </w:r>
    </w:p>
    <w:p>
      <w:pPr>
        <w:pStyle w:val="36"/>
        <w:snapToGrid w:val="0"/>
        <w:spacing w:line="600" w:lineRule="exact"/>
        <w:ind w:firstLine="636"/>
        <w:rPr>
          <w:rFonts w:eastAsia="仿宋_GB2312"/>
          <w:bCs/>
          <w:sz w:val="32"/>
          <w:szCs w:val="32"/>
        </w:rPr>
      </w:pPr>
      <w:r>
        <w:rPr>
          <w:rFonts w:eastAsia="仿宋_GB2312"/>
          <w:bCs/>
          <w:sz w:val="32"/>
          <w:szCs w:val="32"/>
        </w:rPr>
        <w:t>3</w:t>
      </w:r>
      <w:r>
        <w:rPr>
          <w:rFonts w:eastAsia="仿宋_GB2312"/>
          <w:sz w:val="32"/>
          <w:szCs w:val="32"/>
        </w:rPr>
        <w:t>．</w:t>
      </w:r>
      <w:r>
        <w:rPr>
          <w:rFonts w:eastAsia="仿宋_GB2312"/>
          <w:bCs/>
          <w:sz w:val="32"/>
          <w:szCs w:val="32"/>
        </w:rPr>
        <w:t>生态效益指标</w:t>
      </w:r>
      <w:r>
        <w:rPr>
          <w:rFonts w:hint="eastAsia" w:eastAsia="仿宋_GB2312"/>
          <w:bCs/>
          <w:sz w:val="32"/>
          <w:szCs w:val="32"/>
        </w:rPr>
        <w:t>。</w:t>
      </w:r>
    </w:p>
    <w:p>
      <w:pPr>
        <w:spacing w:line="600" w:lineRule="exact"/>
        <w:ind w:firstLine="640" w:firstLineChars="200"/>
        <w:rPr>
          <w:rFonts w:eastAsia="仿宋_GB2312"/>
          <w:sz w:val="32"/>
          <w:szCs w:val="32"/>
        </w:rPr>
      </w:pPr>
      <w:r>
        <w:rPr>
          <w:rFonts w:eastAsia="仿宋_GB2312"/>
          <w:sz w:val="32"/>
          <w:szCs w:val="32"/>
        </w:rPr>
        <w:t>该项目的实施进一步提升博物馆在区域内的生态文化核心地位，生态和文化环境进一步改善，为推进攀枝花打造国际阳光康养旅游目的地，建设生态休闲宜居城市，融入成渝地区双城经济圈发挥积极作用。</w:t>
      </w:r>
    </w:p>
    <w:p>
      <w:pPr>
        <w:pStyle w:val="36"/>
        <w:snapToGrid w:val="0"/>
        <w:spacing w:line="600" w:lineRule="exact"/>
        <w:ind w:firstLine="636"/>
        <w:rPr>
          <w:rFonts w:eastAsia="仿宋_GB2312"/>
          <w:bCs/>
          <w:sz w:val="32"/>
          <w:szCs w:val="32"/>
        </w:rPr>
      </w:pPr>
      <w:r>
        <w:rPr>
          <w:rFonts w:eastAsia="仿宋_GB2312"/>
          <w:bCs/>
          <w:sz w:val="32"/>
          <w:szCs w:val="32"/>
        </w:rPr>
        <w:t>4</w:t>
      </w:r>
      <w:r>
        <w:rPr>
          <w:rFonts w:eastAsia="仿宋_GB2312"/>
          <w:sz w:val="32"/>
          <w:szCs w:val="32"/>
        </w:rPr>
        <w:t>．</w:t>
      </w:r>
      <w:r>
        <w:rPr>
          <w:rFonts w:eastAsia="仿宋_GB2312"/>
          <w:bCs/>
          <w:sz w:val="32"/>
          <w:szCs w:val="32"/>
        </w:rPr>
        <w:t>可持续影响指标</w:t>
      </w:r>
      <w:r>
        <w:rPr>
          <w:rFonts w:hint="eastAsia" w:eastAsia="仿宋_GB2312"/>
          <w:bCs/>
          <w:sz w:val="32"/>
          <w:szCs w:val="32"/>
        </w:rPr>
        <w:t>。</w:t>
      </w:r>
    </w:p>
    <w:p>
      <w:pPr>
        <w:spacing w:line="600" w:lineRule="exact"/>
        <w:ind w:firstLine="640" w:firstLineChars="200"/>
        <w:rPr>
          <w:rFonts w:eastAsia="仿宋_GB2312"/>
          <w:sz w:val="32"/>
          <w:szCs w:val="32"/>
        </w:rPr>
      </w:pPr>
      <w:r>
        <w:rPr>
          <w:rFonts w:eastAsia="仿宋_GB2312"/>
          <w:sz w:val="32"/>
          <w:szCs w:val="32"/>
        </w:rPr>
        <w:t>该项目的实施有利于三线历史文化展示和传播，有利于博物馆文物安全管理，目前</w:t>
      </w:r>
      <w:r>
        <w:rPr>
          <w:rFonts w:hint="eastAsia" w:eastAsia="仿宋_GB2312"/>
          <w:sz w:val="32"/>
          <w:szCs w:val="32"/>
        </w:rPr>
        <w:t>博物馆</w:t>
      </w:r>
      <w:r>
        <w:rPr>
          <w:rFonts w:eastAsia="仿宋_GB2312"/>
          <w:sz w:val="32"/>
          <w:szCs w:val="32"/>
        </w:rPr>
        <w:t>已成为我市首家全国爱国主义教育示范基地，</w:t>
      </w:r>
      <w:r>
        <w:rPr>
          <w:rFonts w:hint="eastAsia" w:eastAsia="仿宋_GB2312"/>
          <w:sz w:val="32"/>
          <w:szCs w:val="32"/>
        </w:rPr>
        <w:t>并</w:t>
      </w:r>
      <w:r>
        <w:rPr>
          <w:rFonts w:eastAsia="仿宋_GB2312"/>
          <w:sz w:val="32"/>
          <w:szCs w:val="32"/>
        </w:rPr>
        <w:t>纳入国家免费开放补助支持范围。</w:t>
      </w:r>
    </w:p>
    <w:p>
      <w:pPr>
        <w:pStyle w:val="36"/>
        <w:snapToGrid w:val="0"/>
        <w:spacing w:line="600" w:lineRule="exact"/>
        <w:ind w:firstLine="636"/>
        <w:rPr>
          <w:rFonts w:eastAsia="仿宋_GB2312"/>
          <w:b/>
          <w:sz w:val="32"/>
          <w:szCs w:val="32"/>
        </w:rPr>
      </w:pPr>
      <w:r>
        <w:rPr>
          <w:rFonts w:eastAsia="仿宋_GB2312"/>
          <w:bCs/>
          <w:sz w:val="32"/>
          <w:szCs w:val="32"/>
        </w:rPr>
        <w:t>5</w:t>
      </w:r>
      <w:r>
        <w:rPr>
          <w:rFonts w:eastAsia="仿宋_GB2312"/>
          <w:sz w:val="32"/>
          <w:szCs w:val="32"/>
        </w:rPr>
        <w:t>．</w:t>
      </w:r>
      <w:r>
        <w:rPr>
          <w:rFonts w:eastAsia="仿宋_GB2312"/>
          <w:bCs/>
          <w:sz w:val="32"/>
          <w:szCs w:val="32"/>
        </w:rPr>
        <w:t>满意度指标</w:t>
      </w:r>
      <w:r>
        <w:rPr>
          <w:rFonts w:hint="eastAsia" w:eastAsia="仿宋_GB2312"/>
          <w:bCs/>
          <w:sz w:val="32"/>
          <w:szCs w:val="32"/>
        </w:rPr>
        <w:t>。</w:t>
      </w:r>
    </w:p>
    <w:p>
      <w:pPr>
        <w:spacing w:line="600" w:lineRule="exact"/>
        <w:ind w:firstLine="640" w:firstLineChars="200"/>
        <w:rPr>
          <w:rFonts w:eastAsia="仿宋_GB2312"/>
          <w:sz w:val="32"/>
          <w:szCs w:val="32"/>
        </w:rPr>
      </w:pPr>
      <w:r>
        <w:rPr>
          <w:rFonts w:eastAsia="仿宋_GB2312"/>
          <w:sz w:val="32"/>
          <w:szCs w:val="32"/>
        </w:rPr>
        <w:t>通过观众留言、网站上的满意度调查，观众对该项目的实施95%表示满意。</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该项目为博物馆文物安全工作，奠定了坚实的基础，在保障安全有序参观的同时，参观体验也得到了改善。</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开馆至目前已运行6年，各种文物安全设施设备逐步老化，隐患显露，维护成本增加。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黑体"/>
          <w:sz w:val="44"/>
          <w:szCs w:val="44"/>
        </w:rPr>
      </w:pPr>
      <w:r>
        <w:rPr>
          <w:rFonts w:eastAsia="仿宋_GB2312"/>
          <w:kern w:val="0"/>
          <w:sz w:val="32"/>
          <w:szCs w:val="32"/>
        </w:rPr>
        <w:t>针对项目自评中发现的问题，提出下一步改进完善的意见及有关政策性建议。</w:t>
      </w:r>
    </w:p>
    <w:tbl>
      <w:tblPr>
        <w:tblStyle w:val="14"/>
        <w:tblpPr w:leftFromText="180" w:rightFromText="180" w:vertAnchor="text" w:horzAnchor="page" w:tblpX="963" w:tblpY="660"/>
        <w:tblOverlap w:val="never"/>
        <w:tblW w:w="10409" w:type="dxa"/>
        <w:tblInd w:w="0" w:type="dxa"/>
        <w:tblLayout w:type="fixed"/>
        <w:tblCellMar>
          <w:top w:w="0" w:type="dxa"/>
          <w:left w:w="108" w:type="dxa"/>
          <w:bottom w:w="0" w:type="dxa"/>
          <w:right w:w="108" w:type="dxa"/>
        </w:tblCellMar>
      </w:tblPr>
      <w:tblGrid>
        <w:gridCol w:w="1242"/>
        <w:gridCol w:w="1134"/>
        <w:gridCol w:w="1276"/>
        <w:gridCol w:w="1843"/>
        <w:gridCol w:w="1989"/>
        <w:gridCol w:w="2689"/>
        <w:gridCol w:w="236"/>
      </w:tblGrid>
      <w:tr>
        <w:tblPrEx>
          <w:tblCellMar>
            <w:top w:w="0" w:type="dxa"/>
            <w:left w:w="108" w:type="dxa"/>
            <w:bottom w:w="0" w:type="dxa"/>
            <w:right w:w="108" w:type="dxa"/>
          </w:tblCellMar>
        </w:tblPrEx>
        <w:trPr>
          <w:trHeight w:val="675" w:hRule="atLeast"/>
        </w:trPr>
        <w:tc>
          <w:tcPr>
            <w:tcW w:w="10173" w:type="dxa"/>
            <w:gridSpan w:val="6"/>
            <w:tcBorders>
              <w:top w:val="nil"/>
              <w:left w:val="nil"/>
              <w:bottom w:val="nil"/>
              <w:right w:val="nil"/>
            </w:tcBorders>
            <w:shd w:val="clear" w:color="auto" w:fill="auto"/>
            <w:vAlign w:val="center"/>
          </w:tcPr>
          <w:p>
            <w:pPr>
              <w:widowControl/>
              <w:jc w:val="center"/>
              <w:textAlignment w:val="center"/>
              <w:rPr>
                <w:rFonts w:eastAsia="仿宋"/>
                <w:b/>
                <w:sz w:val="32"/>
                <w:szCs w:val="32"/>
              </w:rPr>
            </w:pPr>
          </w:p>
          <w:p>
            <w:pPr>
              <w:widowControl/>
              <w:jc w:val="center"/>
              <w:textAlignment w:val="center"/>
              <w:rPr>
                <w:rFonts w:eastAsia="仿宋"/>
                <w:b/>
                <w:sz w:val="32"/>
                <w:szCs w:val="32"/>
              </w:rPr>
            </w:pPr>
            <w:r>
              <w:rPr>
                <w:rFonts w:eastAsia="仿宋"/>
                <w:b/>
                <w:sz w:val="32"/>
                <w:szCs w:val="32"/>
              </w:rPr>
              <w:t>2021年省级文物保护专项资金项目绩效目标自评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eastAsia="仿宋"/>
                <w:b/>
                <w:kern w:val="0"/>
                <w:sz w:val="32"/>
                <w:szCs w:val="32"/>
                <w:lang w:bidi="ar"/>
              </w:rPr>
            </w:pPr>
          </w:p>
        </w:tc>
      </w:tr>
      <w:tr>
        <w:tblPrEx>
          <w:tblCellMar>
            <w:top w:w="0" w:type="dxa"/>
            <w:left w:w="108" w:type="dxa"/>
            <w:bottom w:w="0" w:type="dxa"/>
            <w:right w:w="108" w:type="dxa"/>
          </w:tblCellMar>
        </w:tblPrEx>
        <w:trPr>
          <w:gridAfter w:val="1"/>
          <w:wAfter w:w="236" w:type="dxa"/>
          <w:trHeight w:val="254" w:hRule="atLeast"/>
        </w:trPr>
        <w:tc>
          <w:tcPr>
            <w:tcW w:w="12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主管部门及代码</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205001</w:t>
            </w:r>
            <w:r>
              <w:rPr>
                <w:rFonts w:hint="eastAsia" w:eastAsia="仿宋"/>
                <w:sz w:val="20"/>
                <w:szCs w:val="20"/>
              </w:rPr>
              <w:t>－</w:t>
            </w:r>
            <w:r>
              <w:rPr>
                <w:rFonts w:eastAsia="仿宋"/>
                <w:sz w:val="20"/>
                <w:szCs w:val="20"/>
              </w:rPr>
              <w:t>攀枝花市文化广播电视和旅游局</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实施单位</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攀枝花中国三线建设博物馆</w:t>
            </w:r>
          </w:p>
        </w:tc>
      </w:tr>
      <w:tr>
        <w:tblPrEx>
          <w:tblCellMar>
            <w:top w:w="0" w:type="dxa"/>
            <w:left w:w="108" w:type="dxa"/>
            <w:bottom w:w="0" w:type="dxa"/>
            <w:right w:w="108" w:type="dxa"/>
          </w:tblCellMar>
        </w:tblPrEx>
        <w:trPr>
          <w:gridAfter w:val="1"/>
          <w:wAfter w:w="236" w:type="dxa"/>
          <w:trHeight w:val="341"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项目预算</w:t>
            </w:r>
          </w:p>
          <w:p>
            <w:pPr>
              <w:widowControl/>
              <w:spacing w:line="320" w:lineRule="exact"/>
              <w:jc w:val="left"/>
              <w:textAlignment w:val="center"/>
              <w:rPr>
                <w:rFonts w:eastAsia="仿宋"/>
                <w:kern w:val="0"/>
                <w:sz w:val="20"/>
                <w:szCs w:val="20"/>
                <w:lang w:bidi="ar"/>
              </w:rPr>
            </w:pPr>
            <w:r>
              <w:rPr>
                <w:rFonts w:eastAsia="仿宋"/>
                <w:kern w:val="0"/>
                <w:sz w:val="20"/>
                <w:szCs w:val="20"/>
                <w:lang w:bidi="ar"/>
              </w:rPr>
              <w:t>执行情况</w:t>
            </w:r>
          </w:p>
          <w:p>
            <w:pPr>
              <w:widowControl/>
              <w:spacing w:line="320" w:lineRule="exact"/>
              <w:jc w:val="left"/>
              <w:textAlignment w:val="center"/>
              <w:rPr>
                <w:rFonts w:eastAsia="仿宋"/>
                <w:sz w:val="20"/>
                <w:szCs w:val="20"/>
              </w:rPr>
            </w:pPr>
            <w:r>
              <w:rPr>
                <w:rFonts w:eastAsia="仿宋"/>
                <w:kern w:val="0"/>
                <w:sz w:val="20"/>
                <w:szCs w:val="20"/>
                <w:lang w:bidi="ar"/>
              </w:rPr>
              <w:t>（万元）</w:t>
            </w: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 xml:space="preserve"> 预算数：</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130</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 xml:space="preserve"> 执行数：</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30</w:t>
            </w:r>
          </w:p>
        </w:tc>
      </w:tr>
      <w:tr>
        <w:tblPrEx>
          <w:tblCellMar>
            <w:top w:w="0" w:type="dxa"/>
            <w:left w:w="108" w:type="dxa"/>
            <w:bottom w:w="0" w:type="dxa"/>
            <w:right w:w="108" w:type="dxa"/>
          </w:tblCellMar>
        </w:tblPrEx>
        <w:trPr>
          <w:gridAfter w:val="1"/>
          <w:wAfter w:w="236" w:type="dxa"/>
          <w:trHeight w:val="555"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其中：</w:t>
            </w:r>
          </w:p>
          <w:p>
            <w:pPr>
              <w:widowControl/>
              <w:spacing w:line="320" w:lineRule="exact"/>
              <w:jc w:val="left"/>
              <w:textAlignment w:val="center"/>
              <w:rPr>
                <w:rFonts w:eastAsia="仿宋"/>
                <w:sz w:val="20"/>
                <w:szCs w:val="20"/>
              </w:rPr>
            </w:pPr>
            <w:r>
              <w:rPr>
                <w:rFonts w:eastAsia="仿宋"/>
                <w:kern w:val="0"/>
                <w:sz w:val="20"/>
                <w:szCs w:val="20"/>
                <w:lang w:bidi="ar"/>
              </w:rPr>
              <w:t>财政拨款</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130</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其中：</w:t>
            </w:r>
          </w:p>
          <w:p>
            <w:pPr>
              <w:widowControl/>
              <w:spacing w:line="320" w:lineRule="exact"/>
              <w:jc w:val="left"/>
              <w:textAlignment w:val="center"/>
              <w:rPr>
                <w:rFonts w:eastAsia="仿宋"/>
                <w:sz w:val="20"/>
                <w:szCs w:val="20"/>
              </w:rPr>
            </w:pPr>
            <w:r>
              <w:rPr>
                <w:rFonts w:eastAsia="仿宋"/>
                <w:kern w:val="0"/>
                <w:sz w:val="20"/>
                <w:szCs w:val="20"/>
                <w:lang w:bidi="ar"/>
              </w:rPr>
              <w:t>财政拨款</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sz w:val="20"/>
                <w:szCs w:val="20"/>
              </w:rPr>
              <w:t>30</w:t>
            </w:r>
          </w:p>
        </w:tc>
      </w:tr>
      <w:tr>
        <w:tblPrEx>
          <w:tblCellMar>
            <w:top w:w="0" w:type="dxa"/>
            <w:left w:w="108" w:type="dxa"/>
            <w:bottom w:w="0" w:type="dxa"/>
            <w:right w:w="108" w:type="dxa"/>
          </w:tblCellMar>
        </w:tblPrEx>
        <w:trPr>
          <w:gridAfter w:val="1"/>
          <w:wAfter w:w="236" w:type="dxa"/>
          <w:trHeight w:val="341"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24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其他资金</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其他资金</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p>
        </w:tc>
      </w:tr>
      <w:tr>
        <w:tblPrEx>
          <w:tblCellMar>
            <w:top w:w="0" w:type="dxa"/>
            <w:left w:w="108" w:type="dxa"/>
            <w:bottom w:w="0" w:type="dxa"/>
            <w:right w:w="108" w:type="dxa"/>
          </w:tblCellMar>
        </w:tblPrEx>
        <w:trPr>
          <w:gridAfter w:val="1"/>
          <w:wAfter w:w="236" w:type="dxa"/>
          <w:trHeight w:val="217" w:hRule="atLeast"/>
        </w:trPr>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年度总体目标</w:t>
            </w:r>
          </w:p>
          <w:p>
            <w:pPr>
              <w:widowControl/>
              <w:spacing w:line="320" w:lineRule="exact"/>
              <w:jc w:val="left"/>
              <w:textAlignment w:val="center"/>
              <w:rPr>
                <w:rFonts w:eastAsia="仿宋"/>
                <w:sz w:val="20"/>
                <w:szCs w:val="20"/>
              </w:rPr>
            </w:pPr>
            <w:r>
              <w:rPr>
                <w:rFonts w:eastAsia="仿宋"/>
                <w:kern w:val="0"/>
                <w:sz w:val="20"/>
                <w:szCs w:val="20"/>
                <w:lang w:bidi="ar"/>
              </w:rPr>
              <w:t>完成情况</w:t>
            </w: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预期目标</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目标实际完成情况</w:t>
            </w:r>
          </w:p>
        </w:tc>
      </w:tr>
      <w:tr>
        <w:tblPrEx>
          <w:tblCellMar>
            <w:top w:w="0" w:type="dxa"/>
            <w:left w:w="108" w:type="dxa"/>
            <w:bottom w:w="0" w:type="dxa"/>
            <w:right w:w="108" w:type="dxa"/>
          </w:tblCellMar>
        </w:tblPrEx>
        <w:trPr>
          <w:gridAfter w:val="1"/>
          <w:wAfter w:w="236" w:type="dxa"/>
          <w:trHeight w:val="797" w:hRule="atLeast"/>
        </w:trPr>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425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
                <w:sz w:val="20"/>
                <w:szCs w:val="20"/>
              </w:rPr>
            </w:pPr>
            <w:r>
              <w:rPr>
                <w:rFonts w:eastAsia="仿宋"/>
                <w:sz w:val="20"/>
                <w:szCs w:val="20"/>
              </w:rPr>
              <w:t>深入开展文物保护工作，改善文物保护条件，持续强化文物征集力度，进一步丰富展陈内容，提升陈列布展技术手段，提高展览服务质量。</w:t>
            </w:r>
          </w:p>
        </w:tc>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eastAsia="仿宋"/>
                <w:sz w:val="20"/>
                <w:szCs w:val="20"/>
              </w:rPr>
            </w:pPr>
            <w:r>
              <w:rPr>
                <w:rFonts w:hint="eastAsia" w:eastAsia="仿宋"/>
                <w:sz w:val="20"/>
                <w:szCs w:val="20"/>
              </w:rPr>
              <w:t>截至目前</w:t>
            </w:r>
            <w:r>
              <w:rPr>
                <w:rFonts w:eastAsia="仿宋"/>
                <w:sz w:val="20"/>
                <w:szCs w:val="20"/>
              </w:rPr>
              <w:t xml:space="preserve">，各项工作基本完成，文物保护监控系统改造升级项目正在方案确定中。2021年文物保护工作成效显著，安全保障平稳有序，文物征集成果丰硕。  </w:t>
            </w:r>
          </w:p>
        </w:tc>
      </w:tr>
      <w:tr>
        <w:tblPrEx>
          <w:tblCellMar>
            <w:top w:w="0" w:type="dxa"/>
            <w:left w:w="108" w:type="dxa"/>
            <w:bottom w:w="0" w:type="dxa"/>
            <w:right w:w="108" w:type="dxa"/>
          </w:tblCellMar>
        </w:tblPrEx>
        <w:trPr>
          <w:gridAfter w:val="1"/>
          <w:wAfter w:w="236" w:type="dxa"/>
          <w:trHeight w:val="693" w:hRule="atLeast"/>
        </w:trPr>
        <w:tc>
          <w:tcPr>
            <w:tcW w:w="1242"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年度绩效指标完成情况</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一级</w:t>
            </w:r>
          </w:p>
          <w:p>
            <w:pPr>
              <w:widowControl/>
              <w:spacing w:line="320" w:lineRule="exact"/>
              <w:jc w:val="left"/>
              <w:textAlignment w:val="center"/>
              <w:rPr>
                <w:rFonts w:eastAsia="仿宋"/>
                <w:sz w:val="20"/>
                <w:szCs w:val="20"/>
              </w:rPr>
            </w:pPr>
            <w:r>
              <w:rPr>
                <w:rFonts w:eastAsia="仿宋"/>
                <w:kern w:val="0"/>
                <w:sz w:val="20"/>
                <w:szCs w:val="20"/>
                <w:lang w:bidi="ar"/>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二级</w:t>
            </w:r>
          </w:p>
          <w:p>
            <w:pPr>
              <w:widowControl/>
              <w:spacing w:line="320" w:lineRule="exact"/>
              <w:jc w:val="left"/>
              <w:textAlignment w:val="center"/>
              <w:rPr>
                <w:rFonts w:eastAsia="仿宋"/>
                <w:sz w:val="20"/>
                <w:szCs w:val="20"/>
              </w:rPr>
            </w:pPr>
            <w:r>
              <w:rPr>
                <w:rFonts w:eastAsia="仿宋"/>
                <w:kern w:val="0"/>
                <w:sz w:val="20"/>
                <w:szCs w:val="20"/>
                <w:lang w:bidi="ar"/>
              </w:rPr>
              <w:t>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kern w:val="0"/>
                <w:sz w:val="20"/>
                <w:szCs w:val="20"/>
                <w:lang w:bidi="ar"/>
              </w:rPr>
            </w:pPr>
            <w:r>
              <w:rPr>
                <w:rFonts w:eastAsia="仿宋"/>
                <w:kern w:val="0"/>
                <w:sz w:val="20"/>
                <w:szCs w:val="20"/>
                <w:lang w:bidi="ar"/>
              </w:rPr>
              <w:t>三级</w:t>
            </w:r>
          </w:p>
          <w:p>
            <w:pPr>
              <w:widowControl/>
              <w:spacing w:line="320" w:lineRule="exact"/>
              <w:jc w:val="left"/>
              <w:textAlignment w:val="center"/>
              <w:rPr>
                <w:rFonts w:eastAsia="仿宋"/>
                <w:sz w:val="20"/>
                <w:szCs w:val="20"/>
              </w:rPr>
            </w:pPr>
            <w:r>
              <w:rPr>
                <w:rFonts w:eastAsia="仿宋"/>
                <w:kern w:val="0"/>
                <w:sz w:val="20"/>
                <w:szCs w:val="20"/>
                <w:lang w:bidi="ar"/>
              </w:rPr>
              <w:t>指标</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预期指标值</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eastAsia="仿宋"/>
                <w:sz w:val="20"/>
                <w:szCs w:val="20"/>
              </w:rPr>
            </w:pPr>
            <w:r>
              <w:rPr>
                <w:rFonts w:eastAsia="仿宋"/>
                <w:kern w:val="0"/>
                <w:sz w:val="20"/>
                <w:szCs w:val="20"/>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
                <w:kern w:val="0"/>
                <w:sz w:val="20"/>
                <w:szCs w:val="20"/>
                <w:lang w:bidi="ar"/>
              </w:rPr>
            </w:pPr>
            <w:r>
              <w:rPr>
                <w:rFonts w:eastAsia="仿宋"/>
                <w:kern w:val="0"/>
                <w:sz w:val="20"/>
                <w:szCs w:val="20"/>
                <w:lang w:bidi="ar"/>
              </w:rPr>
              <w:t>完成</w:t>
            </w:r>
          </w:p>
          <w:p>
            <w:pPr>
              <w:widowControl/>
              <w:spacing w:line="320" w:lineRule="exact"/>
              <w:jc w:val="left"/>
              <w:textAlignment w:val="bottom"/>
              <w:rPr>
                <w:rFonts w:eastAsia="仿宋"/>
                <w:sz w:val="20"/>
                <w:szCs w:val="20"/>
              </w:rPr>
            </w:pPr>
            <w:r>
              <w:rPr>
                <w:rFonts w:eastAsia="仿宋"/>
                <w:kern w:val="0"/>
                <w:sz w:val="20"/>
                <w:szCs w:val="20"/>
                <w:lang w:bidi="ar"/>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数量指标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征集三线文物，参加文物培训次数，文物安全检查次数</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征集三线文物1万余件（套），参加文物培训13次，文物安全检查41次</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征集三线文物1万余件（套），参加文物培训13次，文物安全检查41次</w:t>
            </w:r>
            <w:r>
              <w:rPr>
                <w:rFonts w:hint="eastAsia" w:eastAsia="仿宋"/>
                <w:sz w:val="20"/>
                <w:szCs w:val="20"/>
              </w:rPr>
              <w:t>。</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质量指标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项目完成效果</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游客参观</w:t>
            </w:r>
            <w:r>
              <w:rPr>
                <w:rFonts w:hint="eastAsia" w:eastAsia="仿宋"/>
                <w:sz w:val="20"/>
                <w:szCs w:val="20"/>
              </w:rPr>
              <w:t>人数不少于</w:t>
            </w:r>
            <w:r>
              <w:rPr>
                <w:rFonts w:eastAsia="仿宋"/>
                <w:sz w:val="20"/>
                <w:szCs w:val="20"/>
              </w:rPr>
              <w:t xml:space="preserve">20万 </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接待各类观众26.2万人次，其中攀枝花开发建设纪念馆13406人次，大田会议纪念馆9203</w:t>
            </w:r>
            <w:r>
              <w:rPr>
                <w:rFonts w:hint="eastAsia" w:eastAsia="仿宋"/>
                <w:sz w:val="20"/>
                <w:szCs w:val="20"/>
              </w:rPr>
              <w:t>人</w:t>
            </w:r>
            <w:r>
              <w:rPr>
                <w:rFonts w:eastAsia="仿宋"/>
                <w:sz w:val="20"/>
                <w:szCs w:val="20"/>
              </w:rPr>
              <w:t>次</w:t>
            </w:r>
            <w:r>
              <w:rPr>
                <w:rFonts w:hint="eastAsia" w:eastAsia="仿宋"/>
                <w:sz w:val="20"/>
                <w:szCs w:val="20"/>
              </w:rPr>
              <w:t>。</w:t>
            </w:r>
          </w:p>
        </w:tc>
      </w:tr>
      <w:tr>
        <w:tblPrEx>
          <w:tblCellMar>
            <w:top w:w="0" w:type="dxa"/>
            <w:left w:w="108" w:type="dxa"/>
            <w:bottom w:w="0" w:type="dxa"/>
            <w:right w:w="108" w:type="dxa"/>
          </w:tblCellMar>
        </w:tblPrEx>
        <w:trPr>
          <w:gridAfter w:val="1"/>
          <w:wAfter w:w="236" w:type="dxa"/>
          <w:trHeight w:val="415"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时效指标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项目打造完成时间</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2021年</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受疫情影响，项目进度有所延缓，预计2022年中完成</w:t>
            </w:r>
            <w:r>
              <w:rPr>
                <w:rFonts w:hint="eastAsia" w:eastAsia="仿宋"/>
                <w:sz w:val="20"/>
                <w:szCs w:val="20"/>
              </w:rPr>
              <w:t>。</w:t>
            </w: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成本指标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项目打造费用</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130万</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30万</w:t>
            </w: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bottom"/>
              <w:rPr>
                <w:rFonts w:eastAsia="仿宋"/>
                <w:kern w:val="0"/>
                <w:sz w:val="20"/>
                <w:szCs w:val="20"/>
                <w:lang w:bidi="ar"/>
              </w:rPr>
            </w:pPr>
            <w:r>
              <w:rPr>
                <w:rFonts w:eastAsia="仿宋"/>
                <w:kern w:val="0"/>
                <w:sz w:val="20"/>
                <w:szCs w:val="20"/>
                <w:lang w:bidi="ar"/>
              </w:rPr>
              <w:t>效益</w:t>
            </w:r>
          </w:p>
          <w:p>
            <w:pPr>
              <w:widowControl/>
              <w:spacing w:line="320" w:lineRule="exact"/>
              <w:jc w:val="left"/>
              <w:textAlignment w:val="bottom"/>
              <w:rPr>
                <w:rFonts w:eastAsia="仿宋"/>
                <w:sz w:val="20"/>
                <w:szCs w:val="20"/>
              </w:rPr>
            </w:pPr>
            <w:r>
              <w:rPr>
                <w:rFonts w:eastAsia="仿宋"/>
                <w:kern w:val="0"/>
                <w:sz w:val="20"/>
                <w:szCs w:val="20"/>
                <w:lang w:bidi="ar"/>
              </w:rPr>
              <w:t>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经济效益指标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社会效益指标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
                <w:sz w:val="20"/>
                <w:szCs w:val="20"/>
              </w:rPr>
            </w:pPr>
            <w:r>
              <w:rPr>
                <w:rFonts w:eastAsia="仿宋"/>
                <w:sz w:val="20"/>
                <w:szCs w:val="20"/>
              </w:rPr>
              <w:t xml:space="preserve"> 提供安全、整洁、舒适的参观环境</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
                <w:sz w:val="20"/>
                <w:szCs w:val="20"/>
              </w:rPr>
            </w:pPr>
            <w:r>
              <w:rPr>
                <w:rFonts w:eastAsia="仿宋"/>
                <w:sz w:val="20"/>
                <w:szCs w:val="20"/>
              </w:rPr>
              <w:t>参观人数、媒体报道</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
                <w:sz w:val="20"/>
                <w:szCs w:val="20"/>
              </w:rPr>
            </w:pPr>
            <w:r>
              <w:rPr>
                <w:rFonts w:eastAsia="仿宋"/>
                <w:sz w:val="20"/>
                <w:szCs w:val="20"/>
              </w:rPr>
              <w:t>完成</w:t>
            </w:r>
            <w:r>
              <w:rPr>
                <w:rFonts w:hint="eastAsia" w:eastAsia="仿宋"/>
                <w:sz w:val="20"/>
                <w:szCs w:val="20"/>
              </w:rPr>
              <w:t>。</w:t>
            </w:r>
          </w:p>
        </w:tc>
      </w:tr>
      <w:tr>
        <w:tblPrEx>
          <w:tblCellMar>
            <w:top w:w="0" w:type="dxa"/>
            <w:left w:w="108" w:type="dxa"/>
            <w:bottom w:w="0" w:type="dxa"/>
            <w:right w:w="108" w:type="dxa"/>
          </w:tblCellMar>
        </w:tblPrEx>
        <w:trPr>
          <w:gridAfter w:val="1"/>
          <w:wAfter w:w="236" w:type="dxa"/>
          <w:trHeight w:val="577"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eastAsia="仿宋"/>
                <w:sz w:val="20"/>
                <w:szCs w:val="20"/>
              </w:rPr>
            </w:pPr>
            <w:r>
              <w:rPr>
                <w:rFonts w:eastAsia="仿宋"/>
                <w:kern w:val="0"/>
                <w:sz w:val="20"/>
                <w:szCs w:val="20"/>
                <w:lang w:bidi="ar"/>
              </w:rPr>
              <w:t>生态效益  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p>
        </w:tc>
      </w:tr>
      <w:tr>
        <w:tblPrEx>
          <w:tblCellMar>
            <w:top w:w="0" w:type="dxa"/>
            <w:left w:w="108" w:type="dxa"/>
            <w:bottom w:w="0" w:type="dxa"/>
            <w:right w:w="108" w:type="dxa"/>
          </w:tblCellMar>
        </w:tblPrEx>
        <w:trPr>
          <w:gridAfter w:val="1"/>
          <w:wAfter w:w="236" w:type="dxa"/>
          <w:trHeight w:val="480" w:hRule="atLeast"/>
        </w:trPr>
        <w:tc>
          <w:tcPr>
            <w:tcW w:w="1242" w:type="dxa"/>
            <w:vMerge w:val="continue"/>
            <w:tcBorders>
              <w:left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left"/>
              <w:rPr>
                <w:rFonts w:eastAsia="仿宋"/>
                <w:sz w:val="20"/>
                <w:szCs w:val="20"/>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kern w:val="0"/>
                <w:sz w:val="20"/>
                <w:szCs w:val="20"/>
                <w:lang w:bidi="ar"/>
              </w:rPr>
              <w:t>可持续影响 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
                <w:sz w:val="20"/>
                <w:szCs w:val="20"/>
              </w:rPr>
            </w:pPr>
            <w:r>
              <w:rPr>
                <w:rFonts w:eastAsia="仿宋"/>
                <w:sz w:val="20"/>
                <w:szCs w:val="20"/>
              </w:rPr>
              <w:t>安全有序免费开放</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
                <w:sz w:val="20"/>
                <w:szCs w:val="20"/>
              </w:rPr>
            </w:pPr>
            <w:r>
              <w:rPr>
                <w:rFonts w:eastAsia="仿宋"/>
                <w:sz w:val="20"/>
                <w:szCs w:val="20"/>
              </w:rPr>
              <w:t>全年无安全责任事故</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eastAsia="仿宋"/>
                <w:sz w:val="20"/>
                <w:szCs w:val="20"/>
              </w:rPr>
            </w:pPr>
            <w:r>
              <w:rPr>
                <w:rFonts w:eastAsia="仿宋"/>
                <w:sz w:val="20"/>
                <w:szCs w:val="20"/>
              </w:rPr>
              <w:t>完成</w:t>
            </w:r>
            <w:r>
              <w:rPr>
                <w:rFonts w:hint="eastAsia" w:eastAsia="仿宋"/>
                <w:sz w:val="20"/>
                <w:szCs w:val="20"/>
              </w:rPr>
              <w:t>。</w:t>
            </w:r>
          </w:p>
        </w:tc>
      </w:tr>
      <w:tr>
        <w:tblPrEx>
          <w:tblCellMar>
            <w:top w:w="0" w:type="dxa"/>
            <w:left w:w="108" w:type="dxa"/>
            <w:bottom w:w="0" w:type="dxa"/>
            <w:right w:w="108" w:type="dxa"/>
          </w:tblCellMar>
        </w:tblPrEx>
        <w:trPr>
          <w:gridAfter w:val="1"/>
          <w:wAfter w:w="236" w:type="dxa"/>
          <w:trHeight w:val="530" w:hRule="atLeast"/>
        </w:trPr>
        <w:tc>
          <w:tcPr>
            <w:tcW w:w="1242"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left"/>
              <w:rPr>
                <w:rFonts w:eastAsia="仿宋"/>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kern w:val="0"/>
                <w:sz w:val="20"/>
                <w:szCs w:val="20"/>
                <w:lang w:bidi="ar"/>
              </w:rPr>
            </w:pPr>
            <w:r>
              <w:rPr>
                <w:rFonts w:eastAsia="仿宋"/>
                <w:kern w:val="0"/>
                <w:sz w:val="20"/>
                <w:szCs w:val="20"/>
                <w:lang w:bidi="ar"/>
              </w:rPr>
              <w:t>满意</w:t>
            </w:r>
          </w:p>
          <w:p>
            <w:pPr>
              <w:widowControl/>
              <w:spacing w:line="320" w:lineRule="exact"/>
              <w:jc w:val="left"/>
              <w:textAlignment w:val="bottom"/>
              <w:rPr>
                <w:rFonts w:eastAsia="仿宋"/>
                <w:sz w:val="20"/>
                <w:szCs w:val="20"/>
              </w:rPr>
            </w:pPr>
            <w:r>
              <w:rPr>
                <w:rFonts w:eastAsia="仿宋"/>
                <w:kern w:val="0"/>
                <w:sz w:val="20"/>
                <w:szCs w:val="20"/>
                <w:lang w:bidi="ar"/>
              </w:rPr>
              <w:t>度指标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kern w:val="0"/>
                <w:sz w:val="20"/>
                <w:szCs w:val="20"/>
                <w:lang w:bidi="ar"/>
              </w:rPr>
            </w:pPr>
            <w:r>
              <w:rPr>
                <w:rFonts w:eastAsia="仿宋"/>
                <w:kern w:val="0"/>
                <w:sz w:val="20"/>
                <w:szCs w:val="20"/>
                <w:lang w:bidi="ar"/>
              </w:rPr>
              <w:t>满意度</w:t>
            </w:r>
          </w:p>
          <w:p>
            <w:pPr>
              <w:widowControl/>
              <w:spacing w:line="320" w:lineRule="exact"/>
              <w:jc w:val="left"/>
              <w:textAlignment w:val="bottom"/>
              <w:rPr>
                <w:rFonts w:eastAsia="仿宋"/>
                <w:sz w:val="20"/>
                <w:szCs w:val="20"/>
              </w:rPr>
            </w:pPr>
            <w:r>
              <w:rPr>
                <w:rFonts w:eastAsia="仿宋"/>
                <w:kern w:val="0"/>
                <w:sz w:val="20"/>
                <w:szCs w:val="20"/>
                <w:lang w:bidi="ar"/>
              </w:rPr>
              <w:t>指标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参观群众满意度</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95%</w:t>
            </w:r>
          </w:p>
        </w:tc>
        <w:tc>
          <w:tcPr>
            <w:tcW w:w="26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bottom"/>
              <w:rPr>
                <w:rFonts w:eastAsia="仿宋"/>
                <w:sz w:val="20"/>
                <w:szCs w:val="20"/>
              </w:rPr>
            </w:pPr>
            <w:r>
              <w:rPr>
                <w:rFonts w:eastAsia="仿宋"/>
                <w:sz w:val="20"/>
                <w:szCs w:val="20"/>
              </w:rPr>
              <w:t>98%</w:t>
            </w:r>
          </w:p>
        </w:tc>
      </w:tr>
    </w:tbl>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spacing w:line="600" w:lineRule="exact"/>
        <w:jc w:val="center"/>
        <w:outlineLvl w:val="0"/>
        <w:rPr>
          <w:rFonts w:eastAsia="仿宋"/>
        </w:rPr>
      </w:pPr>
      <w:r>
        <w:rPr>
          <w:rFonts w:eastAsia="黑体"/>
          <w:sz w:val="44"/>
          <w:szCs w:val="44"/>
        </w:rPr>
        <w:t>第</w:t>
      </w:r>
      <w:r>
        <w:rPr>
          <w:rStyle w:val="26"/>
          <w:rFonts w:eastAsia="黑体"/>
          <w:b w:val="0"/>
        </w:rPr>
        <w:t>五部分 附表</w:t>
      </w:r>
      <w:bookmarkEnd w:id="125"/>
      <w:bookmarkEnd w:id="131"/>
      <w:bookmarkEnd w:id="132"/>
      <w:bookmarkEnd w:id="133"/>
      <w:bookmarkEnd w:id="134"/>
      <w:bookmarkEnd w:id="135"/>
      <w:bookmarkStart w:id="136" w:name="_Toc15396619"/>
    </w:p>
    <w:p>
      <w:pPr>
        <w:pStyle w:val="4"/>
        <w:spacing w:line="520" w:lineRule="exact"/>
        <w:rPr>
          <w:rFonts w:ascii="Times New Roman" w:hAnsi="Times New Roman" w:eastAsia="仿宋" w:cs="Times New Roman"/>
        </w:rPr>
      </w:pPr>
      <w:bookmarkStart w:id="137" w:name="_Toc40"/>
      <w:bookmarkStart w:id="138" w:name="_Toc6155"/>
      <w:bookmarkStart w:id="139" w:name="_Toc21649"/>
      <w:bookmarkStart w:id="140" w:name="_Toc2677"/>
      <w:r>
        <w:rPr>
          <w:rFonts w:ascii="Times New Roman" w:hAnsi="Times New Roman" w:eastAsia="仿宋" w:cs="Times New Roman"/>
          <w:b w:val="0"/>
        </w:rPr>
        <w:t>一、收</w:t>
      </w:r>
      <w:r>
        <w:rPr>
          <w:rStyle w:val="27"/>
          <w:rFonts w:ascii="Times New Roman" w:hAnsi="Times New Roman" w:eastAsia="仿宋" w:cs="Times New Roman"/>
          <w:b w:val="0"/>
          <w:bCs w:val="0"/>
        </w:rPr>
        <w:t>入支出决算总表</w:t>
      </w:r>
      <w:bookmarkEnd w:id="136"/>
      <w:bookmarkEnd w:id="137"/>
      <w:bookmarkEnd w:id="138"/>
      <w:bookmarkEnd w:id="139"/>
      <w:bookmarkEnd w:id="140"/>
    </w:p>
    <w:p>
      <w:pPr>
        <w:pStyle w:val="4"/>
        <w:spacing w:line="520" w:lineRule="exact"/>
        <w:rPr>
          <w:rFonts w:ascii="Times New Roman" w:hAnsi="Times New Roman" w:eastAsia="仿宋" w:cs="Times New Roman"/>
        </w:rPr>
      </w:pPr>
      <w:bookmarkStart w:id="141" w:name="_Toc15965"/>
      <w:bookmarkStart w:id="142" w:name="_Toc21759"/>
      <w:bookmarkStart w:id="143" w:name="_Toc15396620"/>
      <w:bookmarkStart w:id="144" w:name="_Toc12085"/>
      <w:bookmarkStart w:id="145" w:name="_Toc14984"/>
      <w:r>
        <w:rPr>
          <w:rFonts w:ascii="Times New Roman" w:hAnsi="Times New Roman" w:eastAsia="仿宋" w:cs="Times New Roman"/>
          <w:b w:val="0"/>
        </w:rPr>
        <w:t>二、收</w:t>
      </w:r>
      <w:r>
        <w:rPr>
          <w:rStyle w:val="27"/>
          <w:rFonts w:ascii="Times New Roman" w:hAnsi="Times New Roman" w:eastAsia="仿宋" w:cs="Times New Roman"/>
          <w:b w:val="0"/>
          <w:bCs w:val="0"/>
        </w:rPr>
        <w:t>入决算表</w:t>
      </w:r>
      <w:bookmarkEnd w:id="141"/>
      <w:bookmarkEnd w:id="142"/>
      <w:bookmarkEnd w:id="143"/>
      <w:bookmarkEnd w:id="144"/>
      <w:bookmarkEnd w:id="145"/>
    </w:p>
    <w:p>
      <w:pPr>
        <w:pStyle w:val="4"/>
        <w:spacing w:line="520" w:lineRule="exact"/>
        <w:rPr>
          <w:rFonts w:ascii="Times New Roman" w:hAnsi="Times New Roman" w:eastAsia="仿宋" w:cs="Times New Roman"/>
        </w:rPr>
      </w:pPr>
      <w:bookmarkStart w:id="146" w:name="_Toc4143"/>
      <w:bookmarkStart w:id="147" w:name="_Toc28527"/>
      <w:bookmarkStart w:id="148" w:name="_Toc15396621"/>
      <w:bookmarkStart w:id="149" w:name="_Toc8289"/>
      <w:bookmarkStart w:id="150" w:name="_Toc3817"/>
      <w:r>
        <w:rPr>
          <w:rStyle w:val="27"/>
          <w:rFonts w:ascii="Times New Roman" w:hAnsi="Times New Roman" w:eastAsia="仿宋" w:cs="Times New Roman"/>
          <w:b w:val="0"/>
          <w:bCs w:val="0"/>
        </w:rPr>
        <w:t>三、</w:t>
      </w:r>
      <w:r>
        <w:rPr>
          <w:rFonts w:ascii="Times New Roman" w:hAnsi="Times New Roman" w:eastAsia="仿宋" w:cs="Times New Roman"/>
          <w:b w:val="0"/>
        </w:rPr>
        <w:t>支</w:t>
      </w:r>
      <w:r>
        <w:rPr>
          <w:rStyle w:val="27"/>
          <w:rFonts w:ascii="Times New Roman" w:hAnsi="Times New Roman" w:eastAsia="仿宋" w:cs="Times New Roman"/>
          <w:b w:val="0"/>
          <w:bCs w:val="0"/>
        </w:rPr>
        <w:t>出决算表</w:t>
      </w:r>
      <w:bookmarkEnd w:id="146"/>
      <w:bookmarkEnd w:id="147"/>
      <w:bookmarkEnd w:id="148"/>
      <w:bookmarkEnd w:id="149"/>
      <w:bookmarkEnd w:id="150"/>
    </w:p>
    <w:p>
      <w:pPr>
        <w:pStyle w:val="4"/>
        <w:spacing w:line="520" w:lineRule="exact"/>
        <w:rPr>
          <w:rFonts w:ascii="Times New Roman" w:hAnsi="Times New Roman" w:eastAsia="仿宋" w:cs="Times New Roman"/>
          <w:b w:val="0"/>
        </w:rPr>
      </w:pPr>
      <w:bookmarkStart w:id="151" w:name="_Toc29092"/>
      <w:bookmarkStart w:id="152" w:name="_Toc15396622"/>
      <w:bookmarkStart w:id="153" w:name="_Toc5585"/>
      <w:bookmarkStart w:id="154" w:name="_Toc15437"/>
      <w:bookmarkStart w:id="155" w:name="_Toc27308"/>
      <w:r>
        <w:rPr>
          <w:rStyle w:val="27"/>
          <w:rFonts w:ascii="Times New Roman" w:hAnsi="Times New Roman" w:eastAsia="仿宋" w:cs="Times New Roman"/>
          <w:b w:val="0"/>
          <w:bCs w:val="0"/>
        </w:rPr>
        <w:t>四、</w:t>
      </w:r>
      <w:r>
        <w:rPr>
          <w:rFonts w:ascii="Times New Roman" w:hAnsi="Times New Roman" w:eastAsia="仿宋" w:cs="Times New Roman"/>
          <w:b w:val="0"/>
        </w:rPr>
        <w:t>财</w:t>
      </w:r>
      <w:r>
        <w:rPr>
          <w:rStyle w:val="27"/>
          <w:rFonts w:ascii="Times New Roman" w:hAnsi="Times New Roman" w:eastAsia="仿宋" w:cs="Times New Roman"/>
          <w:b w:val="0"/>
          <w:bCs w:val="0"/>
        </w:rPr>
        <w:t>政拨款收入支出决算总表</w:t>
      </w:r>
      <w:bookmarkEnd w:id="151"/>
      <w:bookmarkEnd w:id="152"/>
      <w:bookmarkEnd w:id="153"/>
      <w:bookmarkEnd w:id="154"/>
      <w:bookmarkEnd w:id="155"/>
    </w:p>
    <w:p>
      <w:pPr>
        <w:pStyle w:val="4"/>
        <w:spacing w:line="520" w:lineRule="exact"/>
        <w:rPr>
          <w:rStyle w:val="27"/>
          <w:rFonts w:ascii="Times New Roman" w:hAnsi="Times New Roman" w:eastAsia="仿宋" w:cs="Times New Roman"/>
          <w:b w:val="0"/>
          <w:bCs w:val="0"/>
        </w:rPr>
      </w:pPr>
      <w:bookmarkStart w:id="156" w:name="_Toc29478"/>
      <w:bookmarkStart w:id="157" w:name="_Toc29290"/>
      <w:bookmarkStart w:id="158" w:name="_Toc26462"/>
      <w:bookmarkStart w:id="159" w:name="_Toc15396623"/>
      <w:bookmarkStart w:id="160" w:name="_Toc1617"/>
      <w:r>
        <w:rPr>
          <w:rStyle w:val="27"/>
          <w:rFonts w:ascii="Times New Roman" w:hAnsi="Times New Roman" w:eastAsia="仿宋" w:cs="Times New Roman"/>
          <w:b w:val="0"/>
          <w:bCs w:val="0"/>
        </w:rPr>
        <w:t>五、</w:t>
      </w:r>
      <w:r>
        <w:rPr>
          <w:rFonts w:ascii="Times New Roman" w:hAnsi="Times New Roman" w:eastAsia="仿宋" w:cs="Times New Roman"/>
          <w:b w:val="0"/>
        </w:rPr>
        <w:t>财</w:t>
      </w:r>
      <w:r>
        <w:rPr>
          <w:rStyle w:val="27"/>
          <w:rFonts w:ascii="Times New Roman" w:hAnsi="Times New Roman" w:eastAsia="仿宋" w:cs="Times New Roman"/>
          <w:b w:val="0"/>
          <w:bCs w:val="0"/>
        </w:rPr>
        <w:t>政拨款支出决算明细表</w:t>
      </w:r>
      <w:bookmarkEnd w:id="156"/>
      <w:bookmarkEnd w:id="157"/>
      <w:bookmarkEnd w:id="158"/>
      <w:bookmarkEnd w:id="159"/>
      <w:bookmarkEnd w:id="160"/>
      <w:bookmarkStart w:id="161" w:name="_Toc15396624"/>
    </w:p>
    <w:p>
      <w:pPr>
        <w:pStyle w:val="4"/>
        <w:spacing w:line="520" w:lineRule="exact"/>
        <w:rPr>
          <w:rFonts w:ascii="Times New Roman" w:hAnsi="Times New Roman" w:eastAsia="仿宋" w:cs="Times New Roman"/>
        </w:rPr>
      </w:pPr>
      <w:bookmarkStart w:id="162" w:name="_Toc32043"/>
      <w:bookmarkStart w:id="163" w:name="_Toc12613"/>
      <w:bookmarkStart w:id="164" w:name="_Toc1755"/>
      <w:bookmarkStart w:id="165" w:name="_Toc7824"/>
      <w:r>
        <w:rPr>
          <w:rStyle w:val="27"/>
          <w:rFonts w:ascii="Times New Roman" w:hAnsi="Times New Roman" w:eastAsia="仿宋" w:cs="Times New Roman"/>
          <w:b w:val="0"/>
          <w:bCs w:val="0"/>
        </w:rPr>
        <w:t>六、</w:t>
      </w:r>
      <w:r>
        <w:rPr>
          <w:rFonts w:ascii="Times New Roman" w:hAnsi="Times New Roman" w:eastAsia="仿宋" w:cs="Times New Roman"/>
          <w:b w:val="0"/>
        </w:rPr>
        <w:t>一</w:t>
      </w:r>
      <w:r>
        <w:rPr>
          <w:rStyle w:val="27"/>
          <w:rFonts w:ascii="Times New Roman" w:hAnsi="Times New Roman" w:eastAsia="仿宋" w:cs="Times New Roman"/>
          <w:b w:val="0"/>
          <w:bCs w:val="0"/>
        </w:rPr>
        <w:t>般公共预算财政拨款支出决算表</w:t>
      </w:r>
      <w:bookmarkEnd w:id="161"/>
      <w:bookmarkEnd w:id="162"/>
      <w:bookmarkEnd w:id="163"/>
      <w:bookmarkEnd w:id="164"/>
      <w:bookmarkEnd w:id="165"/>
    </w:p>
    <w:p>
      <w:pPr>
        <w:pStyle w:val="4"/>
        <w:spacing w:line="520" w:lineRule="exact"/>
        <w:rPr>
          <w:rFonts w:ascii="Times New Roman" w:hAnsi="Times New Roman" w:eastAsia="仿宋" w:cs="Times New Roman"/>
        </w:rPr>
      </w:pPr>
      <w:bookmarkStart w:id="166" w:name="_Toc32410"/>
      <w:bookmarkStart w:id="167" w:name="_Toc966"/>
      <w:bookmarkStart w:id="168" w:name="_Toc29950"/>
      <w:bookmarkStart w:id="169" w:name="_Toc15396625"/>
      <w:bookmarkStart w:id="170" w:name="_Toc445"/>
      <w:r>
        <w:rPr>
          <w:rStyle w:val="27"/>
          <w:rFonts w:ascii="Times New Roman" w:hAnsi="Times New Roman" w:eastAsia="仿宋" w:cs="Times New Roman"/>
          <w:b w:val="0"/>
          <w:bCs w:val="0"/>
        </w:rPr>
        <w:t>七、</w:t>
      </w:r>
      <w:r>
        <w:rPr>
          <w:rFonts w:ascii="Times New Roman" w:hAnsi="Times New Roman" w:eastAsia="仿宋" w:cs="Times New Roman"/>
          <w:b w:val="0"/>
        </w:rPr>
        <w:t>一</w:t>
      </w:r>
      <w:r>
        <w:rPr>
          <w:rStyle w:val="27"/>
          <w:rFonts w:ascii="Times New Roman" w:hAnsi="Times New Roman" w:eastAsia="仿宋" w:cs="Times New Roman"/>
          <w:b w:val="0"/>
          <w:bCs w:val="0"/>
        </w:rPr>
        <w:t>般公共预算财政拨款支出决算明细表</w:t>
      </w:r>
      <w:bookmarkEnd w:id="166"/>
      <w:bookmarkEnd w:id="167"/>
      <w:bookmarkEnd w:id="168"/>
      <w:bookmarkEnd w:id="169"/>
      <w:bookmarkEnd w:id="170"/>
    </w:p>
    <w:p>
      <w:pPr>
        <w:pStyle w:val="4"/>
        <w:spacing w:line="520" w:lineRule="exact"/>
        <w:rPr>
          <w:rFonts w:ascii="Times New Roman" w:hAnsi="Times New Roman" w:eastAsia="仿宋" w:cs="Times New Roman"/>
        </w:rPr>
      </w:pPr>
      <w:bookmarkStart w:id="171" w:name="_Toc15396626"/>
      <w:bookmarkStart w:id="172" w:name="_Toc13064"/>
      <w:bookmarkStart w:id="173" w:name="_Toc27413"/>
      <w:bookmarkStart w:id="174" w:name="_Toc16134"/>
      <w:bookmarkStart w:id="175" w:name="_Toc23111"/>
      <w:r>
        <w:rPr>
          <w:rStyle w:val="27"/>
          <w:rFonts w:ascii="Times New Roman" w:hAnsi="Times New Roman" w:eastAsia="仿宋" w:cs="Times New Roman"/>
          <w:b w:val="0"/>
          <w:bCs w:val="0"/>
        </w:rPr>
        <w:t>八、</w:t>
      </w:r>
      <w:r>
        <w:rPr>
          <w:rFonts w:ascii="Times New Roman" w:hAnsi="Times New Roman" w:eastAsia="仿宋" w:cs="Times New Roman"/>
          <w:b w:val="0"/>
        </w:rPr>
        <w:t>一</w:t>
      </w:r>
      <w:r>
        <w:rPr>
          <w:rStyle w:val="27"/>
          <w:rFonts w:ascii="Times New Roman" w:hAnsi="Times New Roman" w:eastAsia="仿宋" w:cs="Times New Roman"/>
          <w:b w:val="0"/>
          <w:bCs w:val="0"/>
        </w:rPr>
        <w:t>般公共预算财政拨款基本支出决算表</w:t>
      </w:r>
      <w:bookmarkEnd w:id="171"/>
      <w:bookmarkEnd w:id="172"/>
      <w:bookmarkEnd w:id="173"/>
      <w:bookmarkEnd w:id="174"/>
      <w:bookmarkEnd w:id="175"/>
    </w:p>
    <w:p>
      <w:pPr>
        <w:pStyle w:val="4"/>
        <w:spacing w:line="520" w:lineRule="exact"/>
        <w:rPr>
          <w:rFonts w:ascii="Times New Roman" w:hAnsi="Times New Roman" w:eastAsia="仿宋" w:cs="Times New Roman"/>
        </w:rPr>
      </w:pPr>
      <w:bookmarkStart w:id="176" w:name="_Toc7972"/>
      <w:bookmarkStart w:id="177" w:name="_Toc13056"/>
      <w:bookmarkStart w:id="178" w:name="_Toc15396627"/>
      <w:bookmarkStart w:id="179" w:name="_Toc2660"/>
      <w:bookmarkStart w:id="180" w:name="_Toc11269"/>
      <w:r>
        <w:rPr>
          <w:rStyle w:val="27"/>
          <w:rFonts w:ascii="Times New Roman" w:hAnsi="Times New Roman" w:eastAsia="仿宋" w:cs="Times New Roman"/>
          <w:b w:val="0"/>
          <w:bCs w:val="0"/>
        </w:rPr>
        <w:t>九、</w:t>
      </w:r>
      <w:r>
        <w:rPr>
          <w:rFonts w:ascii="Times New Roman" w:hAnsi="Times New Roman" w:eastAsia="仿宋" w:cs="Times New Roman"/>
          <w:b w:val="0"/>
        </w:rPr>
        <w:t>一</w:t>
      </w:r>
      <w:r>
        <w:rPr>
          <w:rStyle w:val="27"/>
          <w:rFonts w:ascii="Times New Roman" w:hAnsi="Times New Roman" w:eastAsia="仿宋" w:cs="Times New Roman"/>
          <w:b w:val="0"/>
          <w:bCs w:val="0"/>
        </w:rPr>
        <w:t>般公共预算财政拨款项目支出决算表</w:t>
      </w:r>
      <w:bookmarkEnd w:id="176"/>
      <w:bookmarkEnd w:id="177"/>
      <w:bookmarkEnd w:id="178"/>
      <w:bookmarkEnd w:id="179"/>
      <w:bookmarkEnd w:id="180"/>
    </w:p>
    <w:p>
      <w:pPr>
        <w:pStyle w:val="4"/>
        <w:spacing w:line="520" w:lineRule="exact"/>
        <w:rPr>
          <w:rFonts w:ascii="Times New Roman" w:hAnsi="Times New Roman" w:eastAsia="仿宋" w:cs="Times New Roman"/>
        </w:rPr>
      </w:pPr>
      <w:bookmarkStart w:id="181" w:name="_Toc19073"/>
      <w:bookmarkStart w:id="182" w:name="_Toc4507"/>
      <w:bookmarkStart w:id="183" w:name="_Toc6063"/>
      <w:bookmarkStart w:id="184" w:name="_Toc15396628"/>
      <w:bookmarkStart w:id="185" w:name="_Toc14959"/>
      <w:r>
        <w:rPr>
          <w:rStyle w:val="27"/>
          <w:rFonts w:ascii="Times New Roman" w:hAnsi="Times New Roman" w:eastAsia="仿宋" w:cs="Times New Roman"/>
          <w:b w:val="0"/>
          <w:bCs w:val="0"/>
        </w:rPr>
        <w:t>十、</w:t>
      </w:r>
      <w:r>
        <w:rPr>
          <w:rFonts w:ascii="Times New Roman" w:hAnsi="Times New Roman" w:eastAsia="仿宋" w:cs="Times New Roman"/>
          <w:b w:val="0"/>
        </w:rPr>
        <w:t>一</w:t>
      </w:r>
      <w:r>
        <w:rPr>
          <w:rStyle w:val="27"/>
          <w:rFonts w:ascii="Times New Roman" w:hAnsi="Times New Roman" w:eastAsia="仿宋" w:cs="Times New Roman"/>
          <w:b w:val="0"/>
          <w:bCs w:val="0"/>
        </w:rPr>
        <w:t>般公共预算财政拨款“三公”经费支出决算表</w:t>
      </w:r>
      <w:bookmarkEnd w:id="181"/>
      <w:bookmarkEnd w:id="182"/>
      <w:bookmarkEnd w:id="183"/>
      <w:bookmarkEnd w:id="184"/>
      <w:bookmarkEnd w:id="185"/>
    </w:p>
    <w:p>
      <w:pPr>
        <w:pStyle w:val="4"/>
        <w:spacing w:line="520" w:lineRule="exact"/>
        <w:rPr>
          <w:rFonts w:ascii="Times New Roman" w:hAnsi="Times New Roman" w:eastAsia="仿宋" w:cs="Times New Roman"/>
        </w:rPr>
      </w:pPr>
      <w:bookmarkStart w:id="186" w:name="_Toc15396629"/>
      <w:bookmarkStart w:id="187" w:name="_Toc11612"/>
      <w:bookmarkStart w:id="188" w:name="_Toc22895"/>
      <w:bookmarkStart w:id="189" w:name="_Toc11890"/>
      <w:bookmarkStart w:id="190" w:name="_Toc1270"/>
      <w:r>
        <w:rPr>
          <w:rStyle w:val="27"/>
          <w:rFonts w:ascii="Times New Roman" w:hAnsi="Times New Roman" w:eastAsia="仿宋" w:cs="Times New Roman"/>
          <w:b w:val="0"/>
          <w:bCs w:val="0"/>
        </w:rPr>
        <w:t>十一、</w:t>
      </w:r>
      <w:r>
        <w:rPr>
          <w:rFonts w:ascii="Times New Roman" w:hAnsi="Times New Roman" w:eastAsia="仿宋" w:cs="Times New Roman"/>
          <w:b w:val="0"/>
        </w:rPr>
        <w:t>政</w:t>
      </w:r>
      <w:r>
        <w:rPr>
          <w:rStyle w:val="27"/>
          <w:rFonts w:ascii="Times New Roman" w:hAnsi="Times New Roman" w:eastAsia="仿宋" w:cs="Times New Roman"/>
          <w:b w:val="0"/>
          <w:bCs w:val="0"/>
        </w:rPr>
        <w:t>府性基金预算财政拨款收入支出决算表</w:t>
      </w:r>
      <w:bookmarkEnd w:id="186"/>
      <w:bookmarkEnd w:id="187"/>
      <w:bookmarkEnd w:id="188"/>
      <w:bookmarkEnd w:id="189"/>
      <w:bookmarkEnd w:id="190"/>
    </w:p>
    <w:p>
      <w:pPr>
        <w:pStyle w:val="4"/>
        <w:spacing w:line="520" w:lineRule="exact"/>
        <w:rPr>
          <w:rFonts w:ascii="Times New Roman" w:hAnsi="Times New Roman" w:eastAsia="仿宋" w:cs="Times New Roman"/>
        </w:rPr>
      </w:pPr>
      <w:bookmarkStart w:id="191" w:name="_Toc15646"/>
      <w:bookmarkStart w:id="192" w:name="_Toc15396630"/>
      <w:bookmarkStart w:id="193" w:name="_Toc23863"/>
      <w:bookmarkStart w:id="194" w:name="_Toc30235"/>
      <w:bookmarkStart w:id="195" w:name="_Toc13845"/>
      <w:r>
        <w:rPr>
          <w:rStyle w:val="27"/>
          <w:rFonts w:ascii="Times New Roman" w:hAnsi="Times New Roman" w:eastAsia="仿宋" w:cs="Times New Roman"/>
          <w:b w:val="0"/>
          <w:bCs w:val="0"/>
        </w:rPr>
        <w:t>十二、</w:t>
      </w:r>
      <w:r>
        <w:rPr>
          <w:rFonts w:ascii="Times New Roman" w:hAnsi="Times New Roman" w:eastAsia="仿宋" w:cs="Times New Roman"/>
          <w:b w:val="0"/>
        </w:rPr>
        <w:t>政</w:t>
      </w:r>
      <w:r>
        <w:rPr>
          <w:rStyle w:val="27"/>
          <w:rFonts w:ascii="Times New Roman" w:hAnsi="Times New Roman" w:eastAsia="仿宋" w:cs="Times New Roman"/>
          <w:b w:val="0"/>
          <w:bCs w:val="0"/>
        </w:rPr>
        <w:t>府性基金预算财政拨款“三公”经费支出决算表</w:t>
      </w:r>
      <w:bookmarkEnd w:id="191"/>
      <w:bookmarkEnd w:id="192"/>
      <w:bookmarkEnd w:id="193"/>
      <w:bookmarkEnd w:id="194"/>
      <w:r>
        <w:rPr>
          <w:rStyle w:val="27"/>
          <w:rFonts w:ascii="Times New Roman" w:hAnsi="Times New Roman" w:eastAsia="仿宋" w:cs="Times New Roman"/>
          <w:b w:val="0"/>
          <w:bCs w:val="0"/>
        </w:rPr>
        <w:t>（此表无数据）</w:t>
      </w:r>
      <w:bookmarkEnd w:id="195"/>
    </w:p>
    <w:p>
      <w:pPr>
        <w:pStyle w:val="4"/>
        <w:spacing w:line="520" w:lineRule="exact"/>
        <w:rPr>
          <w:rStyle w:val="27"/>
          <w:rFonts w:ascii="Times New Roman" w:hAnsi="Times New Roman" w:eastAsia="仿宋" w:cs="Times New Roman"/>
          <w:b w:val="0"/>
          <w:bCs w:val="0"/>
        </w:rPr>
      </w:pPr>
      <w:bookmarkStart w:id="196" w:name="_Toc21830"/>
      <w:bookmarkStart w:id="197" w:name="_Toc15396631"/>
      <w:bookmarkStart w:id="198" w:name="_Toc24253"/>
      <w:bookmarkStart w:id="199" w:name="_Toc30522"/>
      <w:bookmarkStart w:id="200" w:name="_Toc28634"/>
      <w:r>
        <w:rPr>
          <w:rStyle w:val="27"/>
          <w:rFonts w:ascii="Times New Roman" w:hAnsi="Times New Roman" w:eastAsia="仿宋" w:cs="Times New Roman"/>
          <w:b w:val="0"/>
          <w:bCs w:val="0"/>
        </w:rPr>
        <w:t>十三、</w:t>
      </w:r>
      <w:r>
        <w:rPr>
          <w:rFonts w:ascii="Times New Roman" w:hAnsi="Times New Roman" w:eastAsia="仿宋" w:cs="Times New Roman"/>
          <w:b w:val="0"/>
        </w:rPr>
        <w:t>国</w:t>
      </w:r>
      <w:r>
        <w:rPr>
          <w:rStyle w:val="27"/>
          <w:rFonts w:ascii="Times New Roman" w:hAnsi="Times New Roman" w:eastAsia="仿宋" w:cs="Times New Roman"/>
          <w:b w:val="0"/>
          <w:bCs w:val="0"/>
        </w:rPr>
        <w:t>有资本经营预算财政拨款收入支出决算表</w:t>
      </w:r>
      <w:bookmarkEnd w:id="196"/>
      <w:bookmarkEnd w:id="197"/>
      <w:bookmarkEnd w:id="198"/>
      <w:bookmarkEnd w:id="199"/>
      <w:r>
        <w:rPr>
          <w:rStyle w:val="27"/>
          <w:rFonts w:ascii="Times New Roman" w:hAnsi="Times New Roman" w:eastAsia="仿宋" w:cs="Times New Roman"/>
          <w:b w:val="0"/>
          <w:bCs w:val="0"/>
        </w:rPr>
        <w:t>（此表无数据）</w:t>
      </w:r>
      <w:bookmarkEnd w:id="200"/>
    </w:p>
    <w:p>
      <w:pPr>
        <w:spacing w:line="520" w:lineRule="exact"/>
        <w:outlineLvl w:val="1"/>
        <w:rPr>
          <w:rFonts w:eastAsia="仿宋"/>
        </w:rPr>
      </w:pPr>
      <w:bookmarkStart w:id="201" w:name="_Toc25433"/>
      <w:bookmarkStart w:id="202" w:name="_Toc22923"/>
      <w:bookmarkStart w:id="203" w:name="_Toc26849"/>
      <w:bookmarkStart w:id="204" w:name="_Toc7534"/>
      <w:r>
        <w:rPr>
          <w:rStyle w:val="27"/>
          <w:rFonts w:ascii="Times New Roman" w:hAnsi="Times New Roman" w:eastAsia="仿宋" w:cs="Times New Roman"/>
          <w:b w:val="0"/>
          <w:bCs w:val="0"/>
        </w:rPr>
        <w:t>十四、国有资本经营预算财政拨款支出决算表</w:t>
      </w:r>
      <w:bookmarkEnd w:id="201"/>
      <w:bookmarkEnd w:id="202"/>
      <w:bookmarkEnd w:id="203"/>
      <w:r>
        <w:rPr>
          <w:rStyle w:val="27"/>
          <w:rFonts w:ascii="Times New Roman" w:hAnsi="Times New Roman" w:eastAsia="仿宋" w:cs="Times New Roman"/>
          <w:b w:val="0"/>
          <w:bCs w:val="0"/>
        </w:rPr>
        <w:t>（此表无数据）</w:t>
      </w:r>
      <w:bookmarkEnd w:id="204"/>
    </w:p>
    <w:sectPr>
      <w:footerReference r:id="rId5" w:type="first"/>
      <w:footerReference r:id="rId4" w:type="default"/>
      <w:pgSz w:w="11906" w:h="16838"/>
      <w:pgMar w:top="1418" w:right="1474" w:bottom="1418" w:left="153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embedRegular r:id="rId1" w:fontKey="{197A406F-2B30-46D6-A3AB-F2364C6040B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2B13800B-9437-462C-AF8A-B1B62178C9E5}"/>
  </w:font>
  <w:font w:name="仿宋">
    <w:panose1 w:val="02010609060101010101"/>
    <w:charset w:val="86"/>
    <w:family w:val="modern"/>
    <w:pitch w:val="default"/>
    <w:sig w:usb0="800002BF" w:usb1="38CF7CFA" w:usb2="00000016" w:usb3="00000000" w:csb0="00040001" w:csb1="00000000"/>
    <w:embedRegular r:id="rId3" w:fontKey="{5CF1BCD3-53D4-44A9-A943-8D66BE271194}"/>
  </w:font>
  <w:font w:name="??">
    <w:altName w:val="Times New Roman"/>
    <w:panose1 w:val="00000000000000000000"/>
    <w:charset w:val="00"/>
    <w:family w:val="roman"/>
    <w:pitch w:val="default"/>
    <w:sig w:usb0="00000000" w:usb1="00000000" w:usb2="00000000"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F16B9077-FC44-4B94-A70A-518424BC3BC2}"/>
  </w:font>
  <w:font w:name="方正仿宋_GBK">
    <w:panose1 w:val="03000509000000000000"/>
    <w:charset w:val="86"/>
    <w:family w:val="script"/>
    <w:pitch w:val="default"/>
    <w:sig w:usb0="00000001" w:usb1="080E0000" w:usb2="00000000" w:usb3="00000000" w:csb0="00040000" w:csb1="00000000"/>
    <w:embedRegular r:id="rId5" w:fontKey="{E503207E-5AF9-4554-9C36-48A4EF950A3F}"/>
  </w:font>
  <w:font w:name="楷体_GB2312">
    <w:panose1 w:val="02010609030101010101"/>
    <w:charset w:val="86"/>
    <w:family w:val="modern"/>
    <w:pitch w:val="default"/>
    <w:sig w:usb0="00000001" w:usb1="080E0000" w:usb2="00000000" w:usb3="00000000" w:csb0="00040000" w:csb1="00000000"/>
    <w:embedRegular r:id="rId6" w:fontKey="{E6CBCC5A-367B-4A27-9EDB-5E387B215504}"/>
  </w:font>
  <w:font w:name="方正小标宋_GBK">
    <w:panose1 w:val="03000509000000000000"/>
    <w:charset w:val="86"/>
    <w:family w:val="script"/>
    <w:pitch w:val="default"/>
    <w:sig w:usb0="00000001" w:usb1="080E0000" w:usb2="00000000" w:usb3="00000000" w:csb0="00040000" w:csb1="00000000"/>
    <w:embedRegular r:id="rId7" w:fontKey="{39245BE3-2CA1-4EAD-BD9E-5C1BD8BEF23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76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rPr>
    </w:lvl>
  </w:abstractNum>
  <w:abstractNum w:abstractNumId="1">
    <w:nsid w:val="F5F71427"/>
    <w:multiLevelType w:val="singleLevel"/>
    <w:tmpl w:val="F5F71427"/>
    <w:lvl w:ilvl="0" w:tentative="0">
      <w:start w:val="3"/>
      <w:numFmt w:val="decimal"/>
      <w:suff w:val="space"/>
      <w:lvlText w:val="%1."/>
      <w:lvlJc w:val="left"/>
      <w:rPr>
        <w:rFonts w:cs="Times New Roman"/>
      </w:rPr>
    </w:lvl>
  </w:abstractNum>
  <w:abstractNum w:abstractNumId="2">
    <w:nsid w:val="1A0DADAA"/>
    <w:multiLevelType w:val="singleLevel"/>
    <w:tmpl w:val="1A0DADAA"/>
    <w:lvl w:ilvl="0" w:tentative="0">
      <w:start w:val="2"/>
      <w:numFmt w:val="decimal"/>
      <w:suff w:val="space"/>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NzQ0ZjQ5NDVmMjMwY2JmYWZlMDAyMjI0YmJiNWUifQ=="/>
  </w:docVars>
  <w:rsids>
    <w:rsidRoot w:val="00F1361C"/>
    <w:rsid w:val="00013913"/>
    <w:rsid w:val="00013B09"/>
    <w:rsid w:val="000222C6"/>
    <w:rsid w:val="0002549F"/>
    <w:rsid w:val="000468DB"/>
    <w:rsid w:val="0006487A"/>
    <w:rsid w:val="00065F8F"/>
    <w:rsid w:val="00070A43"/>
    <w:rsid w:val="000768F2"/>
    <w:rsid w:val="0008026B"/>
    <w:rsid w:val="0009184B"/>
    <w:rsid w:val="000933CD"/>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3CF6"/>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65DF"/>
    <w:rsid w:val="0036561B"/>
    <w:rsid w:val="0037013F"/>
    <w:rsid w:val="00380C92"/>
    <w:rsid w:val="003A484F"/>
    <w:rsid w:val="003A4883"/>
    <w:rsid w:val="003B0BE0"/>
    <w:rsid w:val="003B0C1B"/>
    <w:rsid w:val="003B688C"/>
    <w:rsid w:val="003B7913"/>
    <w:rsid w:val="003C0291"/>
    <w:rsid w:val="003C39AE"/>
    <w:rsid w:val="003C7B60"/>
    <w:rsid w:val="003D0C0F"/>
    <w:rsid w:val="003D1FB2"/>
    <w:rsid w:val="003D66DA"/>
    <w:rsid w:val="003E1310"/>
    <w:rsid w:val="003E6F55"/>
    <w:rsid w:val="003F3D67"/>
    <w:rsid w:val="00406254"/>
    <w:rsid w:val="004223DE"/>
    <w:rsid w:val="00434489"/>
    <w:rsid w:val="00437085"/>
    <w:rsid w:val="00443880"/>
    <w:rsid w:val="004464F4"/>
    <w:rsid w:val="00471401"/>
    <w:rsid w:val="00473F31"/>
    <w:rsid w:val="0048263A"/>
    <w:rsid w:val="00487E5D"/>
    <w:rsid w:val="00496E53"/>
    <w:rsid w:val="004A3867"/>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47C7"/>
    <w:rsid w:val="005B5C64"/>
    <w:rsid w:val="005C5337"/>
    <w:rsid w:val="005C6BD0"/>
    <w:rsid w:val="005C73EF"/>
    <w:rsid w:val="005D1C8B"/>
    <w:rsid w:val="005D468D"/>
    <w:rsid w:val="005D5CED"/>
    <w:rsid w:val="005E2FFA"/>
    <w:rsid w:val="005F1A4C"/>
    <w:rsid w:val="00605688"/>
    <w:rsid w:val="006070AF"/>
    <w:rsid w:val="00607E6C"/>
    <w:rsid w:val="006101B1"/>
    <w:rsid w:val="00614E44"/>
    <w:rsid w:val="0062270A"/>
    <w:rsid w:val="00622830"/>
    <w:rsid w:val="00623DA0"/>
    <w:rsid w:val="00627C20"/>
    <w:rsid w:val="00630AEF"/>
    <w:rsid w:val="006325F8"/>
    <w:rsid w:val="00633463"/>
    <w:rsid w:val="00634C9A"/>
    <w:rsid w:val="006440E4"/>
    <w:rsid w:val="006508FB"/>
    <w:rsid w:val="00654699"/>
    <w:rsid w:val="0066343B"/>
    <w:rsid w:val="00664777"/>
    <w:rsid w:val="006748A4"/>
    <w:rsid w:val="00681A00"/>
    <w:rsid w:val="00681A31"/>
    <w:rsid w:val="00683E73"/>
    <w:rsid w:val="006A3141"/>
    <w:rsid w:val="006A5E34"/>
    <w:rsid w:val="006B2422"/>
    <w:rsid w:val="006B2B9A"/>
    <w:rsid w:val="006C1937"/>
    <w:rsid w:val="006D3593"/>
    <w:rsid w:val="006F020C"/>
    <w:rsid w:val="007127B7"/>
    <w:rsid w:val="0071798E"/>
    <w:rsid w:val="00725DE7"/>
    <w:rsid w:val="007416B6"/>
    <w:rsid w:val="00746F48"/>
    <w:rsid w:val="00751441"/>
    <w:rsid w:val="0075404D"/>
    <w:rsid w:val="0076182A"/>
    <w:rsid w:val="00767B7E"/>
    <w:rsid w:val="007770C3"/>
    <w:rsid w:val="00780147"/>
    <w:rsid w:val="00784D24"/>
    <w:rsid w:val="00785FBA"/>
    <w:rsid w:val="00786E4A"/>
    <w:rsid w:val="007875EB"/>
    <w:rsid w:val="0079426B"/>
    <w:rsid w:val="007A798C"/>
    <w:rsid w:val="007D1682"/>
    <w:rsid w:val="007D312A"/>
    <w:rsid w:val="007D3F19"/>
    <w:rsid w:val="007E23B0"/>
    <w:rsid w:val="007E23E5"/>
    <w:rsid w:val="007F1991"/>
    <w:rsid w:val="007F2C2F"/>
    <w:rsid w:val="007F55FC"/>
    <w:rsid w:val="007F5665"/>
    <w:rsid w:val="00800112"/>
    <w:rsid w:val="00804BEA"/>
    <w:rsid w:val="00813348"/>
    <w:rsid w:val="008253BB"/>
    <w:rsid w:val="0083706E"/>
    <w:rsid w:val="008408F6"/>
    <w:rsid w:val="008423A5"/>
    <w:rsid w:val="00850625"/>
    <w:rsid w:val="00853718"/>
    <w:rsid w:val="00855221"/>
    <w:rsid w:val="0085736B"/>
    <w:rsid w:val="008579FF"/>
    <w:rsid w:val="00860645"/>
    <w:rsid w:val="00861BF0"/>
    <w:rsid w:val="00871F71"/>
    <w:rsid w:val="00872FD8"/>
    <w:rsid w:val="00876CC4"/>
    <w:rsid w:val="00885AF4"/>
    <w:rsid w:val="008939CD"/>
    <w:rsid w:val="008B768C"/>
    <w:rsid w:val="008C046A"/>
    <w:rsid w:val="008C3D70"/>
    <w:rsid w:val="008C4DB1"/>
    <w:rsid w:val="008C4EAF"/>
    <w:rsid w:val="008C5176"/>
    <w:rsid w:val="008C7FD0"/>
    <w:rsid w:val="008D4D29"/>
    <w:rsid w:val="008E1DE7"/>
    <w:rsid w:val="008E707C"/>
    <w:rsid w:val="00900B08"/>
    <w:rsid w:val="00902155"/>
    <w:rsid w:val="00902FA3"/>
    <w:rsid w:val="00923564"/>
    <w:rsid w:val="0092392E"/>
    <w:rsid w:val="0093036A"/>
    <w:rsid w:val="009315F9"/>
    <w:rsid w:val="00933499"/>
    <w:rsid w:val="00935C98"/>
    <w:rsid w:val="00946945"/>
    <w:rsid w:val="00951248"/>
    <w:rsid w:val="0095152F"/>
    <w:rsid w:val="00954C49"/>
    <w:rsid w:val="00955E37"/>
    <w:rsid w:val="00956C36"/>
    <w:rsid w:val="0097099F"/>
    <w:rsid w:val="00971997"/>
    <w:rsid w:val="00971FFC"/>
    <w:rsid w:val="0098660A"/>
    <w:rsid w:val="009869FB"/>
    <w:rsid w:val="009906AC"/>
    <w:rsid w:val="009931C3"/>
    <w:rsid w:val="009B072A"/>
    <w:rsid w:val="009B2C43"/>
    <w:rsid w:val="009B4EAE"/>
    <w:rsid w:val="009B7573"/>
    <w:rsid w:val="009C22F4"/>
    <w:rsid w:val="009C259E"/>
    <w:rsid w:val="009C2A4B"/>
    <w:rsid w:val="009C2E98"/>
    <w:rsid w:val="009D3447"/>
    <w:rsid w:val="009D4711"/>
    <w:rsid w:val="009F1185"/>
    <w:rsid w:val="009F18CD"/>
    <w:rsid w:val="009F2A13"/>
    <w:rsid w:val="009F7527"/>
    <w:rsid w:val="00A04EB0"/>
    <w:rsid w:val="00A13CC1"/>
    <w:rsid w:val="00A14B1E"/>
    <w:rsid w:val="00A16847"/>
    <w:rsid w:val="00A237D8"/>
    <w:rsid w:val="00A268C4"/>
    <w:rsid w:val="00A307CD"/>
    <w:rsid w:val="00A331C8"/>
    <w:rsid w:val="00A40A00"/>
    <w:rsid w:val="00A4142F"/>
    <w:rsid w:val="00A422EB"/>
    <w:rsid w:val="00A45BB7"/>
    <w:rsid w:val="00A56DF2"/>
    <w:rsid w:val="00A56E6E"/>
    <w:rsid w:val="00A633DD"/>
    <w:rsid w:val="00A67AB5"/>
    <w:rsid w:val="00A733B2"/>
    <w:rsid w:val="00A741C2"/>
    <w:rsid w:val="00A91760"/>
    <w:rsid w:val="00A93B00"/>
    <w:rsid w:val="00A93C21"/>
    <w:rsid w:val="00AB3891"/>
    <w:rsid w:val="00AB64C9"/>
    <w:rsid w:val="00AC3C6A"/>
    <w:rsid w:val="00AD5620"/>
    <w:rsid w:val="00AD656B"/>
    <w:rsid w:val="00AD7C1B"/>
    <w:rsid w:val="00AE1416"/>
    <w:rsid w:val="00AE16BA"/>
    <w:rsid w:val="00AE1EBE"/>
    <w:rsid w:val="00B03C9D"/>
    <w:rsid w:val="00B060AE"/>
    <w:rsid w:val="00B10517"/>
    <w:rsid w:val="00B14E76"/>
    <w:rsid w:val="00B161B8"/>
    <w:rsid w:val="00B2048C"/>
    <w:rsid w:val="00B20D20"/>
    <w:rsid w:val="00B3028E"/>
    <w:rsid w:val="00B310B9"/>
    <w:rsid w:val="00B35F3F"/>
    <w:rsid w:val="00B36CBB"/>
    <w:rsid w:val="00B425E0"/>
    <w:rsid w:val="00B440AA"/>
    <w:rsid w:val="00B44B70"/>
    <w:rsid w:val="00B53C56"/>
    <w:rsid w:val="00B57DAF"/>
    <w:rsid w:val="00B74AAD"/>
    <w:rsid w:val="00B7740E"/>
    <w:rsid w:val="00B77EA6"/>
    <w:rsid w:val="00B81598"/>
    <w:rsid w:val="00B841F1"/>
    <w:rsid w:val="00B844C5"/>
    <w:rsid w:val="00B944D6"/>
    <w:rsid w:val="00BA1E56"/>
    <w:rsid w:val="00BA60E4"/>
    <w:rsid w:val="00BA7A8B"/>
    <w:rsid w:val="00BB03B0"/>
    <w:rsid w:val="00BB4DF0"/>
    <w:rsid w:val="00BC289F"/>
    <w:rsid w:val="00BC2D50"/>
    <w:rsid w:val="00BC5361"/>
    <w:rsid w:val="00BC5460"/>
    <w:rsid w:val="00BC6B50"/>
    <w:rsid w:val="00BD0E25"/>
    <w:rsid w:val="00BF5BD6"/>
    <w:rsid w:val="00C03E31"/>
    <w:rsid w:val="00C11F84"/>
    <w:rsid w:val="00C33E72"/>
    <w:rsid w:val="00C354B2"/>
    <w:rsid w:val="00C35554"/>
    <w:rsid w:val="00C42709"/>
    <w:rsid w:val="00C42C06"/>
    <w:rsid w:val="00C533CC"/>
    <w:rsid w:val="00C5751C"/>
    <w:rsid w:val="00C61BFC"/>
    <w:rsid w:val="00C62B85"/>
    <w:rsid w:val="00C65438"/>
    <w:rsid w:val="00C87FD8"/>
    <w:rsid w:val="00C91381"/>
    <w:rsid w:val="00C91CBB"/>
    <w:rsid w:val="00C92F63"/>
    <w:rsid w:val="00CB4E70"/>
    <w:rsid w:val="00CC09B6"/>
    <w:rsid w:val="00CC362A"/>
    <w:rsid w:val="00CC666F"/>
    <w:rsid w:val="00CD1E3F"/>
    <w:rsid w:val="00CE44F6"/>
    <w:rsid w:val="00CE49DA"/>
    <w:rsid w:val="00CE7B61"/>
    <w:rsid w:val="00CF0AB5"/>
    <w:rsid w:val="00D00095"/>
    <w:rsid w:val="00D114F0"/>
    <w:rsid w:val="00D13592"/>
    <w:rsid w:val="00D20620"/>
    <w:rsid w:val="00D254F7"/>
    <w:rsid w:val="00D26091"/>
    <w:rsid w:val="00D2685C"/>
    <w:rsid w:val="00D34E7C"/>
    <w:rsid w:val="00D35489"/>
    <w:rsid w:val="00D36AFE"/>
    <w:rsid w:val="00D51276"/>
    <w:rsid w:val="00D52CB5"/>
    <w:rsid w:val="00D6547A"/>
    <w:rsid w:val="00D66CDE"/>
    <w:rsid w:val="00D7035F"/>
    <w:rsid w:val="00DA634F"/>
    <w:rsid w:val="00DA65AC"/>
    <w:rsid w:val="00DB1913"/>
    <w:rsid w:val="00DB19CC"/>
    <w:rsid w:val="00DC410D"/>
    <w:rsid w:val="00DC5A81"/>
    <w:rsid w:val="00DC68CA"/>
    <w:rsid w:val="00DC7CBA"/>
    <w:rsid w:val="00DD73B7"/>
    <w:rsid w:val="00DF28BC"/>
    <w:rsid w:val="00DF34B9"/>
    <w:rsid w:val="00E01053"/>
    <w:rsid w:val="00E07ACF"/>
    <w:rsid w:val="00E1224A"/>
    <w:rsid w:val="00E1775C"/>
    <w:rsid w:val="00E331A1"/>
    <w:rsid w:val="00E33202"/>
    <w:rsid w:val="00E336A9"/>
    <w:rsid w:val="00E34882"/>
    <w:rsid w:val="00E472B1"/>
    <w:rsid w:val="00E50624"/>
    <w:rsid w:val="00E53C77"/>
    <w:rsid w:val="00E568DF"/>
    <w:rsid w:val="00E64269"/>
    <w:rsid w:val="00E82267"/>
    <w:rsid w:val="00E84ABC"/>
    <w:rsid w:val="00E853CE"/>
    <w:rsid w:val="00E867B6"/>
    <w:rsid w:val="00EA010F"/>
    <w:rsid w:val="00EA2658"/>
    <w:rsid w:val="00EB4E9A"/>
    <w:rsid w:val="00EC6B3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6BB4"/>
    <w:rsid w:val="00F602DF"/>
    <w:rsid w:val="00F754A1"/>
    <w:rsid w:val="00F81FD9"/>
    <w:rsid w:val="00F841AA"/>
    <w:rsid w:val="00F84A94"/>
    <w:rsid w:val="00F87E96"/>
    <w:rsid w:val="00F9726E"/>
    <w:rsid w:val="00FA23E8"/>
    <w:rsid w:val="00FC390A"/>
    <w:rsid w:val="00FD3CC1"/>
    <w:rsid w:val="00FF1E02"/>
    <w:rsid w:val="00FF30B4"/>
    <w:rsid w:val="0181274E"/>
    <w:rsid w:val="03255B77"/>
    <w:rsid w:val="04237B2C"/>
    <w:rsid w:val="05610F4D"/>
    <w:rsid w:val="066E0107"/>
    <w:rsid w:val="07996F6E"/>
    <w:rsid w:val="07DC471E"/>
    <w:rsid w:val="080A1F35"/>
    <w:rsid w:val="0A2032A3"/>
    <w:rsid w:val="0A40388F"/>
    <w:rsid w:val="0A9123E5"/>
    <w:rsid w:val="0AD0794C"/>
    <w:rsid w:val="101860EC"/>
    <w:rsid w:val="10B0636C"/>
    <w:rsid w:val="10C055FF"/>
    <w:rsid w:val="111C7C02"/>
    <w:rsid w:val="11523871"/>
    <w:rsid w:val="118107EC"/>
    <w:rsid w:val="11993F79"/>
    <w:rsid w:val="13D50BC4"/>
    <w:rsid w:val="140A494A"/>
    <w:rsid w:val="14604E4B"/>
    <w:rsid w:val="149A574A"/>
    <w:rsid w:val="15C27616"/>
    <w:rsid w:val="163C4708"/>
    <w:rsid w:val="16BB723D"/>
    <w:rsid w:val="19A4161E"/>
    <w:rsid w:val="19EF5205"/>
    <w:rsid w:val="1AC75EFD"/>
    <w:rsid w:val="1BE8440E"/>
    <w:rsid w:val="1D155CEE"/>
    <w:rsid w:val="1DE75755"/>
    <w:rsid w:val="1F647304"/>
    <w:rsid w:val="1F690195"/>
    <w:rsid w:val="210B414A"/>
    <w:rsid w:val="23860B96"/>
    <w:rsid w:val="240371BF"/>
    <w:rsid w:val="2497547E"/>
    <w:rsid w:val="26F94DF5"/>
    <w:rsid w:val="270006E4"/>
    <w:rsid w:val="28AF344A"/>
    <w:rsid w:val="29021751"/>
    <w:rsid w:val="29FD04D3"/>
    <w:rsid w:val="2B164EBE"/>
    <w:rsid w:val="2B6B195A"/>
    <w:rsid w:val="2B7164D1"/>
    <w:rsid w:val="2B97288E"/>
    <w:rsid w:val="2C8A61B5"/>
    <w:rsid w:val="2DF04E50"/>
    <w:rsid w:val="2E1A309B"/>
    <w:rsid w:val="2E7B51CF"/>
    <w:rsid w:val="317028FA"/>
    <w:rsid w:val="319F7F4E"/>
    <w:rsid w:val="3325168C"/>
    <w:rsid w:val="350131C9"/>
    <w:rsid w:val="36AA5135"/>
    <w:rsid w:val="37E16F03"/>
    <w:rsid w:val="3A837D01"/>
    <w:rsid w:val="3AC469DA"/>
    <w:rsid w:val="3D090124"/>
    <w:rsid w:val="3D0968D1"/>
    <w:rsid w:val="3D98207C"/>
    <w:rsid w:val="3E7078D3"/>
    <w:rsid w:val="3FDB05A1"/>
    <w:rsid w:val="405406F4"/>
    <w:rsid w:val="405A769E"/>
    <w:rsid w:val="43374CD4"/>
    <w:rsid w:val="44E268DA"/>
    <w:rsid w:val="463D7DBF"/>
    <w:rsid w:val="4A627F82"/>
    <w:rsid w:val="4B4F25DA"/>
    <w:rsid w:val="4BE068DB"/>
    <w:rsid w:val="4D577224"/>
    <w:rsid w:val="4DD053B8"/>
    <w:rsid w:val="4E436F57"/>
    <w:rsid w:val="4EAB630A"/>
    <w:rsid w:val="4ECE2238"/>
    <w:rsid w:val="4F773DCF"/>
    <w:rsid w:val="50604541"/>
    <w:rsid w:val="562B1B48"/>
    <w:rsid w:val="579E13FC"/>
    <w:rsid w:val="59270B18"/>
    <w:rsid w:val="59303196"/>
    <w:rsid w:val="59DA59E5"/>
    <w:rsid w:val="5AF92295"/>
    <w:rsid w:val="5AFD7ADD"/>
    <w:rsid w:val="5B6634E0"/>
    <w:rsid w:val="5CD71FC4"/>
    <w:rsid w:val="5D0B72A4"/>
    <w:rsid w:val="5FC55B17"/>
    <w:rsid w:val="6340641A"/>
    <w:rsid w:val="66B32880"/>
    <w:rsid w:val="66D80EB7"/>
    <w:rsid w:val="685E3D8C"/>
    <w:rsid w:val="69252C41"/>
    <w:rsid w:val="6A0F2E96"/>
    <w:rsid w:val="6AAE7A27"/>
    <w:rsid w:val="6C4A05C8"/>
    <w:rsid w:val="6E1B59D0"/>
    <w:rsid w:val="6E7E3605"/>
    <w:rsid w:val="6F826551"/>
    <w:rsid w:val="6FF5CC65"/>
    <w:rsid w:val="715C0E4B"/>
    <w:rsid w:val="7203542C"/>
    <w:rsid w:val="72274F09"/>
    <w:rsid w:val="72581325"/>
    <w:rsid w:val="72734D90"/>
    <w:rsid w:val="73AD73D5"/>
    <w:rsid w:val="73B6EB34"/>
    <w:rsid w:val="74620D38"/>
    <w:rsid w:val="77132148"/>
    <w:rsid w:val="79872D07"/>
    <w:rsid w:val="79EE5BA4"/>
    <w:rsid w:val="7A894339"/>
    <w:rsid w:val="7B7617C9"/>
    <w:rsid w:val="7D325C83"/>
    <w:rsid w:val="7D6B0FC0"/>
    <w:rsid w:val="7E8E628A"/>
    <w:rsid w:val="7E9C5CDE"/>
    <w:rsid w:val="7EEF11D3"/>
    <w:rsid w:val="7FA30C79"/>
    <w:rsid w:val="7FC96657"/>
    <w:rsid w:val="D8D6DB89"/>
    <w:rsid w:val="DB6F4CAB"/>
    <w:rsid w:val="DF6F97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0"/>
    <w:pPr>
      <w:spacing w:beforeLines="30"/>
    </w:pPr>
    <w:rPr>
      <w:rFonts w:ascii="仿宋_GB2312" w:eastAsia="仿宋_GB2312"/>
      <w:kern w:val="0"/>
      <w:sz w:val="30"/>
    </w:rPr>
  </w:style>
  <w:style w:type="paragraph" w:styleId="6">
    <w:name w:val="Salutation"/>
    <w:basedOn w:val="1"/>
    <w:next w:val="1"/>
    <w:link w:val="37"/>
    <w:qFormat/>
    <w:uiPriority w:val="99"/>
    <w:rPr>
      <w:rFonts w:ascii="Calibri" w:hAnsi="Calibri"/>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link w:val="34"/>
    <w:qFormat/>
    <w:uiPriority w:val="0"/>
    <w:rPr>
      <w:rFonts w:ascii="宋体"/>
    </w:r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4">
    <w:name w:val="纯文本 Char"/>
    <w:basedOn w:val="15"/>
    <w:link w:val="8"/>
    <w:qFormat/>
    <w:uiPriority w:val="0"/>
    <w:rPr>
      <w:rFonts w:ascii="宋体"/>
      <w:kern w:val="2"/>
      <w:sz w:val="21"/>
      <w:szCs w:val="24"/>
    </w:rPr>
  </w:style>
  <w:style w:type="paragraph" w:customStyle="1" w:styleId="35">
    <w:name w:val="四号正文"/>
    <w:basedOn w:val="1"/>
    <w:qFormat/>
    <w:uiPriority w:val="0"/>
    <w:pPr>
      <w:spacing w:line="360" w:lineRule="auto"/>
    </w:pPr>
    <w:rPr>
      <w:rFonts w:ascii="??" w:hAnsi="??" w:cs="宋体"/>
      <w:color w:val="000000"/>
      <w:sz w:val="28"/>
      <w:szCs w:val="21"/>
    </w:rPr>
  </w:style>
  <w:style w:type="paragraph" w:customStyle="1" w:styleId="36">
    <w:name w:val="p0"/>
    <w:basedOn w:val="1"/>
    <w:qFormat/>
    <w:uiPriority w:val="0"/>
    <w:pPr>
      <w:widowControl/>
    </w:pPr>
    <w:rPr>
      <w:kern w:val="0"/>
      <w:szCs w:val="21"/>
    </w:rPr>
  </w:style>
  <w:style w:type="character" w:customStyle="1" w:styleId="37">
    <w:name w:val="称呼 Char"/>
    <w:basedOn w:val="15"/>
    <w:link w:val="6"/>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E:\&#24464;&#29141;\&#24464;&#29141;\2022&#24180;\&#36130;&#21153;\&#24066;&#25991;&#24191;&#26053;&#23616;2021&#24180;&#20915;&#31639;&#36164;&#26009;\2021&#24180;&#20915;&#31639;&#20844;&#24320;\&#65288;205-&#24066;&#25991;&#24191;&#26053;&#23616;&#31995;&#32479;&#65289;2021&#24180;&#21333;&#20301;&#20915;&#31639;&#20844;&#24320;\2021&#24180;&#20915;&#31639;&#22270;&#34920;-&#27719;&#2463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4464;&#29141;\&#24464;&#29141;\2022&#24180;\&#36130;&#21153;\&#24066;&#25991;&#24191;&#26053;&#23616;2021&#24180;&#20915;&#31639;&#36164;&#26009;\2021&#24180;&#20915;&#31639;&#20844;&#24320;\&#65288;205-&#24066;&#25991;&#24191;&#26053;&#23616;&#31995;&#32479;&#65289;2021&#24180;&#21333;&#20301;&#20915;&#31639;&#20844;&#24320;\2021&#24180;&#20915;&#31639;&#22270;&#34920;-&#27719;&#2463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4464;&#29141;\&#24464;&#29141;\2022&#24180;\&#36130;&#21153;\&#24066;&#25991;&#24191;&#26053;&#23616;2021&#24180;&#20915;&#31639;&#36164;&#26009;\2021&#24180;&#20915;&#31639;&#20844;&#24320;\&#65288;205-&#24066;&#25991;&#24191;&#26053;&#23616;&#31995;&#32479;&#65289;2021&#24180;&#21333;&#20301;&#20915;&#31639;&#20844;&#24320;\2021&#24180;&#20915;&#31639;&#22270;&#34920;-&#27719;&#2463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4464;&#29141;\&#24464;&#29141;\2022&#24180;\&#36130;&#21153;\&#24066;&#25991;&#24191;&#26053;&#23616;2021&#24180;&#20915;&#31639;&#36164;&#26009;\2021&#24180;&#20915;&#31639;&#20844;&#24320;\&#65288;205-&#24066;&#25991;&#24191;&#26053;&#23616;&#31995;&#32479;&#65289;2021&#24180;&#21333;&#20301;&#20915;&#31639;&#20844;&#24320;\2021&#24180;&#20915;&#31639;&#22270;&#34920;-&#27719;&#2463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4464;&#29141;\&#24464;&#29141;\2022&#24180;\&#36130;&#21153;\&#24066;&#25991;&#24191;&#26053;&#23616;2021&#24180;&#20915;&#31639;&#36164;&#26009;\2021&#24180;&#20915;&#31639;&#20844;&#24320;\&#65288;205-&#24066;&#25991;&#24191;&#26053;&#23616;&#31995;&#32479;&#65289;2021&#24180;&#21333;&#20301;&#20915;&#31639;&#20844;&#24320;\2021&#24180;&#20915;&#31639;&#22270;&#34920;-&#27719;&#2463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4464;&#29141;\&#24464;&#29141;\2022&#24180;\&#36130;&#21153;\&#24066;&#25991;&#24191;&#26053;&#23616;2021&#24180;&#20915;&#31639;&#36164;&#26009;\2021&#24180;&#20915;&#31639;&#20844;&#24320;\&#65288;205-&#24066;&#25991;&#24191;&#26053;&#23616;&#31995;&#32479;&#65289;2021&#24180;&#21333;&#20301;&#20915;&#31639;&#20844;&#24320;\2021&#24180;&#20915;&#31639;&#22270;&#34920;-&#27719;&#2463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4464;&#29141;\&#24464;&#29141;\2022&#24180;\&#36130;&#21153;\&#24066;&#25991;&#24191;&#26053;&#23616;2021&#24180;&#20915;&#31639;&#36164;&#26009;\2021&#24180;&#20915;&#31639;&#20844;&#24320;\&#65288;205-&#24066;&#25991;&#24191;&#26053;&#23616;&#31995;&#32479;&#65289;2021&#24180;&#21333;&#20301;&#20915;&#31639;&#20844;&#24320;\2021&#24180;&#20915;&#31639;&#22270;&#34920;-&#27719;&#246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收、支决算总计变动情况图</a:t>
            </a:r>
            <a:endParaRPr lang="zh-CN" altLang="en-US" sz="1800"/>
          </a:p>
        </c:rich>
      </c:tx>
      <c:layout/>
      <c:overlay val="0"/>
    </c:title>
    <c:autoTitleDeleted val="0"/>
    <c:plotArea>
      <c:layout/>
      <c:barChart>
        <c:barDir val="col"/>
        <c:grouping val="clustered"/>
        <c:varyColors val="0"/>
        <c:ser>
          <c:idx val="0"/>
          <c:order val="0"/>
          <c:tx>
            <c:strRef>
              <c:f>'[2021年决算图表-汇总.xlsx]收支决算总计'!$A$2</c:f>
              <c:strCache>
                <c:ptCount val="1"/>
                <c:pt idx="0">
                  <c:v>全年收入</c:v>
                </c:pt>
              </c:strCache>
            </c:strRef>
          </c:tx>
          <c:invertIfNegative val="0"/>
          <c:dLbls>
            <c:delete val="1"/>
          </c:dLbls>
          <c:cat>
            <c:strRef>
              <c:f>'[2021年决算图表-汇总.xlsx]收支决算总计'!$B$1:$E$1</c:f>
              <c:strCache>
                <c:ptCount val="4"/>
                <c:pt idx="0">
                  <c:v>2020年</c:v>
                </c:pt>
                <c:pt idx="1">
                  <c:v>2021年</c:v>
                </c:pt>
                <c:pt idx="2">
                  <c:v>同比增减额</c:v>
                </c:pt>
                <c:pt idx="3">
                  <c:v>同比增减率</c:v>
                </c:pt>
              </c:strCache>
            </c:strRef>
          </c:cat>
          <c:val>
            <c:numRef>
              <c:f>'[2021年决算图表-汇总.xlsx]收支决算总计'!$B$2:$E$2</c:f>
              <c:numCache>
                <c:formatCode>General</c:formatCode>
                <c:ptCount val="4"/>
                <c:pt idx="0">
                  <c:v>13941.11</c:v>
                </c:pt>
                <c:pt idx="1">
                  <c:v>11783.97</c:v>
                </c:pt>
                <c:pt idx="2" c:formatCode="0.00_ ">
                  <c:v>-2157.14</c:v>
                </c:pt>
                <c:pt idx="3" c:formatCode="0.00%">
                  <c:v>-0.15473229893459</c:v>
                </c:pt>
              </c:numCache>
            </c:numRef>
          </c:val>
        </c:ser>
        <c:ser>
          <c:idx val="1"/>
          <c:order val="1"/>
          <c:tx>
            <c:strRef>
              <c:f>'[2021年决算图表-汇总.xlsx]收支决算总计'!$A$3</c:f>
              <c:strCache>
                <c:ptCount val="1"/>
                <c:pt idx="0">
                  <c:v>全年支出</c:v>
                </c:pt>
              </c:strCache>
            </c:strRef>
          </c:tx>
          <c:invertIfNegative val="0"/>
          <c:dLbls>
            <c:delete val="1"/>
          </c:dLbls>
          <c:cat>
            <c:strRef>
              <c:f>'[2021年决算图表-汇总.xlsx]收支决算总计'!$B$1:$E$1</c:f>
              <c:strCache>
                <c:ptCount val="4"/>
                <c:pt idx="0">
                  <c:v>2020年</c:v>
                </c:pt>
                <c:pt idx="1">
                  <c:v>2021年</c:v>
                </c:pt>
                <c:pt idx="2">
                  <c:v>同比增减额</c:v>
                </c:pt>
                <c:pt idx="3">
                  <c:v>同比增减率</c:v>
                </c:pt>
              </c:strCache>
            </c:strRef>
          </c:cat>
          <c:val>
            <c:numRef>
              <c:f>'[2021年决算图表-汇总.xlsx]收支决算总计'!$B$3:$E$3</c:f>
              <c:numCache>
                <c:formatCode>General</c:formatCode>
                <c:ptCount val="4"/>
                <c:pt idx="0">
                  <c:v>13941.11</c:v>
                </c:pt>
                <c:pt idx="1">
                  <c:v>11783.97</c:v>
                </c:pt>
                <c:pt idx="2" c:formatCode="0.00_ ">
                  <c:v>-2157.14</c:v>
                </c:pt>
                <c:pt idx="3" c:formatCode="0.00%">
                  <c:v>-0.15473229893459</c:v>
                </c:pt>
              </c:numCache>
            </c:numRef>
          </c:val>
        </c:ser>
        <c:dLbls>
          <c:showLegendKey val="0"/>
          <c:showVal val="0"/>
          <c:showCatName val="0"/>
          <c:showSerName val="0"/>
          <c:showPercent val="0"/>
          <c:showBubbleSize val="0"/>
        </c:dLbls>
        <c:gapWidth val="150"/>
        <c:axId val="45184128"/>
        <c:axId val="45185664"/>
        <c:extLst>
          <c:ext xmlns:c15="http://schemas.microsoft.com/office/drawing/2012/chart" uri="{02D57815-91ED-43cb-92C2-25804820EDAC}">
            <c15:filteredBarSeries>
              <c15:ser>
                <c:idx val="2"/>
                <c:order val="2"/>
                <c:tx>
                  <c:strRef>
                    <c:extLst>
                      <c:ext uri="{02D57815-91ED-43cb-92C2-25804820EDAC}">
                        <c15:formulaRef>
                          <c15:sqref>'[2021年决算图表-汇总.xlsx]收支决算总计'!#REF!</c15:sqref>
                        </c15:formulaRef>
                      </c:ext>
                    </c:extLst>
                    <c:strCache>
                      <c:ptCount val="1"/>
                      <c:pt idx="0">
                        <c:v/>
                      </c:pt>
                    </c:strCache>
                  </c:strRef>
                </c:tx>
                <c:invertIfNegative val="0"/>
                <c:dLbls>
                  <c:delete val="1"/>
                </c:dLbls>
                <c:cat>
                  <c:strRef>
                    <c:extLst>
                      <c:ext uri="{02D57815-91ED-43cb-92C2-25804820EDAC}">
                        <c15:fullRef>
                          <c15:sqref/>
                        </c15:fullRef>
                        <c15:formulaRef>
                          <c15:sqref>'[2021年决算图表-汇总.xlsx]收支决算总计'!$B$1:$E$1</c15:sqref>
                        </c15:formulaRef>
                      </c:ext>
                    </c:extLst>
                    <c:strCache>
                      <c:ptCount val="4"/>
                      <c:pt idx="0">
                        <c:v>2020年</c:v>
                      </c:pt>
                      <c:pt idx="1">
                        <c:v>2021年</c:v>
                      </c:pt>
                      <c:pt idx="2">
                        <c:v>同比增减额</c:v>
                      </c:pt>
                      <c:pt idx="3">
                        <c:v>同比增减率</c:v>
                      </c:pt>
                    </c:strCache>
                  </c:strRef>
                </c:cat>
                <c:val>
                  <c:numRef>
                    <c:extLst>
                      <c:ext uri="{02D57815-91ED-43cb-92C2-25804820EDAC}">
                        <c15:formulaRef>
                          <c15:sqref>{1}</c15:sqref>
                        </c15:formulaRef>
                      </c:ext>
                    </c:extLst>
                    <c:numCache>
                      <c:formatCode>General</c:formatCode>
                      <c:ptCount val="1"/>
                      <c:pt idx="0">
                        <c:v>1</c:v>
                      </c:pt>
                    </c:numCache>
                  </c:numRef>
                </c:val>
              </c15:ser>
            </c15:filteredBarSeries>
          </c:ext>
        </c:extLst>
      </c:barChart>
      <c:catAx>
        <c:axId val="4518412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185664"/>
        <c:crosses val="autoZero"/>
        <c:auto val="1"/>
        <c:lblAlgn val="ctr"/>
        <c:lblOffset val="100"/>
        <c:noMultiLvlLbl val="0"/>
      </c:catAx>
      <c:valAx>
        <c:axId val="45185664"/>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5184128"/>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收入决算结构图</a:t>
            </a:r>
            <a:endParaRPr lang="zh-CN" altLang="en-US" sz="1800"/>
          </a:p>
        </c:rich>
      </c:tx>
      <c:layout/>
      <c:overlay val="0"/>
    </c:title>
    <c:autoTitleDeleted val="0"/>
    <c:plotArea>
      <c:layout/>
      <c:pieChart>
        <c:varyColors val="1"/>
        <c:ser>
          <c:idx val="0"/>
          <c:order val="0"/>
          <c:explosion val="0"/>
          <c:dPt>
            <c:idx val="0"/>
            <c:bubble3D val="0"/>
          </c:dPt>
          <c:dPt>
            <c:idx val="1"/>
            <c:bubble3D val="0"/>
          </c:dPt>
          <c:dPt>
            <c:idx val="2"/>
            <c:bubble3D val="0"/>
          </c:dPt>
          <c:dLbls>
            <c:dLbl>
              <c:idx val="0"/>
              <c:layout>
                <c:manualLayout>
                  <c:x val="-0.01875"/>
                  <c:y val="-0.17708333333333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一般公共预算财政拨款收入</a:t>
                    </a:r>
                    <a:r>
                      <a:rPr lang="en-US" altLang="zh-CN"/>
                      <a:t>96.42%</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0138888888889"/>
                      <c:h val="0.180555555555556"/>
                    </c:manualLayout>
                  </c15:layout>
                </c:ext>
              </c:extLst>
            </c:dLbl>
            <c:dLbl>
              <c:idx val="1"/>
              <c:layout>
                <c:manualLayout>
                  <c:x val="-0.224133420822397"/>
                  <c:y val="0.078549504228638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政府性基金预算财政拨款</a:t>
                    </a:r>
                    <a:r>
                      <a:rPr lang="en-US" altLang="zh-CN"/>
                      <a:t>2.74%</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9305555555556"/>
                      <c:h val="0.180555555555556"/>
                    </c:manualLayout>
                  </c15:layout>
                </c:ext>
              </c:extLst>
            </c:dLbl>
            <c:dLbl>
              <c:idx val="2"/>
              <c:layout>
                <c:manualLayout>
                  <c:x val="0.0374995979055565"/>
                  <c:y val="0.044329900558912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其他收入</a:t>
                    </a:r>
                    <a:r>
                      <a:rPr lang="en-US" altLang="zh-CN"/>
                      <a:t>0.84%</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9027777777778"/>
                      <c:h val="0.125"/>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'[2021年决算图表-汇总.xlsx]收入决算结构'!$A$1:$A$3</c:f>
              <c:strCache>
                <c:ptCount val="3"/>
                <c:pt idx="0">
                  <c:v>一般公共预算财政拨款收入</c:v>
                </c:pt>
                <c:pt idx="1">
                  <c:v>政府性基金预算财政拨款</c:v>
                </c:pt>
                <c:pt idx="2">
                  <c:v>其他收入</c:v>
                </c:pt>
              </c:strCache>
            </c:strRef>
          </c:cat>
          <c:val>
            <c:numRef>
              <c:f>'[2021年决算图表-汇总.xlsx]收入决算结构'!$B$1:$B$3</c:f>
              <c:numCache>
                <c:formatCode>0.00%</c:formatCode>
                <c:ptCount val="3"/>
                <c:pt idx="0">
                  <c:v>0.964167833435916</c:v>
                </c:pt>
                <c:pt idx="1">
                  <c:v>0.0273747604708459</c:v>
                </c:pt>
                <c:pt idx="2">
                  <c:v>0.0083574060932381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支出决算结构图</a:t>
            </a:r>
            <a:endParaRPr lang="zh-CN" altLang="en-US" sz="1800"/>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基本支出
</a:t>
                    </a:r>
                    <a:r>
                      <a:rPr lang="en-US" altLang="zh-CN"/>
                      <a:t>72.34%</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项目支出
</a:t>
                    </a:r>
                    <a:r>
                      <a:rPr lang="en-US" altLang="zh-CN"/>
                      <a:t>27.66%</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'[2021年决算图表-汇总.xlsx]支出决算结构'!$A$1:$A$2</c:f>
              <c:strCache>
                <c:ptCount val="2"/>
                <c:pt idx="0">
                  <c:v>基本支出</c:v>
                </c:pt>
                <c:pt idx="1">
                  <c:v>项目支出</c:v>
                </c:pt>
              </c:strCache>
            </c:strRef>
          </c:cat>
          <c:val>
            <c:numRef>
              <c:f>'[2021年决算图表-汇总.xlsx]支出决算结构'!$B$1:$B$2</c:f>
              <c:numCache>
                <c:formatCode>0.00%</c:formatCode>
                <c:ptCount val="2"/>
                <c:pt idx="0">
                  <c:v>0.723357635120169</c:v>
                </c:pt>
                <c:pt idx="1">
                  <c:v>0.276642364879831</c:v>
                </c:pt>
              </c:numCache>
            </c:numRef>
          </c:val>
        </c:ser>
        <c:dLbls>
          <c:showLegendKey val="0"/>
          <c:showVal val="0"/>
          <c:showCatName val="1"/>
          <c:showSerName val="0"/>
          <c:showPercent val="1"/>
          <c:showBubbleSize val="0"/>
        </c:dLbls>
      </c:pie3DChart>
    </c:plotArea>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财政拨款收、支决算总计变动情况</a:t>
            </a:r>
            <a:endParaRPr lang="zh-CN" altLang="en-US" sz="1800"/>
          </a:p>
        </c:rich>
      </c:tx>
      <c:layout/>
      <c:overlay val="0"/>
    </c:title>
    <c:autoTitleDeleted val="0"/>
    <c:plotArea>
      <c:layout/>
      <c:barChart>
        <c:barDir val="col"/>
        <c:grouping val="clustered"/>
        <c:varyColors val="0"/>
        <c:ser>
          <c:idx val="0"/>
          <c:order val="0"/>
          <c:tx>
            <c:strRef>
              <c:f>'[2021年决算图表-汇总.xlsx]财政拨款收、支决算总计变动'!$A$2</c:f>
              <c:strCache>
                <c:ptCount val="1"/>
                <c:pt idx="0">
                  <c:v>财政拨款收入</c:v>
                </c:pt>
              </c:strCache>
            </c:strRef>
          </c:tx>
          <c:invertIfNegative val="0"/>
          <c:dLbls>
            <c:delete val="1"/>
          </c:dLbls>
          <c:cat>
            <c:strRef>
              <c:f>'[2021年决算图表-汇总.xlsx]财政拨款收、支决算总计变动'!$B$1:$E$1</c:f>
              <c:strCache>
                <c:ptCount val="4"/>
                <c:pt idx="0">
                  <c:v>2020年</c:v>
                </c:pt>
                <c:pt idx="1">
                  <c:v>2021年</c:v>
                </c:pt>
                <c:pt idx="2">
                  <c:v>同比增减额</c:v>
                </c:pt>
                <c:pt idx="3">
                  <c:v>同比增减率</c:v>
                </c:pt>
              </c:strCache>
            </c:strRef>
          </c:cat>
          <c:val>
            <c:numRef>
              <c:f>'[2021年决算图表-汇总.xlsx]财政拨款收、支决算总计变动'!$B$2:$E$2</c:f>
              <c:numCache>
                <c:formatCode>0.00_ </c:formatCode>
                <c:ptCount val="4"/>
                <c:pt idx="0">
                  <c:v>13608.93</c:v>
                </c:pt>
                <c:pt idx="1">
                  <c:v>11683.75</c:v>
                </c:pt>
                <c:pt idx="2">
                  <c:v>-1925.18</c:v>
                </c:pt>
                <c:pt idx="3" c:formatCode="0.00%">
                  <c:v>-0.141464464877106</c:v>
                </c:pt>
              </c:numCache>
            </c:numRef>
          </c:val>
        </c:ser>
        <c:ser>
          <c:idx val="1"/>
          <c:order val="1"/>
          <c:tx>
            <c:strRef>
              <c:f>'[2021年决算图表-汇总.xlsx]财政拨款收、支决算总计变动'!$A$3</c:f>
              <c:strCache>
                <c:ptCount val="1"/>
                <c:pt idx="0">
                  <c:v>财政拨款支出</c:v>
                </c:pt>
              </c:strCache>
            </c:strRef>
          </c:tx>
          <c:invertIfNegative val="0"/>
          <c:dLbls>
            <c:delete val="1"/>
          </c:dLbls>
          <c:cat>
            <c:strRef>
              <c:f>'[2021年决算图表-汇总.xlsx]财政拨款收、支决算总计变动'!$B$1:$E$1</c:f>
              <c:strCache>
                <c:ptCount val="4"/>
                <c:pt idx="0">
                  <c:v>2020年</c:v>
                </c:pt>
                <c:pt idx="1">
                  <c:v>2021年</c:v>
                </c:pt>
                <c:pt idx="2">
                  <c:v>同比增减额</c:v>
                </c:pt>
                <c:pt idx="3">
                  <c:v>同比增减率</c:v>
                </c:pt>
              </c:strCache>
            </c:strRef>
          </c:cat>
          <c:val>
            <c:numRef>
              <c:f>'[2021年决算图表-汇总.xlsx]财政拨款收、支决算总计变动'!$B$3:$E$3</c:f>
              <c:numCache>
                <c:formatCode>0.00_ </c:formatCode>
                <c:ptCount val="4"/>
                <c:pt idx="0">
                  <c:v>13608.93</c:v>
                </c:pt>
                <c:pt idx="1">
                  <c:v>11683.75</c:v>
                </c:pt>
                <c:pt idx="2">
                  <c:v>-1925.18</c:v>
                </c:pt>
                <c:pt idx="3" c:formatCode="0.00%">
                  <c:v>-0.141464464877106</c:v>
                </c:pt>
              </c:numCache>
            </c:numRef>
          </c:val>
        </c:ser>
        <c:dLbls>
          <c:showLegendKey val="0"/>
          <c:showVal val="0"/>
          <c:showCatName val="0"/>
          <c:showSerName val="0"/>
          <c:showPercent val="0"/>
          <c:showBubbleSize val="0"/>
        </c:dLbls>
        <c:gapWidth val="150"/>
        <c:axId val="100407168"/>
        <c:axId val="100408704"/>
        <c:extLst>
          <c:ext xmlns:c15="http://schemas.microsoft.com/office/drawing/2012/chart" uri="{02D57815-91ED-43cb-92C2-25804820EDAC}">
            <c15:filteredBarSeries>
              <c15:ser>
                <c:idx val="2"/>
                <c:order val="2"/>
                <c:tx>
                  <c:strRef>
                    <c:extLst>
                      <c:ext uri="{02D57815-91ED-43cb-92C2-25804820EDAC}">
                        <c15:formulaRef>
                          <c15:sqref>'[2021年决算图表-汇总.xlsx]财政拨款收、支决算总计变动'!#REF!</c15:sqref>
                        </c15:formulaRef>
                      </c:ext>
                    </c:extLst>
                    <c:strCache>
                      <c:ptCount val="1"/>
                      <c:pt idx="0">
                        <c:v/>
                      </c:pt>
                    </c:strCache>
                  </c:strRef>
                </c:tx>
                <c:invertIfNegative val="0"/>
                <c:dLbls>
                  <c:delete val="1"/>
                </c:dLbls>
                <c:cat>
                  <c:strRef>
                    <c:extLst>
                      <c:ext uri="{02D57815-91ED-43cb-92C2-25804820EDAC}">
                        <c15:fullRef>
                          <c15:sqref/>
                        </c15:fullRef>
                        <c15:formulaRef>
                          <c15:sqref>'[2021年决算图表-汇总.xlsx]财政拨款收、支决算总计变动'!$B$1:$E$1</c15:sqref>
                        </c15:formulaRef>
                      </c:ext>
                    </c:extLst>
                    <c:strCache>
                      <c:ptCount val="4"/>
                      <c:pt idx="0">
                        <c:v>2020年</c:v>
                      </c:pt>
                      <c:pt idx="1">
                        <c:v>2021年</c:v>
                      </c:pt>
                      <c:pt idx="2">
                        <c:v>同比增减额</c:v>
                      </c:pt>
                      <c:pt idx="3">
                        <c:v>同比增减率</c:v>
                      </c:pt>
                    </c:strCache>
                  </c:strRef>
                </c:cat>
                <c:val>
                  <c:numRef>
                    <c:extLst>
                      <c:ext uri="{02D57815-91ED-43cb-92C2-25804820EDAC}">
                        <c15:formulaRef>
                          <c15:sqref>{1}</c15:sqref>
                        </c15:formulaRef>
                      </c:ext>
                    </c:extLst>
                    <c:numCache>
                      <c:formatCode>General</c:formatCode>
                      <c:ptCount val="1"/>
                      <c:pt idx="0">
                        <c:v>1</c:v>
                      </c:pt>
                    </c:numCache>
                  </c:numRef>
                </c:val>
              </c15:ser>
            </c15:filteredBarSeries>
          </c:ext>
        </c:extLst>
      </c:barChart>
      <c:catAx>
        <c:axId val="10040716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0408704"/>
        <c:crosses val="autoZero"/>
        <c:auto val="1"/>
        <c:lblAlgn val="ctr"/>
        <c:lblOffset val="100"/>
        <c:noMultiLvlLbl val="0"/>
      </c:catAx>
      <c:valAx>
        <c:axId val="100408704"/>
        <c:scaling>
          <c:orientation val="minMax"/>
        </c:scaling>
        <c:delete val="0"/>
        <c:axPos val="l"/>
        <c:majorGridlines/>
        <c:title>
          <c:layout/>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p>
          </c:txPr>
        </c:title>
        <c:numFmt formatCode="0.00_ "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0407168"/>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endParaRPr lang="zh-CN" altLang="en-US" sz="1400" baseline="0"/>
          </a:p>
        </c:rich>
      </c:tx>
      <c:layout/>
      <c:overlay val="0"/>
    </c:title>
    <c:autoTitleDeleted val="0"/>
    <c:plotArea>
      <c:layout>
        <c:manualLayout>
          <c:layoutTarget val="inner"/>
          <c:xMode val="edge"/>
          <c:yMode val="edge"/>
          <c:x val="0.0444444444444445"/>
          <c:y val="0.255202166184923"/>
          <c:w val="0.938888888888889"/>
          <c:h val="0.744797833815077"/>
        </c:manualLayout>
      </c:layout>
      <c:barChart>
        <c:barDir val="col"/>
        <c:grouping val="clustered"/>
        <c:varyColors val="0"/>
        <c:ser>
          <c:idx val="0"/>
          <c:order val="0"/>
          <c:tx>
            <c:strRef>
              <c:f>'[2021年决算图表-汇总.xlsx]一般公共预算财政拨款支出'!$A$2</c:f>
              <c:strCache>
                <c:ptCount val="1"/>
                <c:pt idx="0">
                  <c:v>一般公共预算财政拨款支出</c:v>
                </c:pt>
              </c:strCache>
            </c:strRef>
          </c:tx>
          <c:invertIfNegative val="0"/>
          <c:dLbls>
            <c:dLbl>
              <c:idx val="1"/>
              <c:layout>
                <c:manualLayout>
                  <c:x val="-0.0145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3333333333333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891076115486"/>
                  <c:y val="0.02109771088740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'[2021年决算图表-汇总.xlsx]一般公共预算财政拨款支出'!$B$1:$E$1</c:f>
              <c:strCache>
                <c:ptCount val="4"/>
                <c:pt idx="0">
                  <c:v>2020年</c:v>
                </c:pt>
                <c:pt idx="1">
                  <c:v>2021年</c:v>
                </c:pt>
                <c:pt idx="2">
                  <c:v>同比减少</c:v>
                </c:pt>
                <c:pt idx="3">
                  <c:v>同比减少</c:v>
                </c:pt>
              </c:strCache>
            </c:strRef>
          </c:cat>
          <c:val>
            <c:numRef>
              <c:f>'[2021年决算图表-汇总.xlsx]一般公共预算财政拨款支出'!$B$2:$E$2</c:f>
              <c:numCache>
                <c:formatCode>General</c:formatCode>
                <c:ptCount val="4"/>
                <c:pt idx="0">
                  <c:v>9809.72</c:v>
                </c:pt>
                <c:pt idx="1">
                  <c:v>11369.75</c:v>
                </c:pt>
                <c:pt idx="2" c:formatCode="0.00_ ">
                  <c:v>1560.03</c:v>
                </c:pt>
                <c:pt idx="3" c:formatCode="0.00%">
                  <c:v>0.159029003885942</c:v>
                </c:pt>
              </c:numCache>
            </c:numRef>
          </c:val>
        </c:ser>
        <c:ser>
          <c:idx val="1"/>
          <c:order val="1"/>
          <c:tx>
            <c:strRef>
              <c:f>'[2021年决算图表-汇总.xlsx]一般公共预算财政拨款支出'!$A$3</c:f>
              <c:strCache>
                <c:ptCount val="1"/>
                <c:pt idx="0">
                  <c:v>全年支出</c:v>
                </c:pt>
              </c:strCache>
            </c:strRef>
          </c:tx>
          <c:invertIfNegative val="0"/>
          <c:dLbls>
            <c:dLbl>
              <c:idx val="1"/>
              <c:layout>
                <c:manualLayout>
                  <c:x val="0.0104166666666667"/>
                  <c:y val="-0.02848101265822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2777777777778"/>
                  <c:y val="0.01773557670404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63888888888889"/>
                  <c:y val="-0.04324861291072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'[2021年决算图表-汇总.xlsx]一般公共预算财政拨款支出'!$B$1:$E$1</c:f>
              <c:strCache>
                <c:ptCount val="4"/>
                <c:pt idx="0">
                  <c:v>2020年</c:v>
                </c:pt>
                <c:pt idx="1">
                  <c:v>2021年</c:v>
                </c:pt>
                <c:pt idx="2">
                  <c:v>同比减少</c:v>
                </c:pt>
                <c:pt idx="3">
                  <c:v>同比减少</c:v>
                </c:pt>
              </c:strCache>
            </c:strRef>
          </c:cat>
          <c:val>
            <c:numRef>
              <c:f>'[2021年决算图表-汇总.xlsx]一般公共预算财政拨款支出'!$B$3:$E$3</c:f>
              <c:numCache>
                <c:formatCode>General</c:formatCode>
                <c:ptCount val="4"/>
                <c:pt idx="0">
                  <c:v>13586.06</c:v>
                </c:pt>
                <c:pt idx="1">
                  <c:v>11783.77</c:v>
                </c:pt>
                <c:pt idx="2" c:formatCode="0.00_ ">
                  <c:v>-1802.29</c:v>
                </c:pt>
                <c:pt idx="3" c:formatCode="0.00%">
                  <c:v>-0.132657297259102</c:v>
                </c:pt>
              </c:numCache>
            </c:numRef>
          </c:val>
        </c:ser>
        <c:dLbls>
          <c:showLegendKey val="0"/>
          <c:showVal val="1"/>
          <c:showCatName val="0"/>
          <c:showSerName val="0"/>
          <c:showPercent val="0"/>
          <c:showBubbleSize val="0"/>
        </c:dLbls>
        <c:gapWidth val="150"/>
        <c:overlap val="-25"/>
        <c:axId val="100440704"/>
        <c:axId val="100442496"/>
      </c:barChart>
      <c:catAx>
        <c:axId val="10044070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0442496"/>
        <c:crosses val="autoZero"/>
        <c:auto val="1"/>
        <c:lblAlgn val="ctr"/>
        <c:lblOffset val="100"/>
        <c:noMultiLvlLbl val="0"/>
      </c:catAx>
      <c:valAx>
        <c:axId val="10044249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0440704"/>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一般公共预算财政拨款支出决算结构</a:t>
            </a:r>
            <a:endParaRPr lang="zh-CN" altLang="en-US" sz="1400" baseline="0"/>
          </a:p>
        </c:rich>
      </c:tx>
      <c:layout>
        <c:manualLayout>
          <c:xMode val="edge"/>
          <c:yMode val="edge"/>
          <c:x val="0.183055555555556"/>
          <c:y val="0.023936170212766"/>
        </c:manualLayout>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dPt>
          <c:dPt>
            <c:idx val="1"/>
            <c:bubble3D val="0"/>
          </c:dPt>
          <c:dPt>
            <c:idx val="2"/>
            <c:bubble3D val="0"/>
          </c:dPt>
          <c:dPt>
            <c:idx val="3"/>
            <c:bubble3D val="0"/>
            <c:explosion val="21"/>
          </c:dPt>
          <c:dPt>
            <c:idx val="4"/>
            <c:bubble3D val="0"/>
          </c:dPt>
          <c:dPt>
            <c:idx val="5"/>
            <c:bubble3D val="0"/>
          </c:dPt>
          <c:dLbls>
            <c:dLbl>
              <c:idx val="0"/>
              <c:layout>
                <c:manualLayout>
                  <c:x val="0.460762795275591"/>
                  <c:y val="0.00096899224806201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一般公共服务支出0.81%</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369989063867017"/>
                  <c:y val="0.11951440437487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科学技术支出0.16%</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文化旅游体育与传媒支出</a:t>
                    </a:r>
                    <a:r>
                      <a:rPr lang="en-US" altLang="zh-CN"/>
                      <a:t>83.45%</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1527777777778"/>
                      <c:h val="0.138273355787981"/>
                    </c:manualLayout>
                  </c15:layout>
                </c:ext>
              </c:extLst>
            </c:dLbl>
            <c:dLbl>
              <c:idx val="3"/>
              <c:layout>
                <c:manualLayout>
                  <c:x val="-0.109788932633421"/>
                  <c:y val="0.0460135701122466"/>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社会保障和就业支出</a:t>
                    </a:r>
                    <a:r>
                      <a:rPr lang="en-US" altLang="zh-CN"/>
                      <a:t>11.62%</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763888888888889"/>
                  <c:y val="-0.071808510638297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城乡社区支出
</a:t>
                    </a:r>
                    <a:r>
                      <a:rPr lang="en-US" altLang="zh-CN"/>
                      <a:t>0.45%</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1"/>
                  <c:y val="-0.034574468085106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住房保障支出</a:t>
                    </a:r>
                    <a:r>
                      <a:rPr lang="en-US" altLang="zh-CN"/>
                      <a:t>3.51%</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'[2021年决算图表-汇总.xlsx]一般公共预算财政拨款支出决算结构'!$A$1:$A$6</c:f>
              <c:strCache>
                <c:ptCount val="6"/>
                <c:pt idx="0">
                  <c:v>一般公共服务支出</c:v>
                </c:pt>
                <c:pt idx="1">
                  <c:v>科学技术支出</c:v>
                </c:pt>
                <c:pt idx="2">
                  <c:v>文化旅游体育与传媒支出</c:v>
                </c:pt>
                <c:pt idx="3">
                  <c:v>社会保障和就业支出</c:v>
                </c:pt>
                <c:pt idx="4">
                  <c:v>城乡社区支出</c:v>
                </c:pt>
                <c:pt idx="5">
                  <c:v>住房保障支出</c:v>
                </c:pt>
              </c:strCache>
            </c:strRef>
          </c:cat>
          <c:val>
            <c:numRef>
              <c:f>'[2021年决算图表-汇总.xlsx]一般公共预算财政拨款支出决算结构'!$B$1:$B$6</c:f>
              <c:numCache>
                <c:formatCode>0.00%</c:formatCode>
                <c:ptCount val="6"/>
                <c:pt idx="0">
                  <c:v>0.0081</c:v>
                </c:pt>
                <c:pt idx="1">
                  <c:v>0.0016</c:v>
                </c:pt>
                <c:pt idx="2">
                  <c:v>0.8345</c:v>
                </c:pt>
                <c:pt idx="3">
                  <c:v>0.1162</c:v>
                </c:pt>
                <c:pt idx="4">
                  <c:v>0.0045</c:v>
                </c:pt>
                <c:pt idx="5">
                  <c:v>0.0351</c:v>
                </c:pt>
              </c:numCache>
            </c:numRef>
          </c:val>
        </c:ser>
        <c:dLbls>
          <c:showLegendKey val="0"/>
          <c:showVal val="0"/>
          <c:showCatName val="1"/>
          <c:showSerName val="0"/>
          <c:showPercent val="1"/>
          <c:showBubbleSize val="0"/>
        </c:dLbls>
      </c:pie3DChart>
    </c:plotArea>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“三公”经费财政拨款支出结构</a:t>
            </a:r>
            <a:endParaRPr lang="zh-CN" altLang="en-US" sz="1800"/>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Lbls>
            <c:dLbl>
              <c:idx val="0"/>
              <c:layout>
                <c:manualLayout>
                  <c:x val="-0.06875"/>
                  <c:y val="-0.20486111111111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公务用车购置及运行维护费支出
</a:t>
                    </a:r>
                    <a:r>
                      <a:rPr lang="en-US" altLang="zh-CN"/>
                      <a:t>91.63%</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8888888888889"/>
                      <c:h val="0.236111111111111"/>
                    </c:manualLayout>
                  </c15:layout>
                </c:ext>
              </c:extLst>
            </c:dLbl>
            <c:dLbl>
              <c:idx val="1"/>
              <c:layout>
                <c:manualLayout>
                  <c:x val="-0.239494750656168"/>
                  <c:y val="0.16920968212306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公务接待费支出</a:t>
                    </a:r>
                    <a:r>
                      <a:rPr lang="en-US" altLang="zh-CN"/>
                      <a:t>8.37%</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'[2021年决算图表-汇总.xlsx]“三公”经费财政拨款支出结构'!$A$1:$A$2</c:f>
              <c:strCache>
                <c:ptCount val="2"/>
                <c:pt idx="0">
                  <c:v>公务用车购置及运行维护费支出</c:v>
                </c:pt>
                <c:pt idx="1">
                  <c:v>公务接待费支出</c:v>
                </c:pt>
              </c:strCache>
            </c:strRef>
          </c:cat>
          <c:val>
            <c:numRef>
              <c:f>'[2021年决算图表-汇总.xlsx]“三公”经费财政拨款支出结构'!$B$1:$B$2</c:f>
              <c:numCache>
                <c:formatCode>0.00%</c:formatCode>
                <c:ptCount val="2"/>
                <c:pt idx="0">
                  <c:v>0.9163</c:v>
                </c:pt>
                <c:pt idx="1">
                  <c:v>0.0837</c:v>
                </c:pt>
              </c:numCache>
            </c:numRef>
          </c:val>
        </c:ser>
        <c:dLbls>
          <c:showLegendKey val="0"/>
          <c:showVal val="0"/>
          <c:showCatName val="1"/>
          <c:showSerName val="0"/>
          <c:showPercent val="1"/>
          <c:showBubbleSize val="0"/>
        </c:dLbls>
      </c:pie3DChart>
    </c:plotArea>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77</Pages>
  <Words>35186</Words>
  <Characters>37198</Characters>
  <Lines>286</Lines>
  <Paragraphs>80</Paragraphs>
  <TotalTime>2</TotalTime>
  <ScaleCrop>false</ScaleCrop>
  <LinksUpToDate>false</LinksUpToDate>
  <CharactersWithSpaces>37349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赵</cp:lastModifiedBy>
  <cp:lastPrinted>2022-08-08T09:11:00Z</cp:lastPrinted>
  <dcterms:modified xsi:type="dcterms:W3CDTF">2023-11-14T02:22:13Z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EC08BC62536A46A8A51776DB361C1513</vt:lpwstr>
  </property>
</Properties>
</file>