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E20F">
      <w:pPr>
        <w:pStyle w:val="2"/>
        <w:jc w:val="center"/>
        <w:rPr>
          <w:rFonts w:hint="default" w:ascii="Times New Roman" w:hAnsi="Times New Roman" w:eastAsia="微软雅黑" w:cs="Times New Roman"/>
          <w:color w:val="auto"/>
          <w:kern w:val="2"/>
          <w:sz w:val="44"/>
          <w:szCs w:val="44"/>
          <w:highlight w:val="none"/>
          <w:lang w:val="en-US" w:eastAsia="zh-CN" w:bidi="ar-SA"/>
        </w:rPr>
      </w:pPr>
    </w:p>
    <w:p w14:paraId="51D5B9F8">
      <w:pPr>
        <w:pStyle w:val="2"/>
        <w:jc w:val="center"/>
        <w:rPr>
          <w:rFonts w:hint="default" w:ascii="Times New Roman" w:hAnsi="Times New Roman" w:eastAsia="方正小标宋_GBK" w:cs="Times New Roman"/>
          <w:color w:val="auto"/>
          <w:kern w:val="2"/>
          <w:sz w:val="72"/>
          <w:szCs w:val="72"/>
          <w:highlight w:val="none"/>
          <w:lang w:val="en-US" w:eastAsia="zh-CN" w:bidi="ar-SA"/>
        </w:rPr>
      </w:pPr>
    </w:p>
    <w:p w14:paraId="69F29EB1">
      <w:pPr>
        <w:pStyle w:val="2"/>
        <w:jc w:val="center"/>
        <w:rPr>
          <w:rFonts w:hint="default" w:ascii="Times New Roman" w:hAnsi="Times New Roman" w:eastAsia="方正小标宋_GBK" w:cs="Times New Roman"/>
          <w:color w:val="auto"/>
          <w:kern w:val="2"/>
          <w:sz w:val="72"/>
          <w:szCs w:val="72"/>
          <w:highlight w:val="none"/>
          <w:lang w:val="en-US" w:eastAsia="zh-CN" w:bidi="ar-SA"/>
        </w:rPr>
      </w:pPr>
    </w:p>
    <w:p w14:paraId="2F125EC5">
      <w:pPr>
        <w:pStyle w:val="2"/>
        <w:jc w:val="center"/>
        <w:rPr>
          <w:rFonts w:hint="default" w:ascii="Times New Roman" w:hAnsi="Times New Roman" w:eastAsia="方正小标宋_GBK" w:cs="Times New Roman"/>
          <w:color w:val="auto"/>
          <w:kern w:val="2"/>
          <w:sz w:val="72"/>
          <w:szCs w:val="72"/>
          <w:highlight w:val="none"/>
          <w:lang w:val="en-US" w:eastAsia="zh-CN" w:bidi="ar-SA"/>
        </w:rPr>
      </w:pPr>
      <w:r>
        <w:rPr>
          <w:rFonts w:hint="default" w:ascii="Times New Roman" w:hAnsi="Times New Roman" w:eastAsia="方正小标宋_GBK" w:cs="Times New Roman"/>
          <w:color w:val="auto"/>
          <w:kern w:val="2"/>
          <w:sz w:val="72"/>
          <w:szCs w:val="72"/>
          <w:highlight w:val="none"/>
          <w:lang w:val="en-US" w:eastAsia="zh-CN" w:bidi="ar-SA"/>
        </w:rPr>
        <w:t>2024年度</w:t>
      </w:r>
    </w:p>
    <w:p w14:paraId="7AFD4FFE">
      <w:pPr>
        <w:pStyle w:val="2"/>
        <w:jc w:val="center"/>
        <w:rPr>
          <w:rFonts w:hint="default" w:ascii="Times New Roman" w:hAnsi="Times New Roman" w:eastAsia="方正小标宋_GBK" w:cs="Times New Roman"/>
          <w:color w:val="auto"/>
          <w:kern w:val="2"/>
          <w:sz w:val="72"/>
          <w:szCs w:val="72"/>
          <w:highlight w:val="none"/>
          <w:lang w:val="en-US" w:eastAsia="zh-CN" w:bidi="ar-SA"/>
        </w:rPr>
      </w:pPr>
      <w:r>
        <w:rPr>
          <w:rFonts w:hint="default" w:ascii="Times New Roman" w:hAnsi="Times New Roman" w:eastAsia="方正小标宋_GBK" w:cs="Times New Roman"/>
          <w:color w:val="auto"/>
          <w:kern w:val="2"/>
          <w:sz w:val="72"/>
          <w:szCs w:val="72"/>
          <w:highlight w:val="none"/>
          <w:lang w:val="en-US" w:eastAsia="zh-CN" w:bidi="ar-SA"/>
        </w:rPr>
        <w:t>攀枝花市文化馆</w:t>
      </w:r>
    </w:p>
    <w:p w14:paraId="1492FE3F">
      <w:pPr>
        <w:pStyle w:val="2"/>
        <w:jc w:val="center"/>
        <w:rPr>
          <w:rFonts w:hint="default" w:ascii="Times New Roman" w:hAnsi="Times New Roman" w:eastAsia="方正小标宋_GBK" w:cs="Times New Roman"/>
          <w:color w:val="auto"/>
          <w:kern w:val="2"/>
          <w:sz w:val="72"/>
          <w:szCs w:val="72"/>
          <w:highlight w:val="none"/>
          <w:lang w:val="en-US" w:eastAsia="zh-CN" w:bidi="ar-SA"/>
        </w:rPr>
      </w:pPr>
      <w:r>
        <w:rPr>
          <w:rFonts w:hint="default" w:ascii="Times New Roman" w:hAnsi="Times New Roman" w:eastAsia="方正小标宋_GBK" w:cs="Times New Roman"/>
          <w:color w:val="auto"/>
          <w:kern w:val="2"/>
          <w:sz w:val="72"/>
          <w:szCs w:val="72"/>
          <w:highlight w:val="none"/>
          <w:lang w:val="en-US" w:eastAsia="zh-CN" w:bidi="ar-SA"/>
        </w:rPr>
        <w:t>单位决算</w:t>
      </w:r>
    </w:p>
    <w:p w14:paraId="61CED8C8">
      <w:pPr>
        <w:widowControl/>
        <w:jc w:val="center"/>
        <w:rPr>
          <w:rFonts w:hint="default" w:ascii="Times New Roman" w:hAnsi="Times New Roman" w:eastAsia="微软雅黑" w:cs="Times New Roman"/>
          <w:color w:val="auto"/>
          <w:sz w:val="36"/>
          <w:szCs w:val="36"/>
          <w:highlight w:val="none"/>
        </w:rPr>
      </w:pPr>
    </w:p>
    <w:p w14:paraId="0D3A84C6">
      <w:pPr>
        <w:widowControl/>
        <w:jc w:val="center"/>
        <w:rPr>
          <w:rFonts w:hint="default" w:ascii="Times New Roman" w:hAnsi="Times New Roman" w:eastAsia="微软雅黑" w:cs="Times New Roman"/>
          <w:color w:val="auto"/>
          <w:sz w:val="36"/>
          <w:szCs w:val="36"/>
          <w:highlight w:val="none"/>
        </w:rPr>
      </w:pPr>
    </w:p>
    <w:p w14:paraId="1C1E003C">
      <w:pPr>
        <w:widowControl/>
        <w:jc w:val="center"/>
        <w:rPr>
          <w:rFonts w:hint="default" w:ascii="Times New Roman" w:hAnsi="Times New Roman" w:eastAsia="微软雅黑" w:cs="Times New Roman"/>
          <w:color w:val="auto"/>
          <w:sz w:val="36"/>
          <w:szCs w:val="36"/>
          <w:highlight w:val="none"/>
        </w:rPr>
      </w:pPr>
    </w:p>
    <w:p w14:paraId="6D5BB112">
      <w:pPr>
        <w:widowControl/>
        <w:jc w:val="center"/>
        <w:rPr>
          <w:rFonts w:hint="default" w:ascii="Times New Roman" w:hAnsi="Times New Roman" w:eastAsia="微软雅黑" w:cs="Times New Roman"/>
          <w:color w:val="auto"/>
          <w:sz w:val="36"/>
          <w:szCs w:val="36"/>
          <w:highlight w:val="none"/>
        </w:rPr>
      </w:pPr>
    </w:p>
    <w:p w14:paraId="1058A4D3">
      <w:pPr>
        <w:widowControl/>
        <w:jc w:val="center"/>
        <w:rPr>
          <w:rFonts w:hint="default" w:ascii="Times New Roman" w:hAnsi="Times New Roman" w:eastAsia="微软雅黑" w:cs="Times New Roman"/>
          <w:color w:val="auto"/>
          <w:sz w:val="36"/>
          <w:szCs w:val="36"/>
          <w:highlight w:val="none"/>
        </w:rPr>
      </w:pPr>
    </w:p>
    <w:p w14:paraId="64B11F68">
      <w:pPr>
        <w:widowControl/>
        <w:jc w:val="center"/>
        <w:rPr>
          <w:rFonts w:hint="default" w:ascii="Times New Roman" w:hAnsi="Times New Roman" w:eastAsia="微软雅黑" w:cs="Times New Roman"/>
          <w:color w:val="auto"/>
          <w:sz w:val="36"/>
          <w:szCs w:val="36"/>
          <w:highlight w:val="none"/>
        </w:rPr>
      </w:pPr>
    </w:p>
    <w:p w14:paraId="0B960577">
      <w:pPr>
        <w:widowControl/>
        <w:jc w:val="center"/>
        <w:rPr>
          <w:rFonts w:hint="default" w:ascii="Times New Roman" w:hAnsi="Times New Roman" w:eastAsia="微软雅黑" w:cs="Times New Roman"/>
          <w:color w:val="auto"/>
          <w:sz w:val="36"/>
          <w:szCs w:val="36"/>
          <w:highlight w:val="none"/>
        </w:rPr>
      </w:pPr>
    </w:p>
    <w:p w14:paraId="2442E43B">
      <w:pPr>
        <w:widowControl/>
        <w:jc w:val="center"/>
        <w:rPr>
          <w:rFonts w:hint="default" w:ascii="Times New Roman" w:hAnsi="Times New Roman" w:eastAsia="微软雅黑" w:cs="Times New Roman"/>
          <w:color w:val="auto"/>
          <w:sz w:val="36"/>
          <w:szCs w:val="36"/>
          <w:highlight w:val="none"/>
        </w:rPr>
      </w:pPr>
    </w:p>
    <w:p w14:paraId="7E738DAD">
      <w:pPr>
        <w:widowControl/>
        <w:jc w:val="both"/>
        <w:rPr>
          <w:rFonts w:hint="default" w:ascii="Times New Roman" w:hAnsi="Times New Roman" w:eastAsia="微软雅黑" w:cs="Times New Roman"/>
          <w:color w:val="auto"/>
          <w:sz w:val="36"/>
          <w:szCs w:val="36"/>
          <w:highlight w:val="none"/>
        </w:rPr>
      </w:pPr>
    </w:p>
    <w:p w14:paraId="0602ECBB">
      <w:pPr>
        <w:widowControl/>
        <w:jc w:val="both"/>
        <w:rPr>
          <w:rFonts w:hint="default" w:ascii="Times New Roman" w:hAnsi="Times New Roman" w:eastAsia="黑体" w:cs="Times New Roman"/>
          <w:color w:val="auto"/>
          <w:sz w:val="48"/>
          <w:szCs w:val="48"/>
          <w:highlight w:val="none"/>
        </w:rPr>
        <w:sectPr>
          <w:footerReference r:id="rId3" w:type="default"/>
          <w:pgSz w:w="11906" w:h="16838"/>
          <w:pgMar w:top="1440" w:right="1800" w:bottom="1440" w:left="1800" w:header="720" w:footer="720" w:gutter="0"/>
          <w:pgNumType w:fmt="decimal"/>
          <w:cols w:space="720" w:num="1"/>
          <w:docGrid w:type="lines" w:linePitch="312" w:charSpace="0"/>
        </w:sectPr>
      </w:pPr>
    </w:p>
    <w:p w14:paraId="5CEE848B">
      <w:pPr>
        <w:widowControl/>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目录</w:t>
      </w:r>
    </w:p>
    <w:p w14:paraId="32CE611F">
      <w:pPr>
        <w:pStyle w:val="8"/>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16</w:t>
      </w:r>
      <w:r>
        <w:rPr>
          <w:rFonts w:hint="default" w:ascii="Times New Roman" w:hAnsi="Times New Roman" w:cs="Times New Roman"/>
          <w:color w:val="auto"/>
          <w:highlight w:val="none"/>
        </w:rPr>
        <w:t>日</w:t>
      </w:r>
    </w:p>
    <w:p w14:paraId="753479B1">
      <w:pPr>
        <w:rPr>
          <w:rFonts w:hint="default" w:ascii="Times New Roman" w:hAnsi="Times New Roman" w:cs="Times New Roman"/>
          <w:color w:val="auto"/>
          <w:highlight w:val="none"/>
        </w:rPr>
      </w:pPr>
    </w:p>
    <w:p w14:paraId="1FD1FD45">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TOC \o "1-2" \h \u </w:instrText>
      </w:r>
      <w:r>
        <w:rPr>
          <w:rFonts w:hint="default" w:ascii="Times New Roman" w:hAnsi="Times New Roman" w:cs="Times New Roman"/>
          <w:lang w:eastAsia="zh-CN"/>
        </w:rPr>
        <w:fldChar w:fldCharType="separate"/>
      </w: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_Toc18321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 xml:space="preserve">第一部分 </w:t>
      </w:r>
      <w:r>
        <w:rPr>
          <w:rFonts w:hint="default" w:ascii="Times New Roman" w:hAnsi="Times New Roman" w:eastAsia="方正仿宋_GB2312" w:cs="Times New Roman"/>
          <w:sz w:val="24"/>
          <w:szCs w:val="24"/>
          <w:highlight w:val="none"/>
          <w:lang w:eastAsia="zh-CN"/>
        </w:rPr>
        <w:t>单位</w:t>
      </w:r>
      <w:r>
        <w:rPr>
          <w:rFonts w:hint="default" w:ascii="Times New Roman" w:hAnsi="Times New Roman" w:eastAsia="方正仿宋_GB2312" w:cs="Times New Roman"/>
          <w:bCs w:val="0"/>
          <w:sz w:val="24"/>
          <w:szCs w:val="24"/>
          <w:highlight w:val="none"/>
        </w:rPr>
        <w:t>概况</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3</w:t>
      </w:r>
      <w:r>
        <w:rPr>
          <w:rFonts w:hint="default" w:ascii="Times New Roman" w:hAnsi="Times New Roman" w:eastAsia="方正仿宋_GB2312" w:cs="Times New Roman"/>
          <w:sz w:val="24"/>
          <w:szCs w:val="24"/>
          <w:lang w:eastAsia="zh-CN"/>
        </w:rPr>
        <w:fldChar w:fldCharType="end"/>
      </w:r>
    </w:p>
    <w:p w14:paraId="7AAA41F5">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_Toc10448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lang w:eastAsia="zh-CN"/>
        </w:rPr>
        <w:t>一、</w:t>
      </w:r>
      <w:r>
        <w:rPr>
          <w:rFonts w:hint="default" w:ascii="Times New Roman" w:hAnsi="Times New Roman" w:eastAsia="方正仿宋_GB2312" w:cs="Times New Roman"/>
          <w:bCs w:val="0"/>
          <w:sz w:val="24"/>
          <w:szCs w:val="24"/>
          <w:highlight w:val="none"/>
          <w:lang w:eastAsia="zh-CN"/>
        </w:rPr>
        <w:t>主要职责</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3</w:t>
      </w:r>
      <w:r>
        <w:rPr>
          <w:rFonts w:hint="default" w:ascii="Times New Roman" w:hAnsi="Times New Roman" w:eastAsia="方正仿宋_GB2312" w:cs="Times New Roman"/>
          <w:sz w:val="24"/>
          <w:szCs w:val="24"/>
          <w:lang w:eastAsia="zh-CN"/>
        </w:rPr>
        <w:fldChar w:fldCharType="end"/>
      </w:r>
    </w:p>
    <w:p w14:paraId="2F1488D2">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_Toc18412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val="en-US" w:eastAsia="zh-CN"/>
        </w:rPr>
        <w:t>二、机构设置</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3</w:t>
      </w:r>
      <w:r>
        <w:rPr>
          <w:rFonts w:hint="default" w:ascii="Times New Roman" w:hAnsi="Times New Roman" w:eastAsia="方正仿宋_GB2312" w:cs="Times New Roman"/>
          <w:sz w:val="24"/>
          <w:szCs w:val="24"/>
          <w:lang w:eastAsia="zh-CN"/>
        </w:rPr>
        <w:fldChar w:fldCharType="end"/>
      </w:r>
    </w:p>
    <w:p w14:paraId="02D77386">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_Toc1215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sz w:val="24"/>
          <w:szCs w:val="24"/>
          <w:highlight w:val="none"/>
        </w:rPr>
        <w:t xml:space="preserve">第二部分 </w:t>
      </w:r>
      <w:r>
        <w:rPr>
          <w:rFonts w:hint="default" w:ascii="Times New Roman" w:hAnsi="Times New Roman" w:eastAsia="方正仿宋_GB2312" w:cs="Times New Roman"/>
          <w:bCs/>
          <w:sz w:val="24"/>
          <w:szCs w:val="24"/>
          <w:highlight w:val="none"/>
          <w:lang w:val="en-US" w:eastAsia="zh-CN"/>
        </w:rPr>
        <w:t>2024年度</w:t>
      </w:r>
      <w:r>
        <w:rPr>
          <w:rFonts w:hint="default" w:ascii="Times New Roman" w:hAnsi="Times New Roman" w:eastAsia="方正仿宋_GB2312" w:cs="Times New Roman"/>
          <w:bCs/>
          <w:sz w:val="24"/>
          <w:szCs w:val="24"/>
          <w:highlight w:val="none"/>
          <w:lang w:eastAsia="zh-CN"/>
        </w:rPr>
        <w:t>单位</w:t>
      </w:r>
      <w:r>
        <w:rPr>
          <w:rFonts w:hint="default" w:ascii="Times New Roman" w:hAnsi="Times New Roman" w:eastAsia="方正仿宋_GB2312" w:cs="Times New Roman"/>
          <w:bCs/>
          <w:sz w:val="24"/>
          <w:szCs w:val="24"/>
          <w:highlight w:val="none"/>
        </w:rPr>
        <w:t>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4</w:t>
      </w:r>
      <w:r>
        <w:rPr>
          <w:rFonts w:hint="default" w:ascii="Times New Roman" w:hAnsi="Times New Roman" w:eastAsia="方正仿宋_GB2312" w:cs="Times New Roman"/>
          <w:sz w:val="24"/>
          <w:szCs w:val="24"/>
          <w:lang w:eastAsia="zh-CN"/>
        </w:rPr>
        <w:fldChar w:fldCharType="end"/>
      </w:r>
    </w:p>
    <w:p w14:paraId="748A615A">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_Toc6086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eastAsia="zh-CN"/>
        </w:rPr>
        <w:t>一、</w:t>
      </w:r>
      <w:r>
        <w:rPr>
          <w:rFonts w:hint="default" w:ascii="Times New Roman" w:hAnsi="Times New Roman" w:eastAsia="方正仿宋_GB2312" w:cs="Times New Roman"/>
          <w:sz w:val="24"/>
          <w:szCs w:val="24"/>
          <w:highlight w:val="none"/>
        </w:rPr>
        <w:t>收入支出决算总体情况说明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4</w:t>
      </w:r>
      <w:r>
        <w:rPr>
          <w:rFonts w:hint="default" w:ascii="Times New Roman" w:hAnsi="Times New Roman" w:eastAsia="方正仿宋_GB2312" w:cs="Times New Roman"/>
          <w:sz w:val="24"/>
          <w:szCs w:val="24"/>
          <w:lang w:eastAsia="zh-CN"/>
        </w:rPr>
        <w:fldChar w:fldCharType="end"/>
      </w:r>
    </w:p>
    <w:p w14:paraId="75CDE7A8">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_Toc31327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eastAsia="zh-CN"/>
        </w:rPr>
        <w:t>二、</w:t>
      </w:r>
      <w:r>
        <w:rPr>
          <w:rFonts w:hint="default" w:ascii="Times New Roman" w:hAnsi="Times New Roman" w:eastAsia="方正仿宋_GB2312" w:cs="Times New Roman"/>
          <w:sz w:val="24"/>
          <w:szCs w:val="24"/>
          <w:highlight w:val="none"/>
        </w:rPr>
        <w:t>收入决算情况说明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4</w:t>
      </w:r>
      <w:r>
        <w:rPr>
          <w:rFonts w:hint="default" w:ascii="Times New Roman" w:hAnsi="Times New Roman" w:eastAsia="方正仿宋_GB2312" w:cs="Times New Roman"/>
          <w:sz w:val="24"/>
          <w:szCs w:val="24"/>
          <w:lang w:eastAsia="zh-CN"/>
        </w:rPr>
        <w:fldChar w:fldCharType="end"/>
      </w:r>
    </w:p>
    <w:p w14:paraId="78552A9C">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_Toc22264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eastAsia="zh-CN"/>
        </w:rPr>
        <w:t>三、</w:t>
      </w:r>
      <w:r>
        <w:rPr>
          <w:rFonts w:hint="default" w:ascii="Times New Roman" w:hAnsi="Times New Roman" w:eastAsia="方正仿宋_GB2312" w:cs="Times New Roman"/>
          <w:sz w:val="24"/>
          <w:szCs w:val="24"/>
          <w:highlight w:val="none"/>
        </w:rPr>
        <w:t>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5</w:t>
      </w:r>
      <w:r>
        <w:rPr>
          <w:rFonts w:hint="default" w:ascii="Times New Roman" w:hAnsi="Times New Roman" w:eastAsia="方正仿宋_GB2312" w:cs="Times New Roman"/>
          <w:sz w:val="24"/>
          <w:szCs w:val="24"/>
          <w:lang w:eastAsia="zh-CN"/>
        </w:rPr>
        <w:fldChar w:fldCharType="end"/>
      </w:r>
    </w:p>
    <w:p w14:paraId="22F2D451">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_Toc28084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四、财政拨款收入支出决算总体情况说明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6</w:t>
      </w:r>
    </w:p>
    <w:p w14:paraId="2110421A">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_Toc14039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五、一般公共预算财政拨款支出决算情况说明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6</w:t>
      </w:r>
      <w:r>
        <w:rPr>
          <w:rFonts w:hint="default" w:ascii="Times New Roman" w:hAnsi="Times New Roman" w:eastAsia="方正仿宋_GB2312" w:cs="Times New Roman"/>
          <w:sz w:val="24"/>
          <w:szCs w:val="24"/>
          <w:lang w:eastAsia="zh-CN"/>
        </w:rPr>
        <w:fldChar w:fldCharType="end"/>
      </w:r>
    </w:p>
    <w:p w14:paraId="5F9A7163">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_Toc14999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六、一般公共预算财政拨款基本支出决算情况说明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420CD026">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_Toc15439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七、财政拨款“三公”经费支出决算情况说明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10</w:t>
      </w:r>
    </w:p>
    <w:p w14:paraId="5A2EDE7F">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_Toc20718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八、政府性基金预算支出决算情况说明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12</w:t>
      </w:r>
    </w:p>
    <w:p w14:paraId="37B79931">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_Toc17325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eastAsia="zh-CN"/>
        </w:rPr>
        <w:t>九、</w:t>
      </w:r>
      <w:r>
        <w:rPr>
          <w:rFonts w:hint="default" w:ascii="Times New Roman" w:hAnsi="Times New Roman" w:eastAsia="方正仿宋_GB2312" w:cs="Times New Roman"/>
          <w:sz w:val="24"/>
          <w:szCs w:val="24"/>
          <w:highlight w:val="none"/>
        </w:rPr>
        <w:t>国有资本经营预算支出决算情况说明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12</w:t>
      </w:r>
    </w:p>
    <w:p w14:paraId="1AE07B0A">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_Toc8141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eastAsia="zh-CN"/>
        </w:rPr>
        <w:t>十、</w:t>
      </w:r>
      <w:r>
        <w:rPr>
          <w:rFonts w:hint="default" w:ascii="Times New Roman" w:hAnsi="Times New Roman" w:eastAsia="方正仿宋_GB2312" w:cs="Times New Roman"/>
          <w:sz w:val="24"/>
          <w:szCs w:val="24"/>
          <w:highlight w:val="none"/>
        </w:rPr>
        <w:t>其他重要事项的情况说明</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3</w:t>
      </w:r>
    </w:p>
    <w:p w14:paraId="7C7B8487">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_Toc23495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lang w:eastAsia="zh-CN"/>
        </w:rPr>
        <w:t>第三部分</w:t>
      </w:r>
      <w:r>
        <w:rPr>
          <w:rFonts w:hint="default" w:ascii="Times New Roman" w:hAnsi="Times New Roman" w:eastAsia="方正仿宋_GB2312" w:cs="Times New Roman"/>
          <w:sz w:val="24"/>
          <w:szCs w:val="24"/>
          <w:highlight w:val="none"/>
          <w:lang w:val="en-US" w:eastAsia="zh-CN"/>
        </w:rPr>
        <w:t xml:space="preserve"> </w:t>
      </w:r>
      <w:r>
        <w:rPr>
          <w:rFonts w:hint="default" w:ascii="Times New Roman" w:hAnsi="Times New Roman" w:eastAsia="方正仿宋_GB2312" w:cs="Times New Roman"/>
          <w:sz w:val="24"/>
          <w:szCs w:val="24"/>
          <w:highlight w:val="none"/>
        </w:rPr>
        <w:t>名词解释</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5</w:t>
      </w:r>
    </w:p>
    <w:p w14:paraId="7CF8E70D">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_Toc11899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第四部分 附件</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8</w:t>
      </w:r>
    </w:p>
    <w:p w14:paraId="52717424">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_Toc31595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第五部分 附表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278DA176">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_Toc31400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一、收</w:t>
      </w:r>
      <w:r>
        <w:rPr>
          <w:rFonts w:hint="default" w:ascii="Times New Roman" w:hAnsi="Times New Roman" w:eastAsia="方正仿宋_GB2312" w:cs="Times New Roman"/>
          <w:bCs w:val="0"/>
          <w:sz w:val="24"/>
          <w:szCs w:val="24"/>
          <w:highlight w:val="none"/>
        </w:rPr>
        <w:t>入支出决算总表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7BB0809C">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_Toc27448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sz w:val="24"/>
          <w:szCs w:val="24"/>
          <w:highlight w:val="none"/>
        </w:rPr>
        <w:t>二、收</w:t>
      </w:r>
      <w:r>
        <w:rPr>
          <w:rFonts w:hint="default" w:ascii="Times New Roman" w:hAnsi="Times New Roman" w:eastAsia="方正仿宋_GB2312" w:cs="Times New Roman"/>
          <w:bCs w:val="0"/>
          <w:sz w:val="24"/>
          <w:szCs w:val="24"/>
          <w:highlight w:val="none"/>
        </w:rPr>
        <w:t>入决算表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02B67F6C">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_Toc11616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三、</w:t>
      </w:r>
      <w:r>
        <w:rPr>
          <w:rFonts w:hint="default" w:ascii="Times New Roman" w:hAnsi="Times New Roman" w:eastAsia="方正仿宋_GB2312" w:cs="Times New Roman"/>
          <w:sz w:val="24"/>
          <w:szCs w:val="24"/>
          <w:highlight w:val="none"/>
        </w:rPr>
        <w:t>支</w:t>
      </w:r>
      <w:r>
        <w:rPr>
          <w:rFonts w:hint="default" w:ascii="Times New Roman" w:hAnsi="Times New Roman" w:eastAsia="方正仿宋_GB2312" w:cs="Times New Roman"/>
          <w:bCs w:val="0"/>
          <w:sz w:val="24"/>
          <w:szCs w:val="24"/>
          <w:highlight w:val="none"/>
        </w:rPr>
        <w:t>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7B7AD2E4">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_Toc20304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四、</w:t>
      </w:r>
      <w:r>
        <w:rPr>
          <w:rFonts w:hint="default" w:ascii="Times New Roman" w:hAnsi="Times New Roman" w:eastAsia="方正仿宋_GB2312" w:cs="Times New Roman"/>
          <w:sz w:val="24"/>
          <w:szCs w:val="24"/>
          <w:highlight w:val="none"/>
        </w:rPr>
        <w:t>财</w:t>
      </w:r>
      <w:r>
        <w:rPr>
          <w:rFonts w:hint="default" w:ascii="Times New Roman" w:hAnsi="Times New Roman" w:eastAsia="方正仿宋_GB2312" w:cs="Times New Roman"/>
          <w:bCs w:val="0"/>
          <w:sz w:val="24"/>
          <w:szCs w:val="24"/>
          <w:highlight w:val="none"/>
        </w:rPr>
        <w:t>政拨款收入支出决算总表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11C65C62">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_Toc1144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五、</w:t>
      </w:r>
      <w:r>
        <w:rPr>
          <w:rFonts w:hint="default" w:ascii="Times New Roman" w:hAnsi="Times New Roman" w:eastAsia="方正仿宋_GB2312" w:cs="Times New Roman"/>
          <w:sz w:val="24"/>
          <w:szCs w:val="24"/>
          <w:highlight w:val="none"/>
        </w:rPr>
        <w:t>财</w:t>
      </w:r>
      <w:r>
        <w:rPr>
          <w:rFonts w:hint="default" w:ascii="Times New Roman" w:hAnsi="Times New Roman" w:eastAsia="方正仿宋_GB2312" w:cs="Times New Roman"/>
          <w:bCs w:val="0"/>
          <w:sz w:val="24"/>
          <w:szCs w:val="24"/>
          <w:highlight w:val="none"/>
        </w:rPr>
        <w:t>政拨款支出决算明细表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34347B8A">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_Toc22403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六、</w:t>
      </w:r>
      <w:r>
        <w:rPr>
          <w:rFonts w:hint="default" w:ascii="Times New Roman" w:hAnsi="Times New Roman" w:eastAsia="方正仿宋_GB2312" w:cs="Times New Roman"/>
          <w:sz w:val="24"/>
          <w:szCs w:val="24"/>
          <w:highlight w:val="none"/>
        </w:rPr>
        <w:t>一</w:t>
      </w:r>
      <w:r>
        <w:rPr>
          <w:rFonts w:hint="default" w:ascii="Times New Roman" w:hAnsi="Times New Roman" w:eastAsia="方正仿宋_GB2312" w:cs="Times New Roman"/>
          <w:bCs w:val="0"/>
          <w:sz w:val="24"/>
          <w:szCs w:val="24"/>
          <w:highlight w:val="none"/>
        </w:rPr>
        <w:t>般公共预算财政拨款支出决算表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442A3E1C">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_Toc31885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七、</w:t>
      </w:r>
      <w:r>
        <w:rPr>
          <w:rFonts w:hint="default" w:ascii="Times New Roman" w:hAnsi="Times New Roman" w:eastAsia="方正仿宋_GB2312" w:cs="Times New Roman"/>
          <w:sz w:val="24"/>
          <w:szCs w:val="24"/>
          <w:highlight w:val="none"/>
        </w:rPr>
        <w:t>一</w:t>
      </w:r>
      <w:r>
        <w:rPr>
          <w:rFonts w:hint="default" w:ascii="Times New Roman" w:hAnsi="Times New Roman" w:eastAsia="方正仿宋_GB2312" w:cs="Times New Roman"/>
          <w:bCs w:val="0"/>
          <w:sz w:val="24"/>
          <w:szCs w:val="24"/>
          <w:highlight w:val="none"/>
        </w:rPr>
        <w:t>般公共预算财政拨款支出决算明细表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3C0E7C34">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_Toc4576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八、</w:t>
      </w:r>
      <w:r>
        <w:rPr>
          <w:rFonts w:hint="default" w:ascii="Times New Roman" w:hAnsi="Times New Roman" w:eastAsia="方正仿宋_GB2312" w:cs="Times New Roman"/>
          <w:sz w:val="24"/>
          <w:szCs w:val="24"/>
          <w:highlight w:val="none"/>
        </w:rPr>
        <w:t>一</w:t>
      </w:r>
      <w:r>
        <w:rPr>
          <w:rFonts w:hint="default" w:ascii="Times New Roman" w:hAnsi="Times New Roman" w:eastAsia="方正仿宋_GB2312" w:cs="Times New Roman"/>
          <w:bCs w:val="0"/>
          <w:sz w:val="24"/>
          <w:szCs w:val="24"/>
          <w:highlight w:val="none"/>
        </w:rPr>
        <w:t>般公共预算财政拨款基本支出决算表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22551AA3">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_Toc26569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九、</w:t>
      </w:r>
      <w:r>
        <w:rPr>
          <w:rFonts w:hint="default" w:ascii="Times New Roman" w:hAnsi="Times New Roman" w:eastAsia="方正仿宋_GB2312" w:cs="Times New Roman"/>
          <w:sz w:val="24"/>
          <w:szCs w:val="24"/>
          <w:highlight w:val="none"/>
        </w:rPr>
        <w:t>一</w:t>
      </w:r>
      <w:r>
        <w:rPr>
          <w:rFonts w:hint="default" w:ascii="Times New Roman" w:hAnsi="Times New Roman" w:eastAsia="方正仿宋_GB2312" w:cs="Times New Roman"/>
          <w:bCs w:val="0"/>
          <w:sz w:val="24"/>
          <w:szCs w:val="24"/>
          <w:highlight w:val="none"/>
        </w:rPr>
        <w:t>般公共预算财政拨款项目支出决算表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79F80B73">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_Toc31443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十、</w:t>
      </w:r>
      <w:r>
        <w:rPr>
          <w:rFonts w:hint="default" w:ascii="Times New Roman" w:hAnsi="Times New Roman" w:eastAsia="方正仿宋_GB2312" w:cs="Times New Roman"/>
          <w:sz w:val="24"/>
          <w:szCs w:val="24"/>
          <w:highlight w:val="none"/>
        </w:rPr>
        <w:t>政</w:t>
      </w:r>
      <w:r>
        <w:rPr>
          <w:rFonts w:hint="default" w:ascii="Times New Roman" w:hAnsi="Times New Roman" w:eastAsia="方正仿宋_GB2312" w:cs="Times New Roman"/>
          <w:bCs w:val="0"/>
          <w:sz w:val="24"/>
          <w:szCs w:val="24"/>
          <w:highlight w:val="none"/>
        </w:rPr>
        <w:t>府性基金预算财政拨款收入支出决算表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58AFB7D4">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_Toc16399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十一、</w:t>
      </w:r>
      <w:r>
        <w:rPr>
          <w:rFonts w:hint="default" w:ascii="Times New Roman" w:hAnsi="Times New Roman" w:eastAsia="方正仿宋_GB2312" w:cs="Times New Roman"/>
          <w:sz w:val="24"/>
          <w:szCs w:val="24"/>
          <w:highlight w:val="none"/>
        </w:rPr>
        <w:t>国</w:t>
      </w:r>
      <w:r>
        <w:rPr>
          <w:rFonts w:hint="default" w:ascii="Times New Roman" w:hAnsi="Times New Roman" w:eastAsia="方正仿宋_GB2312" w:cs="Times New Roman"/>
          <w:bCs w:val="0"/>
          <w:sz w:val="24"/>
          <w:szCs w:val="24"/>
          <w:highlight w:val="none"/>
        </w:rPr>
        <w:t>有资本经营预算</w:t>
      </w:r>
      <w:r>
        <w:rPr>
          <w:rFonts w:hint="default" w:ascii="Times New Roman" w:hAnsi="Times New Roman" w:eastAsia="方正仿宋_GB2312" w:cs="Times New Roman"/>
          <w:bCs w:val="0"/>
          <w:sz w:val="24"/>
          <w:szCs w:val="24"/>
          <w:highlight w:val="none"/>
          <w:lang w:eastAsia="zh-CN"/>
        </w:rPr>
        <w:t>财政拨款收入</w:t>
      </w:r>
      <w:r>
        <w:rPr>
          <w:rFonts w:hint="default" w:ascii="Times New Roman" w:hAnsi="Times New Roman" w:eastAsia="方正仿宋_GB2312" w:cs="Times New Roman"/>
          <w:bCs w:val="0"/>
          <w:sz w:val="24"/>
          <w:szCs w:val="24"/>
          <w:highlight w:val="none"/>
        </w:rPr>
        <w:t>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1A66A4A8">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eastAsia="方正仿宋_GB2312" w:cs="Times New Roman"/>
          <w:sz w:val="24"/>
          <w:szCs w:val="24"/>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_Toc32574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十二、</w:t>
      </w:r>
      <w:r>
        <w:rPr>
          <w:rFonts w:hint="default" w:ascii="Times New Roman" w:hAnsi="Times New Roman" w:eastAsia="方正仿宋_GB2312" w:cs="Times New Roman"/>
          <w:bCs w:val="0"/>
          <w:sz w:val="24"/>
          <w:szCs w:val="24"/>
          <w:highlight w:val="none"/>
          <w:lang w:eastAsia="zh-CN"/>
        </w:rPr>
        <w:t>国有资本经营预算财政拨款支出决算表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0FE5F684">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rPr>
      </w:pPr>
      <w:r>
        <w:rPr>
          <w:rFonts w:hint="default" w:ascii="Times New Roman" w:hAnsi="Times New Roman" w:eastAsia="方正仿宋_GB2312" w:cs="Times New Roman"/>
          <w:sz w:val="24"/>
          <w:szCs w:val="24"/>
          <w:lang w:eastAsia="zh-CN"/>
        </w:rPr>
        <w:fldChar w:fldCharType="begin"/>
      </w:r>
      <w:r>
        <w:rPr>
          <w:rFonts w:hint="default" w:ascii="Times New Roman" w:hAnsi="Times New Roman" w:eastAsia="方正仿宋_GB2312" w:cs="Times New Roman"/>
          <w:sz w:val="24"/>
          <w:szCs w:val="24"/>
          <w:lang w:eastAsia="zh-CN"/>
        </w:rPr>
        <w:instrText xml:space="preserve"> HYPERLINK \l _Toc14137 </w:instrText>
      </w:r>
      <w:r>
        <w:rPr>
          <w:rFonts w:hint="default" w:ascii="Times New Roman" w:hAnsi="Times New Roman" w:eastAsia="方正仿宋_GB2312" w:cs="Times New Roman"/>
          <w:sz w:val="24"/>
          <w:szCs w:val="24"/>
          <w:lang w:eastAsia="zh-CN"/>
        </w:rPr>
        <w:fldChar w:fldCharType="separate"/>
      </w:r>
      <w:r>
        <w:rPr>
          <w:rFonts w:hint="default" w:ascii="Times New Roman" w:hAnsi="Times New Roman" w:eastAsia="方正仿宋_GB2312" w:cs="Times New Roman"/>
          <w:bCs w:val="0"/>
          <w:sz w:val="24"/>
          <w:szCs w:val="24"/>
          <w:highlight w:val="none"/>
        </w:rPr>
        <w:t>十三、</w:t>
      </w:r>
      <w:r>
        <w:rPr>
          <w:rFonts w:hint="default" w:ascii="Times New Roman" w:hAnsi="Times New Roman" w:eastAsia="方正仿宋_GB2312" w:cs="Times New Roman"/>
          <w:bCs w:val="0"/>
          <w:sz w:val="24"/>
          <w:szCs w:val="24"/>
          <w:highlight w:val="none"/>
          <w:lang w:eastAsia="zh-CN"/>
        </w:rPr>
        <w:t>财政拨款“三公”经费支出决算表</w:t>
      </w:r>
      <w:r>
        <w:rPr>
          <w:rFonts w:hint="default" w:ascii="Times New Roman" w:hAnsi="Times New Roman" w:eastAsia="方正仿宋_GB2312" w:cs="Times New Roman"/>
          <w:sz w:val="24"/>
          <w:szCs w:val="24"/>
        </w:rPr>
        <w:tab/>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lang w:eastAsia="zh-CN"/>
        </w:rPr>
        <w:fldChar w:fldCharType="end"/>
      </w:r>
      <w:r>
        <w:rPr>
          <w:rFonts w:hint="default" w:ascii="Times New Roman" w:hAnsi="Times New Roman" w:eastAsia="方正仿宋_GB2312" w:cs="Times New Roman"/>
          <w:sz w:val="24"/>
          <w:szCs w:val="24"/>
          <w:lang w:val="en-US" w:eastAsia="zh-CN"/>
        </w:rPr>
        <w:t>9</w:t>
      </w:r>
    </w:p>
    <w:p w14:paraId="0B2604ED">
      <w:pPr>
        <w:widowControl/>
        <w:adjustRightInd w:val="0"/>
        <w:snapToGrid w:val="0"/>
        <w:spacing w:line="440" w:lineRule="exact"/>
        <w:jc w:val="left"/>
        <w:rPr>
          <w:rFonts w:hint="default" w:ascii="Times New Roman" w:hAnsi="Times New Roman" w:eastAsia="仿宋" w:cs="Times New Roman"/>
          <w:color w:val="auto"/>
          <w:sz w:val="24"/>
          <w:highlight w:val="none"/>
        </w:rPr>
      </w:pPr>
      <w:r>
        <w:rPr>
          <w:rFonts w:hint="default" w:ascii="Times New Roman" w:hAnsi="Times New Roman" w:cs="Times New Roman"/>
          <w:lang w:eastAsia="zh-CN"/>
        </w:rPr>
        <w:fldChar w:fldCharType="end"/>
      </w:r>
    </w:p>
    <w:p w14:paraId="7408DF61">
      <w:pPr>
        <w:widowControl/>
        <w:spacing w:line="440" w:lineRule="exact"/>
        <w:jc w:val="center"/>
        <w:rPr>
          <w:rFonts w:hint="default" w:ascii="Times New Roman" w:hAnsi="Times New Roman" w:eastAsia="黑体" w:cs="Times New Roman"/>
          <w:b w:val="0"/>
          <w:color w:val="auto"/>
          <w:sz w:val="44"/>
          <w:szCs w:val="44"/>
          <w:highlight w:val="none"/>
        </w:rPr>
      </w:pPr>
    </w:p>
    <w:p w14:paraId="77FD4D19">
      <w:pPr>
        <w:widowControl/>
        <w:spacing w:line="440" w:lineRule="exact"/>
        <w:jc w:val="center"/>
        <w:rPr>
          <w:rStyle w:val="13"/>
          <w:rFonts w:hint="default" w:ascii="Times New Roman" w:hAnsi="Times New Roman" w:eastAsia="黑体" w:cs="Times New Roman"/>
          <w:b/>
          <w:bCs w:val="0"/>
          <w:color w:val="auto"/>
          <w:sz w:val="44"/>
          <w:szCs w:val="44"/>
          <w:highlight w:val="none"/>
        </w:rPr>
      </w:pPr>
      <w:r>
        <w:rPr>
          <w:rFonts w:hint="default" w:ascii="Times New Roman" w:hAnsi="Times New Roman" w:eastAsia="黑体" w:cs="Times New Roman"/>
          <w:b w:val="0"/>
          <w:color w:val="auto"/>
          <w:sz w:val="44"/>
          <w:szCs w:val="44"/>
          <w:highlight w:val="none"/>
        </w:rPr>
        <w:t xml:space="preserve">第一部分 </w:t>
      </w:r>
      <w:r>
        <w:rPr>
          <w:rFonts w:hint="default" w:ascii="Times New Roman" w:hAnsi="Times New Roman" w:eastAsia="黑体" w:cs="Times New Roman"/>
          <w:b w:val="0"/>
          <w:color w:val="auto"/>
          <w:sz w:val="44"/>
          <w:szCs w:val="44"/>
          <w:highlight w:val="none"/>
          <w:lang w:eastAsia="zh-CN"/>
        </w:rPr>
        <w:t>单位</w:t>
      </w:r>
      <w:r>
        <w:rPr>
          <w:rStyle w:val="13"/>
          <w:rFonts w:hint="default" w:ascii="Times New Roman" w:hAnsi="Times New Roman" w:eastAsia="黑体" w:cs="Times New Roman"/>
          <w:b w:val="0"/>
          <w:bCs w:val="0"/>
          <w:color w:val="auto"/>
          <w:sz w:val="44"/>
          <w:szCs w:val="44"/>
          <w:highlight w:val="none"/>
        </w:rPr>
        <w:t>概况</w:t>
      </w:r>
    </w:p>
    <w:p w14:paraId="4C69964E">
      <w:pPr>
        <w:widowControl/>
        <w:jc w:val="left"/>
        <w:rPr>
          <w:rFonts w:hint="default" w:ascii="Times New Roman" w:hAnsi="Times New Roman" w:eastAsia="黑体" w:cs="Times New Roman"/>
          <w:color w:val="auto"/>
          <w:sz w:val="32"/>
          <w:szCs w:val="32"/>
          <w:highlight w:val="none"/>
        </w:rPr>
      </w:pPr>
    </w:p>
    <w:p w14:paraId="1A62E1C8">
      <w:pPr>
        <w:pStyle w:val="4"/>
        <w:pageBreakBefore w:val="0"/>
        <w:widowControl w:val="0"/>
        <w:numPr>
          <w:ilvl w:val="0"/>
          <w:numId w:val="1"/>
        </w:numPr>
        <w:kinsoku/>
        <w:wordWrap/>
        <w:overflowPunct/>
        <w:topLinePunct w:val="0"/>
        <w:autoSpaceDE/>
        <w:autoSpaceDN/>
        <w:bidi w:val="0"/>
        <w:adjustRightInd/>
        <w:spacing w:line="240" w:lineRule="auto"/>
        <w:textAlignment w:val="auto"/>
        <w:rPr>
          <w:rStyle w:val="14"/>
          <w:rFonts w:hint="default" w:ascii="Times New Roman" w:hAnsi="Times New Roman" w:eastAsia="黑体" w:cs="Times New Roman"/>
          <w:b w:val="0"/>
          <w:bCs w:val="0"/>
          <w:color w:val="auto"/>
          <w:sz w:val="32"/>
          <w:szCs w:val="32"/>
          <w:highlight w:val="none"/>
          <w:lang w:eastAsia="zh-CN"/>
        </w:rPr>
      </w:pPr>
      <w:r>
        <w:rPr>
          <w:rStyle w:val="14"/>
          <w:rFonts w:hint="default" w:ascii="Times New Roman" w:hAnsi="Times New Roman" w:eastAsia="黑体" w:cs="Times New Roman"/>
          <w:b w:val="0"/>
          <w:bCs w:val="0"/>
          <w:color w:val="auto"/>
          <w:sz w:val="32"/>
          <w:szCs w:val="32"/>
          <w:highlight w:val="none"/>
          <w:lang w:eastAsia="zh-CN"/>
        </w:rPr>
        <w:t>主要职责</w:t>
      </w:r>
    </w:p>
    <w:p w14:paraId="0B35FB58">
      <w:pPr>
        <w:pStyle w:val="4"/>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（一）组织群众文化活动，繁荣群众文化事业。</w:t>
      </w:r>
    </w:p>
    <w:p w14:paraId="1EFDB52A">
      <w:pPr>
        <w:pStyle w:val="4"/>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（二）文化宣传、文艺活动组织、文艺演出组织、相关培训。</w:t>
      </w:r>
    </w:p>
    <w:p w14:paraId="07F91350">
      <w:pPr>
        <w:pStyle w:val="4"/>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（三）业余创作团体管理，业余文艺创作组织、县（区）、乡级文化馆（站、室）业务指导。</w:t>
      </w:r>
    </w:p>
    <w:p w14:paraId="77279CC0">
      <w:pPr>
        <w:pStyle w:val="4"/>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（四）群众文艺理论研究、文化交流、（民族、民间）文化艺术遗产收集整理与保护、相关文化产业经营。</w:t>
      </w:r>
    </w:p>
    <w:p w14:paraId="3A939F92">
      <w:pPr>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（五）完成市委、市政府交办的其他任务。</w:t>
      </w:r>
    </w:p>
    <w:p w14:paraId="1459390D">
      <w:pPr>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方正仿宋_GB2312" w:cs="Times New Roman"/>
          <w:b w:val="0"/>
          <w:bCs w:val="0"/>
          <w:sz w:val="32"/>
          <w:szCs w:val="32"/>
        </w:rPr>
      </w:pPr>
    </w:p>
    <w:p w14:paraId="62076433">
      <w:pPr>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b w:val="0"/>
          <w:color w:val="auto"/>
          <w:sz w:val="32"/>
          <w:szCs w:val="32"/>
          <w:highlight w:val="none"/>
          <w:lang w:val="en-US" w:eastAsia="zh-CN"/>
        </w:rPr>
      </w:pPr>
      <w:r>
        <w:rPr>
          <w:rFonts w:hint="default" w:ascii="Times New Roman" w:hAnsi="Times New Roman" w:eastAsia="黑体" w:cs="Times New Roman"/>
          <w:b w:val="0"/>
          <w:color w:val="auto"/>
          <w:sz w:val="32"/>
          <w:szCs w:val="32"/>
          <w:highlight w:val="none"/>
          <w:lang w:val="en-US" w:eastAsia="zh-CN"/>
        </w:rPr>
        <w:t>二、机构设置</w:t>
      </w:r>
    </w:p>
    <w:p w14:paraId="783DD2C4">
      <w:pPr>
        <w:pStyle w:val="4"/>
        <w:keepNext/>
        <w:keepLines/>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2312" w:cs="Times New Roman"/>
          <w:b w:val="0"/>
          <w:bCs w:val="0"/>
        </w:rPr>
      </w:pPr>
      <w:r>
        <w:rPr>
          <w:rFonts w:hint="default" w:ascii="Times New Roman" w:hAnsi="Times New Roman" w:eastAsia="方正仿宋_GB2312" w:cs="Times New Roman"/>
          <w:b w:val="0"/>
          <w:bCs w:val="0"/>
        </w:rPr>
        <w:t>攀枝花市文化馆为全额拨款事业单位，总编制数32名。202</w:t>
      </w:r>
      <w:r>
        <w:rPr>
          <w:rFonts w:hint="default" w:ascii="Times New Roman" w:hAnsi="Times New Roman" w:eastAsia="方正仿宋_GB2312" w:cs="Times New Roman"/>
          <w:b w:val="0"/>
          <w:bCs w:val="0"/>
          <w:lang w:val="en-US" w:eastAsia="zh-CN"/>
        </w:rPr>
        <w:t>4</w:t>
      </w:r>
      <w:r>
        <w:rPr>
          <w:rFonts w:hint="default" w:ascii="Times New Roman" w:hAnsi="Times New Roman" w:eastAsia="方正仿宋_GB2312" w:cs="Times New Roman"/>
          <w:b w:val="0"/>
          <w:bCs w:val="0"/>
        </w:rPr>
        <w:t>年底在职人员2</w:t>
      </w:r>
      <w:r>
        <w:rPr>
          <w:rFonts w:hint="default" w:ascii="Times New Roman" w:hAnsi="Times New Roman" w:eastAsia="方正仿宋_GB2312" w:cs="Times New Roman"/>
          <w:b w:val="0"/>
          <w:bCs w:val="0"/>
          <w:lang w:val="en-US" w:eastAsia="zh-CN"/>
        </w:rPr>
        <w:t>5</w:t>
      </w:r>
      <w:r>
        <w:rPr>
          <w:rFonts w:hint="default" w:ascii="Times New Roman" w:hAnsi="Times New Roman" w:eastAsia="方正仿宋_GB2312" w:cs="Times New Roman"/>
          <w:b w:val="0"/>
          <w:bCs w:val="0"/>
        </w:rPr>
        <w:t>人，退休人员2</w:t>
      </w:r>
      <w:r>
        <w:rPr>
          <w:rFonts w:hint="default" w:ascii="Times New Roman" w:hAnsi="Times New Roman" w:eastAsia="方正仿宋_GB2312" w:cs="Times New Roman"/>
          <w:b w:val="0"/>
          <w:bCs w:val="0"/>
          <w:lang w:val="en-US" w:eastAsia="zh-CN"/>
        </w:rPr>
        <w:t>4</w:t>
      </w:r>
      <w:r>
        <w:rPr>
          <w:rFonts w:hint="default" w:ascii="Times New Roman" w:hAnsi="Times New Roman" w:eastAsia="方正仿宋_GB2312" w:cs="Times New Roman"/>
          <w:b w:val="0"/>
          <w:bCs w:val="0"/>
        </w:rPr>
        <w:t>人，</w:t>
      </w:r>
      <w:r>
        <w:rPr>
          <w:rFonts w:hint="default" w:ascii="Times New Roman" w:hAnsi="Times New Roman" w:eastAsia="方正仿宋_GB2312" w:cs="Times New Roman"/>
          <w:b w:val="0"/>
          <w:bCs w:val="0"/>
          <w:lang w:eastAsia="zh-CN"/>
        </w:rPr>
        <w:t>在职人员比</w:t>
      </w:r>
      <w:r>
        <w:rPr>
          <w:rFonts w:hint="default" w:ascii="Times New Roman" w:hAnsi="Times New Roman" w:eastAsia="方正仿宋_GB2312" w:cs="Times New Roman"/>
          <w:b w:val="0"/>
          <w:bCs w:val="0"/>
          <w:lang w:val="en-US" w:eastAsia="zh-CN"/>
        </w:rPr>
        <w:t>2023年减少3人，减少原因是退休1人，辞职2人；退休人员</w:t>
      </w:r>
      <w:r>
        <w:rPr>
          <w:rFonts w:hint="default" w:ascii="Times New Roman" w:hAnsi="Times New Roman" w:eastAsia="方正仿宋_GB2312" w:cs="Times New Roman"/>
          <w:b w:val="0"/>
          <w:bCs w:val="0"/>
        </w:rPr>
        <w:t>比20</w:t>
      </w:r>
      <w:r>
        <w:rPr>
          <w:rFonts w:hint="default" w:ascii="Times New Roman" w:hAnsi="Times New Roman" w:eastAsia="方正仿宋_GB2312" w:cs="Times New Roman"/>
          <w:b w:val="0"/>
          <w:bCs w:val="0"/>
          <w:lang w:val="en-US" w:eastAsia="zh-CN"/>
        </w:rPr>
        <w:t>23</w:t>
      </w:r>
      <w:r>
        <w:rPr>
          <w:rFonts w:hint="default" w:ascii="Times New Roman" w:hAnsi="Times New Roman" w:eastAsia="方正仿宋_GB2312" w:cs="Times New Roman"/>
          <w:b w:val="0"/>
          <w:bCs w:val="0"/>
        </w:rPr>
        <w:t>年</w:t>
      </w:r>
      <w:r>
        <w:rPr>
          <w:rFonts w:hint="default" w:ascii="Times New Roman" w:hAnsi="Times New Roman" w:eastAsia="方正仿宋_GB2312" w:cs="Times New Roman"/>
          <w:b w:val="0"/>
          <w:bCs w:val="0"/>
          <w:lang w:eastAsia="zh-CN"/>
        </w:rPr>
        <w:t>增加</w:t>
      </w:r>
      <w:r>
        <w:rPr>
          <w:rFonts w:hint="default" w:ascii="Times New Roman" w:hAnsi="Times New Roman" w:eastAsia="方正仿宋_GB2312" w:cs="Times New Roman"/>
          <w:b w:val="0"/>
          <w:bCs w:val="0"/>
          <w:lang w:val="en-US" w:eastAsia="zh-CN"/>
        </w:rPr>
        <w:t>1</w:t>
      </w:r>
      <w:r>
        <w:rPr>
          <w:rFonts w:hint="default" w:ascii="Times New Roman" w:hAnsi="Times New Roman" w:eastAsia="方正仿宋_GB2312" w:cs="Times New Roman"/>
          <w:b w:val="0"/>
          <w:bCs w:val="0"/>
        </w:rPr>
        <w:t>人，</w:t>
      </w:r>
      <w:r>
        <w:rPr>
          <w:rFonts w:hint="default" w:ascii="Times New Roman" w:hAnsi="Times New Roman" w:eastAsia="方正仿宋_GB2312" w:cs="Times New Roman"/>
          <w:b w:val="0"/>
          <w:bCs w:val="0"/>
          <w:lang w:eastAsia="zh-CN"/>
        </w:rPr>
        <w:t>增加</w:t>
      </w:r>
      <w:r>
        <w:rPr>
          <w:rFonts w:hint="default" w:ascii="Times New Roman" w:hAnsi="Times New Roman" w:eastAsia="方正仿宋_GB2312" w:cs="Times New Roman"/>
          <w:b w:val="0"/>
          <w:bCs w:val="0"/>
        </w:rPr>
        <w:t>原因是</w:t>
      </w:r>
      <w:r>
        <w:rPr>
          <w:rFonts w:hint="default" w:ascii="Times New Roman" w:hAnsi="Times New Roman" w:eastAsia="方正仿宋_GB2312" w:cs="Times New Roman"/>
          <w:b w:val="0"/>
          <w:bCs w:val="0"/>
          <w:lang w:eastAsia="zh-CN"/>
        </w:rPr>
        <w:t>在职人员办理退休</w:t>
      </w:r>
      <w:r>
        <w:rPr>
          <w:rFonts w:hint="default" w:ascii="Times New Roman" w:hAnsi="Times New Roman" w:eastAsia="方正仿宋_GB2312" w:cs="Times New Roman"/>
          <w:b w:val="0"/>
          <w:bCs w:val="0"/>
          <w:lang w:val="en-US" w:eastAsia="zh-CN"/>
        </w:rPr>
        <w:t>1人</w:t>
      </w:r>
      <w:r>
        <w:rPr>
          <w:rFonts w:hint="default" w:ascii="Times New Roman" w:hAnsi="Times New Roman" w:eastAsia="方正仿宋_GB2312" w:cs="Times New Roman"/>
          <w:b w:val="0"/>
          <w:bCs w:val="0"/>
        </w:rPr>
        <w:t>。</w:t>
      </w:r>
    </w:p>
    <w:p w14:paraId="5604A007">
      <w:pPr>
        <w:rPr>
          <w:rFonts w:hint="default" w:ascii="Times New Roman" w:hAnsi="Times New Roman" w:cs="Times New Roman"/>
          <w:lang w:val="en-US" w:eastAsia="zh-CN"/>
        </w:rPr>
      </w:pPr>
    </w:p>
    <w:p w14:paraId="4AFC9F00">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14:paraId="3BE24D09">
      <w:pPr>
        <w:pStyle w:val="3"/>
        <w:ind w:right="440"/>
        <w:jc w:val="center"/>
        <w:rPr>
          <w:rStyle w:val="13"/>
          <w:rFonts w:hint="default" w:ascii="Times New Roman" w:hAnsi="Times New Roman" w:eastAsia="黑体" w:cs="Times New Roman"/>
          <w:b w:val="0"/>
          <w:bCs/>
          <w:color w:val="000000" w:themeColor="text1"/>
          <w:highlight w:val="none"/>
          <w14:textFill>
            <w14:solidFill>
              <w14:schemeClr w14:val="tx1"/>
            </w14:solidFill>
          </w14:textFill>
        </w:rPr>
      </w:pPr>
      <w:r>
        <w:rPr>
          <w:rFonts w:hint="default" w:ascii="Times New Roman" w:hAnsi="Times New Roman" w:eastAsia="黑体" w:cs="Times New Roman"/>
          <w:b w:val="0"/>
          <w:bCs/>
          <w:color w:val="000000" w:themeColor="text1"/>
          <w:highlight w:val="none"/>
          <w14:textFill>
            <w14:solidFill>
              <w14:schemeClr w14:val="tx1"/>
            </w14:solidFill>
          </w14:textFill>
        </w:rPr>
        <w:t xml:space="preserve">第二部分 </w:t>
      </w:r>
      <w:r>
        <w:rPr>
          <w:rFonts w:hint="default" w:ascii="Times New Roman" w:hAnsi="Times New Roman" w:eastAsia="黑体" w:cs="Times New Roman"/>
          <w:b w:val="0"/>
          <w:bCs/>
          <w:color w:val="000000" w:themeColor="text1"/>
          <w:highlight w:val="none"/>
          <w:lang w:val="en-US" w:eastAsia="zh-CN"/>
          <w14:textFill>
            <w14:solidFill>
              <w14:schemeClr w14:val="tx1"/>
            </w14:solidFill>
          </w14:textFill>
        </w:rPr>
        <w:t>2024年度</w:t>
      </w:r>
      <w:r>
        <w:rPr>
          <w:rStyle w:val="13"/>
          <w:rFonts w:hint="default" w:ascii="Times New Roman" w:hAnsi="Times New Roman" w:eastAsia="黑体" w:cs="Times New Roman"/>
          <w:b w:val="0"/>
          <w:bCs/>
          <w:color w:val="000000" w:themeColor="text1"/>
          <w:highlight w:val="none"/>
          <w:lang w:eastAsia="zh-CN"/>
          <w14:textFill>
            <w14:solidFill>
              <w14:schemeClr w14:val="tx1"/>
            </w14:solidFill>
          </w14:textFill>
        </w:rPr>
        <w:t>单位</w:t>
      </w:r>
      <w:r>
        <w:rPr>
          <w:rStyle w:val="13"/>
          <w:rFonts w:hint="default" w:ascii="Times New Roman" w:hAnsi="Times New Roman" w:eastAsia="黑体" w:cs="Times New Roman"/>
          <w:b w:val="0"/>
          <w:bCs/>
          <w:color w:val="000000" w:themeColor="text1"/>
          <w:highlight w:val="none"/>
          <w14:textFill>
            <w14:solidFill>
              <w14:schemeClr w14:val="tx1"/>
            </w14:solidFill>
          </w14:textFill>
        </w:rPr>
        <w:t>决算情况说明</w:t>
      </w:r>
    </w:p>
    <w:p w14:paraId="7E43D037">
      <w:pPr>
        <w:rPr>
          <w:rFonts w:hint="default" w:ascii="Times New Roman" w:hAnsi="Times New Roman" w:cs="Times New Roman"/>
          <w:color w:val="auto"/>
          <w:highlight w:val="none"/>
        </w:rPr>
      </w:pPr>
    </w:p>
    <w:p w14:paraId="2028BB6C">
      <w:pPr>
        <w:pStyle w:val="15"/>
        <w:pageBreakBefore w:val="0"/>
        <w:widowControl w:val="0"/>
        <w:numPr>
          <w:ilvl w:val="0"/>
          <w:numId w:val="0"/>
        </w:numPr>
        <w:kinsoku/>
        <w:wordWrap/>
        <w:overflowPunct/>
        <w:topLinePunct w:val="0"/>
        <w:autoSpaceDE/>
        <w:autoSpaceDN/>
        <w:bidi w:val="0"/>
        <w:adjustRightInd/>
        <w:spacing w:line="240" w:lineRule="auto"/>
        <w:ind w:left="640" w:leftChars="0"/>
        <w:textAlignment w:val="auto"/>
        <w:outlineLvl w:val="1"/>
        <w:rPr>
          <w:rStyle w:val="14"/>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14"/>
          <w:rFonts w:hint="default" w:ascii="Times New Roman" w:hAnsi="Times New Roman" w:eastAsia="黑体" w:cs="Times New Roman"/>
          <w:b w:val="0"/>
          <w:color w:val="auto"/>
          <w:highlight w:val="none"/>
        </w:rPr>
        <w:t>入支出决算总体情况说明</w:t>
      </w:r>
    </w:p>
    <w:p w14:paraId="5B200A47">
      <w:pPr>
        <w:pStyle w:val="4"/>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cs="Times New Roman"/>
        </w:rPr>
      </w:pPr>
      <w:r>
        <w:rPr>
          <w:rFonts w:hint="default" w:ascii="Times New Roman" w:hAnsi="Times New Roman" w:eastAsia="方正仿宋_GB2312" w:cs="Times New Roman"/>
          <w:b w:val="0"/>
          <w:bCs w:val="0"/>
          <w:color w:val="auto"/>
          <w:sz w:val="32"/>
          <w:szCs w:val="32"/>
          <w:highlight w:val="none"/>
          <w:lang w:eastAsia="zh-CN"/>
        </w:rPr>
        <w:t>202</w:t>
      </w:r>
      <w:r>
        <w:rPr>
          <w:rFonts w:hint="default" w:ascii="Times New Roman" w:hAnsi="Times New Roman" w:eastAsia="方正仿宋_GB2312" w:cs="Times New Roman"/>
          <w:b w:val="0"/>
          <w:bCs w:val="0"/>
          <w:color w:val="auto"/>
          <w:sz w:val="32"/>
          <w:szCs w:val="32"/>
          <w:highlight w:val="none"/>
          <w:lang w:val="en-US" w:eastAsia="zh-CN"/>
        </w:rPr>
        <w:t>4</w:t>
      </w:r>
      <w:r>
        <w:rPr>
          <w:rFonts w:hint="default" w:ascii="Times New Roman" w:hAnsi="Times New Roman" w:eastAsia="方正仿宋_GB2312" w:cs="Times New Roman"/>
          <w:b w:val="0"/>
          <w:bCs w:val="0"/>
          <w:color w:val="auto"/>
          <w:sz w:val="32"/>
          <w:szCs w:val="32"/>
          <w:highlight w:val="none"/>
        </w:rPr>
        <w:t>年度收、支总计</w:t>
      </w:r>
      <w:r>
        <w:rPr>
          <w:rFonts w:hint="default" w:ascii="Times New Roman" w:hAnsi="Times New Roman" w:eastAsia="方正仿宋_GB2312" w:cs="Times New Roman"/>
          <w:b w:val="0"/>
          <w:bCs w:val="0"/>
          <w:color w:val="auto"/>
          <w:sz w:val="32"/>
          <w:szCs w:val="32"/>
          <w:highlight w:val="none"/>
          <w:lang w:eastAsia="zh-CN"/>
        </w:rPr>
        <w:t>均为</w:t>
      </w:r>
      <w:r>
        <w:rPr>
          <w:rFonts w:hint="default" w:ascii="Times New Roman" w:hAnsi="Times New Roman" w:eastAsia="方正仿宋_GB2312" w:cs="Times New Roman"/>
          <w:b w:val="0"/>
          <w:bCs w:val="0"/>
          <w:color w:val="auto"/>
          <w:sz w:val="32"/>
          <w:szCs w:val="32"/>
          <w:highlight w:val="none"/>
          <w:lang w:val="en-US" w:eastAsia="zh-CN"/>
        </w:rPr>
        <w:t>647.44</w:t>
      </w:r>
      <w:r>
        <w:rPr>
          <w:rFonts w:hint="default" w:ascii="Times New Roman" w:hAnsi="Times New Roman" w:eastAsia="方正仿宋_GB2312" w:cs="Times New Roman"/>
          <w:b w:val="0"/>
          <w:bCs w:val="0"/>
          <w:color w:val="auto"/>
          <w:sz w:val="32"/>
          <w:szCs w:val="32"/>
          <w:highlight w:val="none"/>
        </w:rPr>
        <w:t>万元。与</w:t>
      </w:r>
      <w:r>
        <w:rPr>
          <w:rFonts w:hint="default" w:ascii="Times New Roman" w:hAnsi="Times New Roman" w:eastAsia="方正仿宋_GB2312" w:cs="Times New Roman"/>
          <w:b w:val="0"/>
          <w:bCs w:val="0"/>
          <w:color w:val="auto"/>
          <w:sz w:val="32"/>
          <w:szCs w:val="32"/>
          <w:highlight w:val="none"/>
          <w:lang w:eastAsia="zh-CN"/>
        </w:rPr>
        <w:t>202</w:t>
      </w:r>
      <w:r>
        <w:rPr>
          <w:rFonts w:hint="default" w:ascii="Times New Roman" w:hAnsi="Times New Roman" w:eastAsia="方正仿宋_GB2312" w:cs="Times New Roman"/>
          <w:b w:val="0"/>
          <w:bCs w:val="0"/>
          <w:color w:val="auto"/>
          <w:sz w:val="32"/>
          <w:szCs w:val="32"/>
          <w:highlight w:val="none"/>
          <w:lang w:val="en-US" w:eastAsia="zh-CN"/>
        </w:rPr>
        <w:t>3</w:t>
      </w:r>
      <w:r>
        <w:rPr>
          <w:rFonts w:hint="default" w:ascii="Times New Roman" w:hAnsi="Times New Roman" w:eastAsia="方正仿宋_GB2312" w:cs="Times New Roman"/>
          <w:b w:val="0"/>
          <w:bCs w:val="0"/>
          <w:color w:val="auto"/>
          <w:sz w:val="32"/>
          <w:szCs w:val="32"/>
          <w:highlight w:val="none"/>
        </w:rPr>
        <w:t>年</w:t>
      </w:r>
      <w:r>
        <w:rPr>
          <w:rFonts w:hint="default" w:ascii="Times New Roman" w:hAnsi="Times New Roman" w:eastAsia="方正仿宋_GB2312" w:cs="Times New Roman"/>
          <w:b w:val="0"/>
          <w:bCs w:val="0"/>
          <w:color w:val="auto"/>
          <w:sz w:val="32"/>
          <w:szCs w:val="32"/>
          <w:highlight w:val="none"/>
          <w:lang w:eastAsia="zh-CN"/>
        </w:rPr>
        <w:t>度</w:t>
      </w:r>
      <w:r>
        <w:rPr>
          <w:rFonts w:hint="default" w:ascii="Times New Roman" w:hAnsi="Times New Roman" w:eastAsia="方正仿宋_GB2312" w:cs="Times New Roman"/>
          <w:b w:val="0"/>
          <w:bCs w:val="0"/>
          <w:color w:val="auto"/>
          <w:sz w:val="32"/>
          <w:szCs w:val="32"/>
          <w:highlight w:val="none"/>
        </w:rPr>
        <w:t>相比，收、支总计各减少</w:t>
      </w:r>
      <w:r>
        <w:rPr>
          <w:rFonts w:hint="default" w:ascii="Times New Roman" w:hAnsi="Times New Roman" w:eastAsia="方正仿宋_GB2312" w:cs="Times New Roman"/>
          <w:b w:val="0"/>
          <w:bCs w:val="0"/>
          <w:color w:val="auto"/>
          <w:sz w:val="32"/>
          <w:szCs w:val="32"/>
          <w:highlight w:val="none"/>
          <w:lang w:val="en-US" w:eastAsia="zh-CN"/>
        </w:rPr>
        <w:t>55.16</w:t>
      </w:r>
      <w:r>
        <w:rPr>
          <w:rFonts w:hint="default" w:ascii="Times New Roman" w:hAnsi="Times New Roman" w:eastAsia="方正仿宋_GB2312" w:cs="Times New Roman"/>
          <w:b w:val="0"/>
          <w:bCs w:val="0"/>
          <w:color w:val="auto"/>
          <w:sz w:val="32"/>
          <w:szCs w:val="32"/>
          <w:highlight w:val="none"/>
        </w:rPr>
        <w:t>万元，下降</w:t>
      </w:r>
      <w:r>
        <w:rPr>
          <w:rFonts w:hint="default" w:ascii="Times New Roman" w:hAnsi="Times New Roman" w:eastAsia="方正仿宋_GB2312" w:cs="Times New Roman"/>
          <w:b w:val="0"/>
          <w:bCs w:val="0"/>
          <w:color w:val="auto"/>
          <w:sz w:val="32"/>
          <w:szCs w:val="32"/>
          <w:highlight w:val="none"/>
          <w:lang w:val="en-US" w:eastAsia="zh-CN"/>
        </w:rPr>
        <w:t>7.85</w:t>
      </w:r>
      <w:r>
        <w:rPr>
          <w:rFonts w:hint="default" w:ascii="Times New Roman" w:hAnsi="Times New Roman" w:eastAsia="方正仿宋_GB2312" w:cs="Times New Roman"/>
          <w:b w:val="0"/>
          <w:bCs w:val="0"/>
          <w:color w:val="auto"/>
          <w:sz w:val="32"/>
          <w:szCs w:val="32"/>
          <w:highlight w:val="none"/>
        </w:rPr>
        <w:t>%。</w:t>
      </w:r>
      <w:r>
        <w:rPr>
          <w:rFonts w:hint="default" w:ascii="Times New Roman" w:hAnsi="Times New Roman" w:eastAsia="方正仿宋_GB2312" w:cs="Times New Roman"/>
          <w:b w:val="0"/>
          <w:bCs w:val="0"/>
        </w:rPr>
        <w:t>主要变动原因是日常公用经费预算压缩、项目支出</w:t>
      </w:r>
      <w:r>
        <w:rPr>
          <w:rFonts w:hint="default" w:ascii="Times New Roman" w:hAnsi="Times New Roman" w:eastAsia="方正仿宋_GB2312" w:cs="Times New Roman"/>
          <w:b w:val="0"/>
          <w:bCs w:val="0"/>
          <w:lang w:eastAsia="zh-CN"/>
        </w:rPr>
        <w:t>减少</w:t>
      </w:r>
      <w:r>
        <w:rPr>
          <w:rFonts w:hint="default" w:ascii="Times New Roman" w:hAnsi="Times New Roman" w:eastAsia="方正仿宋_GB2312" w:cs="Times New Roman"/>
          <w:b w:val="0"/>
          <w:bCs w:val="0"/>
        </w:rPr>
        <w:t>。</w:t>
      </w:r>
    </w:p>
    <w:p w14:paraId="25E153CC">
      <w:pPr>
        <w:rPr>
          <w:rFonts w:hint="default" w:ascii="Times New Roman" w:hAnsi="Times New Roman" w:cs="Times New Roman"/>
        </w:rPr>
      </w:pPr>
    </w:p>
    <w:p w14:paraId="4F0F9986">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rPr>
        <w:t>：收、支决算总计变动情况图）</w:t>
      </w:r>
    </w:p>
    <w:p w14:paraId="0E0B50BC">
      <w:pPr>
        <w:pStyle w:val="2"/>
        <w:jc w:val="center"/>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828925"/>
            <wp:effectExtent l="4445" t="4445" r="14605" b="508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Style w:val="10"/>
        <w:tblW w:w="7575" w:type="dxa"/>
        <w:tblInd w:w="6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0"/>
        <w:gridCol w:w="990"/>
        <w:gridCol w:w="1200"/>
        <w:gridCol w:w="1575"/>
        <w:gridCol w:w="2040"/>
      </w:tblGrid>
      <w:tr w14:paraId="4B7B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7575" w:type="dxa"/>
            <w:gridSpan w:val="5"/>
            <w:tcBorders>
              <w:top w:val="nil"/>
              <w:left w:val="nil"/>
              <w:bottom w:val="nil"/>
              <w:right w:val="nil"/>
            </w:tcBorders>
            <w:shd w:val="clear" w:color="auto" w:fill="auto"/>
            <w:noWrap/>
            <w:vAlign w:val="center"/>
          </w:tcPr>
          <w:p w14:paraId="5501BF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收支情况对比明细表</w:t>
            </w:r>
          </w:p>
        </w:tc>
      </w:tr>
      <w:tr w14:paraId="1A5E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770" w:type="dxa"/>
            <w:tcBorders>
              <w:top w:val="nil"/>
              <w:left w:val="nil"/>
              <w:bottom w:val="nil"/>
              <w:right w:val="nil"/>
            </w:tcBorders>
            <w:shd w:val="clear" w:color="auto" w:fill="auto"/>
            <w:noWrap/>
            <w:vAlign w:val="center"/>
          </w:tcPr>
          <w:p w14:paraId="392E7B10">
            <w:pPr>
              <w:jc w:val="left"/>
              <w:rPr>
                <w:rFonts w:hint="default" w:ascii="Times New Roman" w:hAnsi="Times New Roman" w:eastAsia="宋体" w:cs="Times New Roman"/>
                <w:i w:val="0"/>
                <w:iCs w:val="0"/>
                <w:color w:val="000000"/>
                <w:sz w:val="32"/>
                <w:szCs w:val="32"/>
                <w:u w:val="none"/>
              </w:rPr>
            </w:pPr>
          </w:p>
        </w:tc>
        <w:tc>
          <w:tcPr>
            <w:tcW w:w="990" w:type="dxa"/>
            <w:tcBorders>
              <w:top w:val="nil"/>
              <w:left w:val="nil"/>
              <w:bottom w:val="nil"/>
              <w:right w:val="nil"/>
            </w:tcBorders>
            <w:shd w:val="clear" w:color="auto" w:fill="auto"/>
            <w:noWrap/>
            <w:vAlign w:val="center"/>
          </w:tcPr>
          <w:p w14:paraId="4FD7D312">
            <w:pPr>
              <w:rPr>
                <w:rFonts w:hint="default" w:ascii="Times New Roman" w:hAnsi="Times New Roman" w:eastAsia="宋体" w:cs="Times New Roman"/>
                <w:i w:val="0"/>
                <w:iCs w:val="0"/>
                <w:color w:val="000000"/>
                <w:sz w:val="22"/>
                <w:szCs w:val="22"/>
                <w:u w:val="none"/>
              </w:rPr>
            </w:pPr>
          </w:p>
        </w:tc>
        <w:tc>
          <w:tcPr>
            <w:tcW w:w="1200" w:type="dxa"/>
            <w:tcBorders>
              <w:top w:val="nil"/>
              <w:left w:val="nil"/>
              <w:bottom w:val="nil"/>
              <w:right w:val="nil"/>
            </w:tcBorders>
            <w:shd w:val="clear" w:color="auto" w:fill="auto"/>
            <w:noWrap/>
            <w:vAlign w:val="center"/>
          </w:tcPr>
          <w:p w14:paraId="073106C4">
            <w:pPr>
              <w:rPr>
                <w:rFonts w:hint="default" w:ascii="Times New Roman" w:hAnsi="Times New Roman" w:eastAsia="宋体" w:cs="Times New Roman"/>
                <w:i w:val="0"/>
                <w:iCs w:val="0"/>
                <w:color w:val="000000"/>
                <w:sz w:val="22"/>
                <w:szCs w:val="22"/>
                <w:u w:val="none"/>
              </w:rPr>
            </w:pPr>
          </w:p>
        </w:tc>
        <w:tc>
          <w:tcPr>
            <w:tcW w:w="1575" w:type="dxa"/>
            <w:tcBorders>
              <w:top w:val="nil"/>
              <w:left w:val="nil"/>
              <w:bottom w:val="nil"/>
              <w:right w:val="nil"/>
            </w:tcBorders>
            <w:shd w:val="clear" w:color="auto" w:fill="auto"/>
            <w:noWrap/>
            <w:vAlign w:val="center"/>
          </w:tcPr>
          <w:p w14:paraId="1956C92D">
            <w:pPr>
              <w:rPr>
                <w:rFonts w:hint="default" w:ascii="Times New Roman" w:hAnsi="Times New Roman" w:eastAsia="宋体" w:cs="Times New Roman"/>
                <w:i w:val="0"/>
                <w:iCs w:val="0"/>
                <w:color w:val="000000"/>
                <w:sz w:val="22"/>
                <w:szCs w:val="22"/>
                <w:u w:val="none"/>
              </w:rPr>
            </w:pPr>
          </w:p>
        </w:tc>
        <w:tc>
          <w:tcPr>
            <w:tcW w:w="2040" w:type="dxa"/>
            <w:tcBorders>
              <w:top w:val="nil"/>
              <w:left w:val="nil"/>
              <w:bottom w:val="nil"/>
              <w:right w:val="nil"/>
            </w:tcBorders>
            <w:shd w:val="clear" w:color="auto" w:fill="auto"/>
            <w:noWrap/>
            <w:vAlign w:val="center"/>
          </w:tcPr>
          <w:p w14:paraId="48194DC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单位：万元</w:t>
            </w:r>
          </w:p>
        </w:tc>
      </w:tr>
      <w:tr w14:paraId="4511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0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全年收支分析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AD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w:t>
            </w:r>
            <w:r>
              <w:rPr>
                <w:rFonts w:hint="default" w:ascii="Times New Roman" w:hAnsi="Times New Roman" w:eastAsia="宋体" w:cs="Times New Roman"/>
                <w:i w:val="0"/>
                <w:iCs w:val="0"/>
                <w:color w:val="000000"/>
                <w:kern w:val="0"/>
                <w:sz w:val="24"/>
                <w:szCs w:val="24"/>
                <w:u w:val="none"/>
                <w:lang w:val="en-US" w:eastAsia="zh-CN"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6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w:t>
            </w:r>
            <w:r>
              <w:rPr>
                <w:rFonts w:hint="default" w:ascii="Times New Roman" w:hAnsi="Times New Roman" w:eastAsia="宋体" w:cs="Times New Roman"/>
                <w:i w:val="0"/>
                <w:iCs w:val="0"/>
                <w:color w:val="000000"/>
                <w:kern w:val="0"/>
                <w:sz w:val="24"/>
                <w:szCs w:val="24"/>
                <w:u w:val="none"/>
                <w:lang w:val="en-US" w:eastAsia="zh-CN" w:bidi="ar"/>
              </w:rPr>
              <w:t>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CD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同比增（减）额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9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同比增（减）率</w:t>
            </w:r>
          </w:p>
        </w:tc>
      </w:tr>
      <w:tr w14:paraId="38C4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FE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全年收入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A6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702.60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0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647.44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4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-55.16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6A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-7.85%</w:t>
            </w:r>
          </w:p>
        </w:tc>
      </w:tr>
      <w:tr w14:paraId="7C58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02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全年支出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C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702.60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86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647.44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DA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-55.16 </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2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-7.85%</w:t>
            </w:r>
          </w:p>
        </w:tc>
      </w:tr>
    </w:tbl>
    <w:p w14:paraId="4706A3B1">
      <w:pPr>
        <w:rPr>
          <w:rFonts w:hint="default" w:ascii="Times New Roman" w:hAnsi="Times New Roman" w:cs="Times New Roman"/>
        </w:rPr>
      </w:pPr>
    </w:p>
    <w:p w14:paraId="4B49B024">
      <w:pPr>
        <w:rPr>
          <w:rFonts w:hint="default" w:ascii="Times New Roman" w:hAnsi="Times New Roman" w:cs="Times New Roman"/>
        </w:rPr>
      </w:pPr>
    </w:p>
    <w:p w14:paraId="43B51E5F">
      <w:pPr>
        <w:pStyle w:val="15"/>
        <w:numPr>
          <w:ilvl w:val="0"/>
          <w:numId w:val="0"/>
        </w:numPr>
        <w:spacing w:line="600" w:lineRule="exact"/>
        <w:ind w:firstLine="640" w:firstLineChars="200"/>
        <w:outlineLvl w:val="1"/>
        <w:rPr>
          <w:rStyle w:val="14"/>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w:t>
      </w:r>
      <w:r>
        <w:rPr>
          <w:rStyle w:val="14"/>
          <w:rFonts w:hint="default" w:ascii="Times New Roman" w:hAnsi="Times New Roman" w:eastAsia="黑体" w:cs="Times New Roman"/>
          <w:b w:val="0"/>
          <w:color w:val="auto"/>
          <w:highlight w:val="none"/>
        </w:rPr>
        <w:t>入决算情况说明</w:t>
      </w:r>
    </w:p>
    <w:p w14:paraId="70E275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本年收入合计</w:t>
      </w:r>
      <w:r>
        <w:rPr>
          <w:rFonts w:hint="default" w:ascii="Times New Roman" w:hAnsi="Times New Roman" w:eastAsia="方正仿宋_GB2312" w:cs="Times New Roman"/>
          <w:color w:val="auto"/>
          <w:sz w:val="32"/>
          <w:szCs w:val="32"/>
          <w:highlight w:val="none"/>
          <w:lang w:val="en-US" w:eastAsia="zh-CN"/>
        </w:rPr>
        <w:t>647.44</w:t>
      </w:r>
      <w:r>
        <w:rPr>
          <w:rFonts w:hint="default" w:ascii="Times New Roman" w:hAnsi="Times New Roman" w:eastAsia="方正仿宋_GB2312" w:cs="Times New Roman"/>
          <w:color w:val="auto"/>
          <w:sz w:val="32"/>
          <w:szCs w:val="32"/>
          <w:highlight w:val="none"/>
        </w:rPr>
        <w:t>万元，其中：一般公共预算财政拨款收入</w:t>
      </w:r>
      <w:r>
        <w:rPr>
          <w:rFonts w:hint="default" w:ascii="Times New Roman" w:hAnsi="Times New Roman" w:eastAsia="方正仿宋_GB2312" w:cs="Times New Roman"/>
          <w:color w:val="auto"/>
          <w:sz w:val="32"/>
          <w:szCs w:val="32"/>
          <w:highlight w:val="none"/>
          <w:lang w:val="en-US" w:eastAsia="zh-CN"/>
        </w:rPr>
        <w:t>647.44</w:t>
      </w:r>
      <w:r>
        <w:rPr>
          <w:rFonts w:hint="default" w:ascii="Times New Roman" w:hAnsi="Times New Roman" w:eastAsia="方正仿宋_GB2312" w:cs="Times New Roman"/>
          <w:color w:val="auto"/>
          <w:sz w:val="32"/>
          <w:szCs w:val="32"/>
          <w:highlight w:val="none"/>
        </w:rPr>
        <w:t>万元，占</w:t>
      </w:r>
      <w:r>
        <w:rPr>
          <w:rFonts w:hint="default" w:ascii="Times New Roman" w:hAnsi="Times New Roman" w:eastAsia="方正仿宋_GB2312" w:cs="Times New Roman"/>
          <w:color w:val="auto"/>
          <w:sz w:val="32"/>
          <w:szCs w:val="32"/>
          <w:highlight w:val="none"/>
          <w:lang w:val="en-US" w:eastAsia="zh-CN"/>
        </w:rPr>
        <w:t>100</w:t>
      </w:r>
      <w:r>
        <w:rPr>
          <w:rFonts w:hint="default" w:ascii="Times New Roman" w:hAnsi="Times New Roman" w:eastAsia="方正仿宋_GB2312" w:cs="Times New Roman"/>
          <w:color w:val="auto"/>
          <w:sz w:val="32"/>
          <w:szCs w:val="32"/>
          <w:highlight w:val="none"/>
        </w:rPr>
        <w:t>%。</w:t>
      </w:r>
    </w:p>
    <w:p w14:paraId="7E80E3F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114300" distR="114300">
            <wp:extent cx="4572000" cy="3255010"/>
            <wp:effectExtent l="4445" t="4445" r="14605"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D896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w:t>
      </w:r>
    </w:p>
    <w:p w14:paraId="024B3A09">
      <w:pPr>
        <w:pStyle w:val="15"/>
        <w:numPr>
          <w:ilvl w:val="0"/>
          <w:numId w:val="0"/>
        </w:numPr>
        <w:spacing w:line="600" w:lineRule="exact"/>
        <w:ind w:firstLine="640" w:firstLineChars="200"/>
        <w:outlineLvl w:val="1"/>
        <w:rPr>
          <w:rStyle w:val="14"/>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14"/>
          <w:rFonts w:hint="default" w:ascii="Times New Roman" w:hAnsi="Times New Roman" w:eastAsia="黑体" w:cs="Times New Roman"/>
          <w:b w:val="0"/>
          <w:color w:val="auto"/>
          <w:highlight w:val="none"/>
        </w:rPr>
        <w:t>出决算情况说明</w:t>
      </w:r>
    </w:p>
    <w:p w14:paraId="3F2371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本年支出合计</w:t>
      </w:r>
      <w:r>
        <w:rPr>
          <w:rFonts w:hint="default" w:ascii="Times New Roman" w:hAnsi="Times New Roman" w:eastAsia="方正仿宋_GB2312" w:cs="Times New Roman"/>
          <w:color w:val="auto"/>
          <w:sz w:val="32"/>
          <w:szCs w:val="32"/>
          <w:highlight w:val="none"/>
          <w:lang w:val="en-US" w:eastAsia="zh-CN"/>
        </w:rPr>
        <w:t>647.44</w:t>
      </w:r>
      <w:r>
        <w:rPr>
          <w:rFonts w:hint="default" w:ascii="Times New Roman" w:hAnsi="Times New Roman" w:eastAsia="方正仿宋_GB2312" w:cs="Times New Roman"/>
          <w:color w:val="auto"/>
          <w:sz w:val="32"/>
          <w:szCs w:val="32"/>
          <w:highlight w:val="none"/>
        </w:rPr>
        <w:t>万元，其中：基本支出</w:t>
      </w:r>
      <w:r>
        <w:rPr>
          <w:rFonts w:hint="default" w:ascii="Times New Roman" w:hAnsi="Times New Roman" w:eastAsia="方正仿宋_GB2312" w:cs="Times New Roman"/>
          <w:color w:val="auto"/>
          <w:sz w:val="32"/>
          <w:szCs w:val="32"/>
          <w:highlight w:val="none"/>
          <w:lang w:val="en-US" w:eastAsia="zh-CN"/>
        </w:rPr>
        <w:t>563.14</w:t>
      </w:r>
      <w:r>
        <w:rPr>
          <w:rFonts w:hint="default" w:ascii="Times New Roman" w:hAnsi="Times New Roman" w:eastAsia="方正仿宋_GB2312" w:cs="Times New Roman"/>
          <w:color w:val="auto"/>
          <w:sz w:val="32"/>
          <w:szCs w:val="32"/>
          <w:highlight w:val="none"/>
        </w:rPr>
        <w:t>万元，占</w:t>
      </w:r>
      <w:r>
        <w:rPr>
          <w:rFonts w:hint="default" w:ascii="Times New Roman" w:hAnsi="Times New Roman" w:eastAsia="方正仿宋_GB2312" w:cs="Times New Roman"/>
          <w:color w:val="auto"/>
          <w:sz w:val="32"/>
          <w:szCs w:val="32"/>
          <w:highlight w:val="none"/>
          <w:lang w:val="en-US" w:eastAsia="zh-CN"/>
        </w:rPr>
        <w:t>86.98</w:t>
      </w:r>
      <w:r>
        <w:rPr>
          <w:rFonts w:hint="default" w:ascii="Times New Roman" w:hAnsi="Times New Roman" w:eastAsia="方正仿宋_GB2312" w:cs="Times New Roman"/>
          <w:color w:val="auto"/>
          <w:sz w:val="32"/>
          <w:szCs w:val="32"/>
          <w:highlight w:val="none"/>
        </w:rPr>
        <w:t>%；项目支出</w:t>
      </w:r>
      <w:r>
        <w:rPr>
          <w:rFonts w:hint="default" w:ascii="Times New Roman" w:hAnsi="Times New Roman" w:eastAsia="方正仿宋_GB2312" w:cs="Times New Roman"/>
          <w:color w:val="auto"/>
          <w:sz w:val="32"/>
          <w:szCs w:val="32"/>
          <w:highlight w:val="none"/>
          <w:lang w:val="en-US" w:eastAsia="zh-CN"/>
        </w:rPr>
        <w:t>84.30</w:t>
      </w:r>
      <w:r>
        <w:rPr>
          <w:rFonts w:hint="default" w:ascii="Times New Roman" w:hAnsi="Times New Roman" w:eastAsia="方正仿宋_GB2312" w:cs="Times New Roman"/>
          <w:color w:val="auto"/>
          <w:sz w:val="32"/>
          <w:szCs w:val="32"/>
          <w:highlight w:val="none"/>
        </w:rPr>
        <w:t>万元，占</w:t>
      </w:r>
      <w:r>
        <w:rPr>
          <w:rFonts w:hint="default" w:ascii="Times New Roman" w:hAnsi="Times New Roman" w:eastAsia="方正仿宋_GB2312" w:cs="Times New Roman"/>
          <w:color w:val="auto"/>
          <w:sz w:val="32"/>
          <w:szCs w:val="32"/>
          <w:highlight w:val="none"/>
          <w:lang w:val="en-US" w:eastAsia="zh-CN"/>
        </w:rPr>
        <w:t>13.02</w:t>
      </w:r>
      <w:r>
        <w:rPr>
          <w:rFonts w:hint="default" w:ascii="Times New Roman" w:hAnsi="Times New Roman" w:eastAsia="方正仿宋_GB2312" w:cs="Times New Roman"/>
          <w:color w:val="auto"/>
          <w:sz w:val="32"/>
          <w:szCs w:val="32"/>
          <w:highlight w:val="none"/>
        </w:rPr>
        <w:t>%。</w:t>
      </w:r>
    </w:p>
    <w:p w14:paraId="6C3933BE">
      <w:pPr>
        <w:pStyle w:val="2"/>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color w:val="auto"/>
          <w:sz w:val="32"/>
          <w:szCs w:val="32"/>
          <w:highlight w:val="none"/>
          <w:lang w:val="en-US" w:eastAsia="zh-CN"/>
        </w:rPr>
        <w:t xml:space="preserve">   </w:t>
      </w:r>
      <w:r>
        <w:rPr>
          <w:rFonts w:hint="default" w:ascii="Times New Roman" w:hAnsi="Times New Roman" w:cs="Times New Roman"/>
        </w:rPr>
        <w:drawing>
          <wp:inline distT="0" distB="0" distL="114300" distR="114300">
            <wp:extent cx="4572000" cy="2743200"/>
            <wp:effectExtent l="6350" t="6350" r="12700" b="1270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A1ECD1">
      <w:pPr>
        <w:pStyle w:val="2"/>
        <w:jc w:val="center"/>
        <w:rPr>
          <w:rFonts w:hint="default" w:ascii="Times New Roman" w:hAnsi="Times New Roman" w:cs="Times New Roman"/>
        </w:rPr>
      </w:pPr>
    </w:p>
    <w:p w14:paraId="2BDD1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（图3：支出决算结构图）</w:t>
      </w:r>
    </w:p>
    <w:p w14:paraId="3367CDED">
      <w:pPr>
        <w:spacing w:line="600" w:lineRule="exact"/>
        <w:outlineLvl w:val="1"/>
        <w:rPr>
          <w:rFonts w:hint="default" w:ascii="Times New Roman" w:hAnsi="Times New Roman" w:eastAsia="黑体" w:cs="Times New Roman"/>
          <w:color w:val="auto"/>
          <w:sz w:val="32"/>
          <w:szCs w:val="32"/>
          <w:highlight w:val="none"/>
        </w:rPr>
      </w:pPr>
    </w:p>
    <w:p w14:paraId="71915528">
      <w:pPr>
        <w:spacing w:line="600" w:lineRule="exact"/>
        <w:ind w:firstLine="640" w:firstLineChars="200"/>
        <w:outlineLvl w:val="1"/>
        <w:rPr>
          <w:rStyle w:val="14"/>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四、财</w:t>
      </w:r>
      <w:r>
        <w:rPr>
          <w:rStyle w:val="14"/>
          <w:rFonts w:hint="default" w:ascii="Times New Roman" w:hAnsi="Times New Roman" w:eastAsia="黑体" w:cs="Times New Roman"/>
          <w:b w:val="0"/>
          <w:color w:val="auto"/>
          <w:highlight w:val="none"/>
        </w:rPr>
        <w:t>政拨款收入支出决算总体情况说明</w:t>
      </w:r>
    </w:p>
    <w:p w14:paraId="4DB193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财政拨款收、支总计</w:t>
      </w:r>
      <w:r>
        <w:rPr>
          <w:rFonts w:hint="default" w:ascii="Times New Roman" w:hAnsi="Times New Roman" w:eastAsia="方正仿宋_GB2312" w:cs="Times New Roman"/>
          <w:color w:val="auto"/>
          <w:sz w:val="32"/>
          <w:szCs w:val="32"/>
          <w:highlight w:val="none"/>
          <w:lang w:eastAsia="zh-CN"/>
        </w:rPr>
        <w:t>均为</w:t>
      </w:r>
      <w:r>
        <w:rPr>
          <w:rFonts w:hint="default" w:ascii="Times New Roman" w:hAnsi="Times New Roman" w:eastAsia="方正仿宋_GB2312" w:cs="Times New Roman"/>
          <w:color w:val="auto"/>
          <w:sz w:val="32"/>
          <w:szCs w:val="32"/>
          <w:highlight w:val="none"/>
          <w:lang w:val="en-US" w:eastAsia="zh-CN"/>
        </w:rPr>
        <w:t>647.44</w:t>
      </w:r>
      <w:r>
        <w:rPr>
          <w:rFonts w:hint="default" w:ascii="Times New Roman" w:hAnsi="Times New Roman" w:eastAsia="方正仿宋_GB2312" w:cs="Times New Roman"/>
          <w:color w:val="auto"/>
          <w:sz w:val="32"/>
          <w:szCs w:val="32"/>
          <w:highlight w:val="none"/>
        </w:rPr>
        <w:t>万元。与</w:t>
      </w: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相比，财政拨款收、支总计各减少</w:t>
      </w:r>
      <w:r>
        <w:rPr>
          <w:rFonts w:hint="default" w:ascii="Times New Roman" w:hAnsi="Times New Roman" w:eastAsia="方正仿宋_GB2312" w:cs="Times New Roman"/>
          <w:color w:val="auto"/>
          <w:sz w:val="32"/>
          <w:szCs w:val="32"/>
          <w:highlight w:val="none"/>
          <w:lang w:val="en-US" w:eastAsia="zh-CN"/>
        </w:rPr>
        <w:t>55.16</w:t>
      </w:r>
      <w:r>
        <w:rPr>
          <w:rFonts w:hint="default" w:ascii="Times New Roman" w:hAnsi="Times New Roman" w:eastAsia="方正仿宋_GB2312" w:cs="Times New Roman"/>
          <w:color w:val="auto"/>
          <w:sz w:val="32"/>
          <w:szCs w:val="32"/>
          <w:highlight w:val="none"/>
        </w:rPr>
        <w:t>万元，下降</w:t>
      </w:r>
      <w:r>
        <w:rPr>
          <w:rFonts w:hint="default" w:ascii="Times New Roman" w:hAnsi="Times New Roman" w:eastAsia="方正仿宋_GB2312" w:cs="Times New Roman"/>
          <w:color w:val="auto"/>
          <w:sz w:val="32"/>
          <w:szCs w:val="32"/>
          <w:highlight w:val="none"/>
          <w:lang w:val="en-US" w:eastAsia="zh-CN"/>
        </w:rPr>
        <w:t>7.85</w:t>
      </w:r>
      <w:r>
        <w:rPr>
          <w:rFonts w:hint="default" w:ascii="Times New Roman" w:hAnsi="Times New Roman" w:eastAsia="方正仿宋_GB2312" w:cs="Times New Roman"/>
          <w:color w:val="auto"/>
          <w:sz w:val="32"/>
          <w:szCs w:val="32"/>
          <w:highlight w:val="none"/>
        </w:rPr>
        <w:t>%。主要变动原因是</w:t>
      </w:r>
      <w:r>
        <w:rPr>
          <w:rFonts w:hint="default" w:ascii="Times New Roman" w:hAnsi="Times New Roman" w:eastAsia="方正仿宋_GB2312" w:cs="Times New Roman"/>
          <w:sz w:val="32"/>
          <w:szCs w:val="32"/>
        </w:rPr>
        <w:t>日常公用经费预算压缩、项目支出</w:t>
      </w:r>
      <w:r>
        <w:rPr>
          <w:rFonts w:hint="default" w:ascii="Times New Roman" w:hAnsi="Times New Roman" w:eastAsia="方正仿宋_GB2312" w:cs="Times New Roman"/>
          <w:sz w:val="32"/>
          <w:szCs w:val="32"/>
          <w:lang w:eastAsia="zh-CN"/>
        </w:rPr>
        <w:t>减少</w:t>
      </w:r>
      <w:r>
        <w:rPr>
          <w:rFonts w:hint="default" w:ascii="Times New Roman" w:hAnsi="Times New Roman" w:eastAsia="方正仿宋_GB2312" w:cs="Times New Roman"/>
          <w:sz w:val="32"/>
          <w:szCs w:val="32"/>
        </w:rPr>
        <w:t>。</w:t>
      </w:r>
    </w:p>
    <w:p w14:paraId="63455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849495" cy="2743200"/>
            <wp:effectExtent l="6350" t="6350" r="20955" b="1270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263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14:paraId="0BCC4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p>
    <w:p w14:paraId="586526A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jc w:val="both"/>
        <w:textAlignment w:val="auto"/>
        <w:rPr>
          <w:rStyle w:val="14"/>
          <w:rFonts w:hint="default" w:ascii="Times New Roman" w:hAnsi="Times New Roman" w:eastAsia="黑体" w:cs="Times New Roman"/>
          <w:b w:val="0"/>
          <w:color w:val="auto"/>
          <w:highlight w:val="none"/>
        </w:rPr>
      </w:pPr>
      <w:r>
        <w:rPr>
          <w:rFonts w:hint="default" w:ascii="Times New Roman" w:hAnsi="Times New Roman" w:eastAsia="黑体" w:cs="Times New Roman"/>
          <w:b/>
          <w:color w:val="auto"/>
          <w:sz w:val="32"/>
          <w:szCs w:val="32"/>
          <w:highlight w:val="none"/>
        </w:rPr>
        <w:t>一</w:t>
      </w:r>
      <w:r>
        <w:rPr>
          <w:rStyle w:val="14"/>
          <w:rFonts w:hint="default" w:ascii="Times New Roman" w:hAnsi="Times New Roman" w:eastAsia="黑体" w:cs="Times New Roman"/>
          <w:b w:val="0"/>
          <w:color w:val="auto"/>
          <w:highlight w:val="none"/>
        </w:rPr>
        <w:t>般公共预算财政拨款支出决算情况说明</w:t>
      </w:r>
    </w:p>
    <w:p w14:paraId="22E1EB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（一）一般公共预算财政拨款支出决算总体情况</w:t>
      </w:r>
    </w:p>
    <w:p w14:paraId="5912932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一般公共预算财政拨款支出</w:t>
      </w:r>
      <w:r>
        <w:rPr>
          <w:rFonts w:hint="default" w:ascii="Times New Roman" w:hAnsi="Times New Roman" w:eastAsia="方正仿宋_GB2312" w:cs="Times New Roman"/>
          <w:color w:val="auto"/>
          <w:sz w:val="32"/>
          <w:szCs w:val="32"/>
          <w:highlight w:val="none"/>
          <w:lang w:val="en-US" w:eastAsia="zh-CN"/>
        </w:rPr>
        <w:t>647.44</w:t>
      </w:r>
      <w:r>
        <w:rPr>
          <w:rFonts w:hint="default" w:ascii="Times New Roman" w:hAnsi="Times New Roman" w:eastAsia="方正仿宋_GB2312" w:cs="Times New Roman"/>
          <w:color w:val="auto"/>
          <w:sz w:val="32"/>
          <w:szCs w:val="32"/>
          <w:highlight w:val="none"/>
        </w:rPr>
        <w:t>万元，占本年支出合计的</w:t>
      </w:r>
      <w:r>
        <w:rPr>
          <w:rFonts w:hint="default" w:ascii="Times New Roman" w:hAnsi="Times New Roman" w:eastAsia="方正仿宋_GB2312" w:cs="Times New Roman"/>
          <w:color w:val="auto"/>
          <w:sz w:val="32"/>
          <w:szCs w:val="32"/>
          <w:highlight w:val="none"/>
          <w:lang w:val="en-US" w:eastAsia="zh-CN"/>
        </w:rPr>
        <w:t>100</w:t>
      </w:r>
      <w:r>
        <w:rPr>
          <w:rFonts w:hint="default" w:ascii="Times New Roman" w:hAnsi="Times New Roman" w:eastAsia="方正仿宋_GB2312" w:cs="Times New Roman"/>
          <w:color w:val="auto"/>
          <w:sz w:val="32"/>
          <w:szCs w:val="32"/>
          <w:highlight w:val="none"/>
        </w:rPr>
        <w:t>%。与</w:t>
      </w: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相比，一般公共预算财政拨款</w:t>
      </w:r>
      <w:r>
        <w:rPr>
          <w:rFonts w:hint="default" w:ascii="Times New Roman" w:hAnsi="Times New Roman" w:eastAsia="方正仿宋_GB2312" w:cs="Times New Roman"/>
          <w:color w:val="auto"/>
          <w:sz w:val="32"/>
          <w:szCs w:val="32"/>
          <w:highlight w:val="none"/>
          <w:lang w:eastAsia="zh-CN"/>
        </w:rPr>
        <w:t>支出</w:t>
      </w:r>
      <w:r>
        <w:rPr>
          <w:rFonts w:hint="default" w:ascii="Times New Roman" w:hAnsi="Times New Roman" w:eastAsia="方正仿宋_GB2312" w:cs="Times New Roman"/>
          <w:color w:val="auto"/>
          <w:sz w:val="32"/>
          <w:szCs w:val="32"/>
          <w:highlight w:val="none"/>
        </w:rPr>
        <w:t>减少</w:t>
      </w:r>
      <w:r>
        <w:rPr>
          <w:rFonts w:hint="default" w:ascii="Times New Roman" w:hAnsi="Times New Roman" w:eastAsia="方正仿宋_GB2312" w:cs="Times New Roman"/>
          <w:color w:val="auto"/>
          <w:sz w:val="32"/>
          <w:szCs w:val="32"/>
          <w:highlight w:val="none"/>
          <w:lang w:val="en-US" w:eastAsia="zh-CN"/>
        </w:rPr>
        <w:t>55.16</w:t>
      </w:r>
      <w:r>
        <w:rPr>
          <w:rFonts w:hint="default" w:ascii="Times New Roman" w:hAnsi="Times New Roman" w:eastAsia="方正仿宋_GB2312" w:cs="Times New Roman"/>
          <w:color w:val="auto"/>
          <w:sz w:val="32"/>
          <w:szCs w:val="32"/>
          <w:highlight w:val="none"/>
        </w:rPr>
        <w:t>万元，下降</w:t>
      </w:r>
      <w:r>
        <w:rPr>
          <w:rFonts w:hint="default" w:ascii="Times New Roman" w:hAnsi="Times New Roman" w:eastAsia="方正仿宋_GB2312" w:cs="Times New Roman"/>
          <w:color w:val="auto"/>
          <w:sz w:val="32"/>
          <w:szCs w:val="32"/>
          <w:highlight w:val="none"/>
          <w:lang w:val="en-US" w:eastAsia="zh-CN"/>
        </w:rPr>
        <w:t>7.85</w:t>
      </w:r>
      <w:r>
        <w:rPr>
          <w:rFonts w:hint="default" w:ascii="Times New Roman" w:hAnsi="Times New Roman" w:eastAsia="方正仿宋_GB2312" w:cs="Times New Roman"/>
          <w:color w:val="auto"/>
          <w:sz w:val="32"/>
          <w:szCs w:val="32"/>
          <w:highlight w:val="none"/>
        </w:rPr>
        <w:t>%。主要变动原因是</w:t>
      </w:r>
      <w:r>
        <w:rPr>
          <w:rFonts w:hint="default" w:ascii="Times New Roman" w:hAnsi="Times New Roman" w:eastAsia="方正仿宋_GB2312" w:cs="Times New Roman"/>
          <w:sz w:val="32"/>
          <w:szCs w:val="32"/>
        </w:rPr>
        <w:t>日常公用经费预算压缩、项目支出</w:t>
      </w:r>
      <w:r>
        <w:rPr>
          <w:rFonts w:hint="default" w:ascii="Times New Roman" w:hAnsi="Times New Roman" w:eastAsia="方正仿宋_GB2312" w:cs="Times New Roman"/>
          <w:sz w:val="32"/>
          <w:szCs w:val="32"/>
          <w:lang w:eastAsia="zh-CN"/>
        </w:rPr>
        <w:t>减少</w:t>
      </w:r>
      <w:r>
        <w:rPr>
          <w:rFonts w:hint="default" w:ascii="Times New Roman" w:hAnsi="Times New Roman" w:eastAsia="方正仿宋_GB2312" w:cs="Times New Roman"/>
          <w:sz w:val="32"/>
          <w:szCs w:val="32"/>
        </w:rPr>
        <w:t>。</w:t>
      </w:r>
    </w:p>
    <w:p w14:paraId="3A7D8CC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721860" cy="3105150"/>
            <wp:effectExtent l="6350" t="6350" r="15240" b="1270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A8AC8C">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14:paraId="692C6371">
      <w:pPr>
        <w:spacing w:line="600" w:lineRule="exact"/>
        <w:outlineLvl w:val="2"/>
        <w:rPr>
          <w:rFonts w:hint="default" w:ascii="Times New Roman" w:hAnsi="Times New Roman" w:eastAsia="仿宋" w:cs="Times New Roman"/>
          <w:b/>
          <w:color w:val="auto"/>
          <w:sz w:val="32"/>
          <w:szCs w:val="32"/>
          <w:highlight w:val="none"/>
        </w:rPr>
      </w:pPr>
    </w:p>
    <w:p w14:paraId="18D8EB90">
      <w:pPr>
        <w:spacing w:line="600" w:lineRule="exact"/>
        <w:ind w:firstLine="321" w:firstLineChars="10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p>
    <w:p w14:paraId="0C606064">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一般公共预算财政拨款支出</w:t>
      </w:r>
      <w:r>
        <w:rPr>
          <w:rFonts w:hint="default" w:ascii="Times New Roman" w:hAnsi="Times New Roman" w:eastAsia="方正仿宋_GB2312" w:cs="Times New Roman"/>
          <w:b/>
          <w:bCs/>
          <w:color w:val="auto"/>
          <w:sz w:val="32"/>
          <w:szCs w:val="32"/>
          <w:highlight w:val="none"/>
          <w:lang w:val="en-US" w:eastAsia="zh-CN"/>
        </w:rPr>
        <w:t>647.44</w:t>
      </w:r>
      <w:r>
        <w:rPr>
          <w:rFonts w:hint="default" w:ascii="Times New Roman" w:hAnsi="Times New Roman" w:eastAsia="方正仿宋_GB2312" w:cs="Times New Roman"/>
          <w:color w:val="auto"/>
          <w:sz w:val="32"/>
          <w:szCs w:val="32"/>
          <w:highlight w:val="none"/>
        </w:rPr>
        <w:t>万元，主要用于以下方面</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b w:val="0"/>
          <w:bCs/>
          <w:color w:val="auto"/>
          <w:sz w:val="32"/>
          <w:szCs w:val="32"/>
          <w:highlight w:val="none"/>
        </w:rPr>
        <w:t>文化旅游体育与传媒支出</w:t>
      </w:r>
      <w:r>
        <w:rPr>
          <w:rFonts w:hint="default" w:ascii="Times New Roman" w:hAnsi="Times New Roman" w:eastAsia="方正仿宋_GB2312" w:cs="Times New Roman"/>
          <w:b w:val="0"/>
          <w:bCs/>
          <w:color w:val="auto"/>
          <w:sz w:val="32"/>
          <w:szCs w:val="32"/>
          <w:highlight w:val="none"/>
          <w:lang w:val="en-US" w:eastAsia="zh-CN"/>
        </w:rPr>
        <w:t>446.56</w:t>
      </w:r>
      <w:r>
        <w:rPr>
          <w:rFonts w:hint="default" w:ascii="Times New Roman" w:hAnsi="Times New Roman" w:eastAsia="方正仿宋_GB2312" w:cs="Times New Roman"/>
          <w:b w:val="0"/>
          <w:bCs/>
          <w:color w:val="auto"/>
          <w:sz w:val="32"/>
          <w:szCs w:val="32"/>
          <w:highlight w:val="none"/>
        </w:rPr>
        <w:t>万元，占</w:t>
      </w:r>
      <w:r>
        <w:rPr>
          <w:rFonts w:hint="default" w:ascii="Times New Roman" w:hAnsi="Times New Roman" w:eastAsia="方正仿宋_GB2312" w:cs="Times New Roman"/>
          <w:b w:val="0"/>
          <w:bCs/>
          <w:color w:val="auto"/>
          <w:sz w:val="32"/>
          <w:szCs w:val="32"/>
          <w:highlight w:val="none"/>
          <w:lang w:val="en-US" w:eastAsia="zh-CN"/>
        </w:rPr>
        <w:t>68.97</w:t>
      </w:r>
      <w:r>
        <w:rPr>
          <w:rFonts w:hint="default" w:ascii="Times New Roman" w:hAnsi="Times New Roman" w:eastAsia="方正仿宋_GB2312" w:cs="Times New Roman"/>
          <w:b w:val="0"/>
          <w:bCs/>
          <w:color w:val="auto"/>
          <w:sz w:val="32"/>
          <w:szCs w:val="32"/>
          <w:highlight w:val="none"/>
        </w:rPr>
        <w:t>%；社会保障和就业支出</w:t>
      </w:r>
      <w:r>
        <w:rPr>
          <w:rFonts w:hint="default" w:ascii="Times New Roman" w:hAnsi="Times New Roman" w:eastAsia="方正仿宋_GB2312" w:cs="Times New Roman"/>
          <w:b w:val="0"/>
          <w:bCs/>
          <w:color w:val="auto"/>
          <w:sz w:val="32"/>
          <w:szCs w:val="32"/>
          <w:highlight w:val="none"/>
          <w:lang w:val="en-US" w:eastAsia="zh-CN"/>
        </w:rPr>
        <w:t>130.38</w:t>
      </w:r>
      <w:r>
        <w:rPr>
          <w:rFonts w:hint="default" w:ascii="Times New Roman" w:hAnsi="Times New Roman" w:eastAsia="方正仿宋_GB2312" w:cs="Times New Roman"/>
          <w:b w:val="0"/>
          <w:bCs/>
          <w:color w:val="auto"/>
          <w:sz w:val="32"/>
          <w:szCs w:val="32"/>
          <w:highlight w:val="none"/>
        </w:rPr>
        <w:t>万元，占</w:t>
      </w:r>
      <w:r>
        <w:rPr>
          <w:rFonts w:hint="default" w:ascii="Times New Roman" w:hAnsi="Times New Roman" w:eastAsia="方正仿宋_GB2312" w:cs="Times New Roman"/>
          <w:b w:val="0"/>
          <w:bCs/>
          <w:color w:val="auto"/>
          <w:sz w:val="32"/>
          <w:szCs w:val="32"/>
          <w:highlight w:val="none"/>
          <w:lang w:val="en-US" w:eastAsia="zh-CN"/>
        </w:rPr>
        <w:t>20.14</w:t>
      </w:r>
      <w:r>
        <w:rPr>
          <w:rFonts w:hint="default" w:ascii="Times New Roman" w:hAnsi="Times New Roman" w:eastAsia="方正仿宋_GB2312" w:cs="Times New Roman"/>
          <w:b w:val="0"/>
          <w:bCs/>
          <w:color w:val="auto"/>
          <w:sz w:val="32"/>
          <w:szCs w:val="32"/>
          <w:highlight w:val="none"/>
        </w:rPr>
        <w:t>%；卫生健康支出</w:t>
      </w:r>
      <w:r>
        <w:rPr>
          <w:rFonts w:hint="default" w:ascii="Times New Roman" w:hAnsi="Times New Roman" w:eastAsia="方正仿宋_GB2312" w:cs="Times New Roman"/>
          <w:b w:val="0"/>
          <w:bCs/>
          <w:color w:val="auto"/>
          <w:sz w:val="32"/>
          <w:szCs w:val="32"/>
          <w:highlight w:val="none"/>
          <w:lang w:val="en-US" w:eastAsia="zh-CN"/>
        </w:rPr>
        <w:t>31.76</w:t>
      </w:r>
      <w:r>
        <w:rPr>
          <w:rFonts w:hint="default" w:ascii="Times New Roman" w:hAnsi="Times New Roman" w:eastAsia="方正仿宋_GB2312" w:cs="Times New Roman"/>
          <w:b w:val="0"/>
          <w:bCs/>
          <w:color w:val="auto"/>
          <w:sz w:val="32"/>
          <w:szCs w:val="32"/>
          <w:highlight w:val="none"/>
        </w:rPr>
        <w:t>万元，占</w:t>
      </w:r>
      <w:r>
        <w:rPr>
          <w:rFonts w:hint="default" w:ascii="Times New Roman" w:hAnsi="Times New Roman" w:eastAsia="方正仿宋_GB2312" w:cs="Times New Roman"/>
          <w:b w:val="0"/>
          <w:bCs/>
          <w:color w:val="auto"/>
          <w:sz w:val="32"/>
          <w:szCs w:val="32"/>
          <w:highlight w:val="none"/>
          <w:lang w:val="en-US" w:eastAsia="zh-CN"/>
        </w:rPr>
        <w:t>4.91</w:t>
      </w:r>
      <w:r>
        <w:rPr>
          <w:rFonts w:hint="default" w:ascii="Times New Roman" w:hAnsi="Times New Roman" w:eastAsia="方正仿宋_GB2312" w:cs="Times New Roman"/>
          <w:b w:val="0"/>
          <w:bCs/>
          <w:color w:val="auto"/>
          <w:sz w:val="32"/>
          <w:szCs w:val="32"/>
          <w:highlight w:val="none"/>
        </w:rPr>
        <w:t>%；住房保障支出</w:t>
      </w:r>
      <w:r>
        <w:rPr>
          <w:rFonts w:hint="default" w:ascii="Times New Roman" w:hAnsi="Times New Roman" w:eastAsia="方正仿宋_GB2312" w:cs="Times New Roman"/>
          <w:b w:val="0"/>
          <w:bCs/>
          <w:color w:val="auto"/>
          <w:sz w:val="32"/>
          <w:szCs w:val="32"/>
          <w:highlight w:val="none"/>
          <w:lang w:val="en-US" w:eastAsia="zh-CN"/>
        </w:rPr>
        <w:t>38.75</w:t>
      </w:r>
      <w:r>
        <w:rPr>
          <w:rFonts w:hint="default" w:ascii="Times New Roman" w:hAnsi="Times New Roman" w:eastAsia="方正仿宋_GB2312" w:cs="Times New Roman"/>
          <w:b w:val="0"/>
          <w:bCs/>
          <w:color w:val="auto"/>
          <w:sz w:val="32"/>
          <w:szCs w:val="32"/>
          <w:highlight w:val="none"/>
        </w:rPr>
        <w:t>万元，占</w:t>
      </w:r>
      <w:r>
        <w:rPr>
          <w:rFonts w:hint="default" w:ascii="Times New Roman" w:hAnsi="Times New Roman" w:eastAsia="方正仿宋_GB2312" w:cs="Times New Roman"/>
          <w:b w:val="0"/>
          <w:bCs/>
          <w:color w:val="auto"/>
          <w:sz w:val="32"/>
          <w:szCs w:val="32"/>
          <w:highlight w:val="none"/>
          <w:lang w:val="en-US" w:eastAsia="zh-CN"/>
        </w:rPr>
        <w:t>5.98</w:t>
      </w:r>
      <w:r>
        <w:rPr>
          <w:rFonts w:hint="default" w:ascii="Times New Roman" w:hAnsi="Times New Roman" w:eastAsia="方正仿宋_GB2312" w:cs="Times New Roman"/>
          <w:b w:val="0"/>
          <w:bCs/>
          <w:color w:val="auto"/>
          <w:sz w:val="32"/>
          <w:szCs w:val="32"/>
          <w:highlight w:val="none"/>
        </w:rPr>
        <w:t>%。</w:t>
      </w:r>
    </w:p>
    <w:p w14:paraId="76F75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572000" cy="274320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8D895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w:t>
      </w:r>
    </w:p>
    <w:p w14:paraId="3EBD4F76">
      <w:pPr>
        <w:spacing w:line="600" w:lineRule="exact"/>
        <w:ind w:firstLine="643" w:firstLineChars="20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（三）一般公共预算财政拨款支出决算具体情况</w:t>
      </w:r>
    </w:p>
    <w:p w14:paraId="05922C35">
      <w:pPr>
        <w:spacing w:line="600" w:lineRule="exact"/>
        <w:ind w:firstLine="640" w:firstLineChars="200"/>
        <w:outlineLvl w:val="2"/>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lang w:eastAsia="zh-CN"/>
        </w:rPr>
        <w:t>202</w:t>
      </w:r>
      <w:r>
        <w:rPr>
          <w:rFonts w:hint="default" w:ascii="Times New Roman" w:hAnsi="Times New Roman" w:eastAsia="方正仿宋_GB2312" w:cs="Times New Roman"/>
          <w:b w:val="0"/>
          <w:bCs/>
          <w:color w:val="auto"/>
          <w:sz w:val="32"/>
          <w:szCs w:val="32"/>
          <w:highlight w:val="none"/>
          <w:lang w:val="en-US" w:eastAsia="zh-CN"/>
        </w:rPr>
        <w:t>4</w:t>
      </w:r>
      <w:r>
        <w:rPr>
          <w:rFonts w:hint="default" w:ascii="Times New Roman" w:hAnsi="Times New Roman" w:eastAsia="方正仿宋_GB2312" w:cs="Times New Roman"/>
          <w:b w:val="0"/>
          <w:bCs/>
          <w:color w:val="auto"/>
          <w:sz w:val="32"/>
          <w:szCs w:val="32"/>
          <w:highlight w:val="none"/>
        </w:rPr>
        <w:t>年</w:t>
      </w:r>
      <w:r>
        <w:rPr>
          <w:rFonts w:hint="default" w:ascii="Times New Roman" w:hAnsi="Times New Roman" w:eastAsia="方正仿宋_GB2312" w:cs="Times New Roman"/>
          <w:b w:val="0"/>
          <w:bCs/>
          <w:color w:val="auto"/>
          <w:sz w:val="32"/>
          <w:szCs w:val="32"/>
          <w:highlight w:val="none"/>
          <w:lang w:eastAsia="zh-CN"/>
        </w:rPr>
        <w:t>度一</w:t>
      </w:r>
      <w:r>
        <w:rPr>
          <w:rFonts w:hint="default" w:ascii="Times New Roman" w:hAnsi="Times New Roman" w:eastAsia="方正仿宋_GB2312" w:cs="Times New Roman"/>
          <w:b w:val="0"/>
          <w:bCs/>
          <w:color w:val="auto"/>
          <w:sz w:val="32"/>
          <w:szCs w:val="32"/>
          <w:highlight w:val="none"/>
        </w:rPr>
        <w:t>般公共预算支出决算数为</w:t>
      </w:r>
      <w:r>
        <w:rPr>
          <w:rFonts w:hint="default" w:ascii="Times New Roman" w:hAnsi="Times New Roman" w:eastAsia="方正仿宋_GB2312" w:cs="Times New Roman"/>
          <w:b w:val="0"/>
          <w:bCs/>
          <w:color w:val="auto"/>
          <w:sz w:val="32"/>
          <w:szCs w:val="32"/>
          <w:highlight w:val="none"/>
          <w:lang w:val="en-US" w:eastAsia="zh-CN"/>
        </w:rPr>
        <w:t>647.44万元</w:t>
      </w:r>
      <w:r>
        <w:rPr>
          <w:rFonts w:hint="default" w:ascii="Times New Roman" w:hAnsi="Times New Roman" w:eastAsia="方正仿宋_GB2312" w:cs="Times New Roman"/>
          <w:b w:val="0"/>
          <w:bCs/>
          <w:color w:val="auto"/>
          <w:sz w:val="32"/>
          <w:szCs w:val="32"/>
          <w:highlight w:val="none"/>
        </w:rPr>
        <w:t>，</w:t>
      </w:r>
      <w:r>
        <w:rPr>
          <w:rStyle w:val="12"/>
          <w:rFonts w:hint="default" w:ascii="Times New Roman" w:hAnsi="Times New Roman" w:eastAsia="方正仿宋_GB2312" w:cs="Times New Roman"/>
          <w:b w:val="0"/>
          <w:bCs/>
          <w:color w:val="auto"/>
          <w:sz w:val="32"/>
          <w:szCs w:val="32"/>
          <w:highlight w:val="none"/>
        </w:rPr>
        <w:t>完成预算</w:t>
      </w:r>
      <w:r>
        <w:rPr>
          <w:rStyle w:val="12"/>
          <w:rFonts w:hint="default" w:ascii="Times New Roman" w:hAnsi="Times New Roman" w:eastAsia="方正仿宋_GB2312" w:cs="Times New Roman"/>
          <w:b w:val="0"/>
          <w:bCs/>
          <w:color w:val="auto"/>
          <w:sz w:val="32"/>
          <w:szCs w:val="32"/>
          <w:highlight w:val="none"/>
          <w:lang w:val="en-US" w:eastAsia="zh-CN"/>
        </w:rPr>
        <w:t>100</w:t>
      </w:r>
      <w:r>
        <w:rPr>
          <w:rStyle w:val="12"/>
          <w:rFonts w:hint="default" w:ascii="Times New Roman" w:hAnsi="Times New Roman" w:eastAsia="方正仿宋_GB2312" w:cs="Times New Roman"/>
          <w:b w:val="0"/>
          <w:bCs/>
          <w:color w:val="auto"/>
          <w:sz w:val="32"/>
          <w:szCs w:val="32"/>
          <w:highlight w:val="none"/>
        </w:rPr>
        <w:t>%。其中：</w:t>
      </w:r>
    </w:p>
    <w:p w14:paraId="22F9B152">
      <w:pPr>
        <w:autoSpaceDE w:val="0"/>
        <w:autoSpaceDN w:val="0"/>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1</w:t>
      </w:r>
      <w:r>
        <w:rPr>
          <w:rFonts w:hint="default" w:ascii="Times New Roman" w:hAnsi="Times New Roman" w:eastAsia="方正仿宋_GB2312" w:cs="Times New Roman"/>
          <w:b w:val="0"/>
          <w:bCs/>
          <w:kern w:val="0"/>
          <w:sz w:val="32"/>
          <w:szCs w:val="32"/>
        </w:rPr>
        <w:t>．文化旅游体育与传媒支出（类）文化和旅游（款）群众文化（项）：支出决算为</w:t>
      </w:r>
      <w:r>
        <w:rPr>
          <w:rFonts w:hint="default" w:ascii="Times New Roman" w:hAnsi="Times New Roman" w:eastAsia="方正仿宋_GB2312" w:cs="Times New Roman"/>
          <w:b w:val="0"/>
          <w:bCs/>
          <w:kern w:val="0"/>
          <w:sz w:val="32"/>
          <w:szCs w:val="32"/>
          <w:lang w:val="en-US" w:eastAsia="zh-CN"/>
        </w:rPr>
        <w:t>372.26</w:t>
      </w:r>
      <w:r>
        <w:rPr>
          <w:rFonts w:hint="default" w:ascii="Times New Roman" w:hAnsi="Times New Roman" w:eastAsia="方正仿宋_GB2312" w:cs="Times New Roman"/>
          <w:b w:val="0"/>
          <w:bCs/>
          <w:kern w:val="0"/>
          <w:sz w:val="32"/>
          <w:szCs w:val="32"/>
        </w:rPr>
        <w:t>万元，完成预算100%。</w:t>
      </w:r>
    </w:p>
    <w:p w14:paraId="30EB1BA9">
      <w:pPr>
        <w:spacing w:line="600" w:lineRule="exact"/>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2</w:t>
      </w:r>
      <w:r>
        <w:rPr>
          <w:rFonts w:hint="default" w:ascii="Times New Roman" w:hAnsi="Times New Roman" w:eastAsia="方正仿宋_GB2312" w:cs="Times New Roman"/>
          <w:b w:val="0"/>
          <w:bCs/>
          <w:kern w:val="0"/>
          <w:sz w:val="32"/>
          <w:szCs w:val="32"/>
        </w:rPr>
        <w:t>．文化旅游体育与传媒支出（类）文化和旅游（款）其他文化</w:t>
      </w:r>
      <w:r>
        <w:rPr>
          <w:rFonts w:hint="default" w:ascii="Times New Roman" w:hAnsi="Times New Roman" w:eastAsia="方正仿宋_GB2312" w:cs="Times New Roman"/>
          <w:b w:val="0"/>
          <w:bCs/>
          <w:kern w:val="0"/>
          <w:sz w:val="32"/>
          <w:szCs w:val="32"/>
          <w:lang w:eastAsia="zh-CN"/>
        </w:rPr>
        <w:t>和</w:t>
      </w:r>
      <w:r>
        <w:rPr>
          <w:rFonts w:hint="default" w:ascii="Times New Roman" w:hAnsi="Times New Roman" w:eastAsia="方正仿宋_GB2312" w:cs="Times New Roman"/>
          <w:b w:val="0"/>
          <w:bCs/>
          <w:kern w:val="0"/>
          <w:sz w:val="32"/>
          <w:szCs w:val="32"/>
        </w:rPr>
        <w:t>旅游支出（项）：支出决算为</w:t>
      </w:r>
      <w:r>
        <w:rPr>
          <w:rFonts w:hint="default" w:ascii="Times New Roman" w:hAnsi="Times New Roman" w:eastAsia="方正仿宋_GB2312" w:cs="Times New Roman"/>
          <w:b w:val="0"/>
          <w:bCs/>
          <w:kern w:val="0"/>
          <w:sz w:val="32"/>
          <w:szCs w:val="32"/>
          <w:lang w:val="en-US" w:eastAsia="zh-CN"/>
        </w:rPr>
        <w:t>2.00</w:t>
      </w:r>
      <w:r>
        <w:rPr>
          <w:rFonts w:hint="default" w:ascii="Times New Roman" w:hAnsi="Times New Roman" w:eastAsia="方正仿宋_GB2312" w:cs="Times New Roman"/>
          <w:b w:val="0"/>
          <w:bCs/>
          <w:kern w:val="0"/>
          <w:sz w:val="32"/>
          <w:szCs w:val="32"/>
        </w:rPr>
        <w:t>万元，完成预算100%。</w:t>
      </w:r>
    </w:p>
    <w:p w14:paraId="0E121A44">
      <w:pPr>
        <w:spacing w:line="600" w:lineRule="exact"/>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3</w:t>
      </w:r>
      <w:r>
        <w:rPr>
          <w:rFonts w:hint="default" w:ascii="Times New Roman" w:hAnsi="Times New Roman" w:eastAsia="方正仿宋_GB2312" w:cs="Times New Roman"/>
          <w:b w:val="0"/>
          <w:bCs/>
          <w:kern w:val="0"/>
          <w:sz w:val="32"/>
          <w:szCs w:val="32"/>
        </w:rPr>
        <w:t>．文化旅游体育与传媒支出（类）其他文化旅游体育与传媒支出（款）其他文化旅游体育与传媒支出（项）：支出决算为</w:t>
      </w:r>
      <w:r>
        <w:rPr>
          <w:rFonts w:hint="default" w:ascii="Times New Roman" w:hAnsi="Times New Roman" w:eastAsia="方正仿宋_GB2312" w:cs="Times New Roman"/>
          <w:b w:val="0"/>
          <w:bCs/>
          <w:kern w:val="0"/>
          <w:sz w:val="32"/>
          <w:szCs w:val="32"/>
          <w:lang w:val="en-US" w:eastAsia="zh-CN"/>
        </w:rPr>
        <w:t>72.30</w:t>
      </w:r>
      <w:r>
        <w:rPr>
          <w:rFonts w:hint="default" w:ascii="Times New Roman" w:hAnsi="Times New Roman" w:eastAsia="方正仿宋_GB2312" w:cs="Times New Roman"/>
          <w:b w:val="0"/>
          <w:bCs/>
          <w:kern w:val="0"/>
          <w:sz w:val="32"/>
          <w:szCs w:val="32"/>
        </w:rPr>
        <w:t>万元，完成预算100%。</w:t>
      </w:r>
    </w:p>
    <w:p w14:paraId="7DCE237E">
      <w:pPr>
        <w:autoSpaceDE w:val="0"/>
        <w:autoSpaceDN w:val="0"/>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rPr>
        <w:t>4．社会保障和就业支出（类）行政事业单位养老支出（款）事业单位离退休（项）：支出决算为</w:t>
      </w:r>
      <w:r>
        <w:rPr>
          <w:rFonts w:hint="default" w:ascii="Times New Roman" w:hAnsi="Times New Roman" w:eastAsia="方正仿宋_GB2312" w:cs="Times New Roman"/>
          <w:b w:val="0"/>
          <w:bCs/>
          <w:kern w:val="0"/>
          <w:sz w:val="32"/>
          <w:szCs w:val="32"/>
          <w:lang w:val="en-US" w:eastAsia="zh-CN"/>
        </w:rPr>
        <w:t>69.96</w:t>
      </w:r>
      <w:r>
        <w:rPr>
          <w:rFonts w:hint="default" w:ascii="Times New Roman" w:hAnsi="Times New Roman" w:eastAsia="方正仿宋_GB2312" w:cs="Times New Roman"/>
          <w:b w:val="0"/>
          <w:bCs/>
          <w:kern w:val="0"/>
          <w:sz w:val="32"/>
          <w:szCs w:val="32"/>
        </w:rPr>
        <w:t>万元，完成预算100%。</w:t>
      </w:r>
    </w:p>
    <w:p w14:paraId="7F78968E">
      <w:pPr>
        <w:autoSpaceDE w:val="0"/>
        <w:autoSpaceDN w:val="0"/>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rPr>
        <w:t>5．社会保障和就业支出（类）行政事业单位养老支出（款）机关事业单位基本养老保险缴费支出（项）：支出决算为</w:t>
      </w:r>
      <w:r>
        <w:rPr>
          <w:rFonts w:hint="default" w:ascii="Times New Roman" w:hAnsi="Times New Roman" w:eastAsia="方正仿宋_GB2312" w:cs="Times New Roman"/>
          <w:b w:val="0"/>
          <w:bCs/>
          <w:kern w:val="0"/>
          <w:sz w:val="32"/>
          <w:szCs w:val="32"/>
          <w:lang w:val="en-US" w:eastAsia="zh-CN"/>
        </w:rPr>
        <w:t>51.27</w:t>
      </w:r>
      <w:r>
        <w:rPr>
          <w:rFonts w:hint="default" w:ascii="Times New Roman" w:hAnsi="Times New Roman" w:eastAsia="方正仿宋_GB2312" w:cs="Times New Roman"/>
          <w:b w:val="0"/>
          <w:bCs/>
          <w:kern w:val="0"/>
          <w:sz w:val="32"/>
          <w:szCs w:val="32"/>
        </w:rPr>
        <w:t>万元，完成预算100%。</w:t>
      </w:r>
    </w:p>
    <w:p w14:paraId="3469D44D">
      <w:pPr>
        <w:autoSpaceDE w:val="0"/>
        <w:autoSpaceDN w:val="0"/>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rPr>
        <w:t>6．社会保障和就业支出（类）行政事业单位养老支出（款）机关事业单位职业年金缴费支出（项）：支出决算为</w:t>
      </w:r>
      <w:r>
        <w:rPr>
          <w:rFonts w:hint="default" w:ascii="Times New Roman" w:hAnsi="Times New Roman" w:eastAsia="方正仿宋_GB2312" w:cs="Times New Roman"/>
          <w:b w:val="0"/>
          <w:bCs/>
          <w:kern w:val="0"/>
          <w:sz w:val="32"/>
          <w:szCs w:val="32"/>
          <w:lang w:val="en-US" w:eastAsia="zh-CN"/>
        </w:rPr>
        <w:t>9.15</w:t>
      </w:r>
      <w:r>
        <w:rPr>
          <w:rFonts w:hint="default" w:ascii="Times New Roman" w:hAnsi="Times New Roman" w:eastAsia="方正仿宋_GB2312" w:cs="Times New Roman"/>
          <w:b w:val="0"/>
          <w:bCs/>
          <w:kern w:val="0"/>
          <w:sz w:val="32"/>
          <w:szCs w:val="32"/>
        </w:rPr>
        <w:t>万元，完成预算100%。</w:t>
      </w:r>
    </w:p>
    <w:p w14:paraId="16D24D1F">
      <w:pPr>
        <w:pStyle w:val="2"/>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7</w:t>
      </w:r>
      <w:r>
        <w:rPr>
          <w:rFonts w:hint="default" w:ascii="Times New Roman" w:hAnsi="Times New Roman" w:eastAsia="方正仿宋_GB2312" w:cs="Times New Roman"/>
          <w:b w:val="0"/>
          <w:bCs/>
          <w:kern w:val="0"/>
          <w:sz w:val="32"/>
          <w:szCs w:val="32"/>
        </w:rPr>
        <w:t>．社会保障和就业支出（类）</w:t>
      </w:r>
      <w:r>
        <w:rPr>
          <w:rFonts w:hint="default" w:ascii="Times New Roman" w:hAnsi="Times New Roman" w:eastAsia="方正仿宋_GB2312" w:cs="Times New Roman"/>
          <w:b w:val="0"/>
          <w:bCs/>
          <w:kern w:val="0"/>
          <w:sz w:val="32"/>
          <w:szCs w:val="32"/>
          <w:lang w:eastAsia="zh-CN"/>
        </w:rPr>
        <w:t>抚恤</w:t>
      </w:r>
      <w:r>
        <w:rPr>
          <w:rFonts w:hint="default" w:ascii="Times New Roman" w:hAnsi="Times New Roman" w:eastAsia="方正仿宋_GB2312" w:cs="Times New Roman"/>
          <w:b w:val="0"/>
          <w:bCs/>
          <w:kern w:val="0"/>
          <w:sz w:val="32"/>
          <w:szCs w:val="32"/>
        </w:rPr>
        <w:t>（款）</w:t>
      </w:r>
      <w:r>
        <w:rPr>
          <w:rFonts w:hint="default" w:ascii="Times New Roman" w:hAnsi="Times New Roman" w:eastAsia="方正仿宋_GB2312" w:cs="Times New Roman"/>
          <w:b w:val="0"/>
          <w:bCs/>
          <w:kern w:val="0"/>
          <w:sz w:val="32"/>
          <w:szCs w:val="32"/>
          <w:lang w:eastAsia="zh-CN"/>
        </w:rPr>
        <w:t>死亡抚恤</w:t>
      </w:r>
      <w:r>
        <w:rPr>
          <w:rFonts w:hint="default" w:ascii="Times New Roman" w:hAnsi="Times New Roman" w:eastAsia="方正仿宋_GB2312" w:cs="Times New Roman"/>
          <w:b w:val="0"/>
          <w:bCs/>
          <w:kern w:val="0"/>
          <w:sz w:val="32"/>
          <w:szCs w:val="32"/>
        </w:rPr>
        <w:t>（项）：支出决算为</w:t>
      </w:r>
      <w:r>
        <w:rPr>
          <w:rFonts w:hint="default" w:ascii="Times New Roman" w:hAnsi="Times New Roman" w:eastAsia="方正仿宋_GB2312" w:cs="Times New Roman"/>
          <w:b w:val="0"/>
          <w:bCs/>
          <w:kern w:val="0"/>
          <w:sz w:val="32"/>
          <w:szCs w:val="32"/>
          <w:lang w:val="en-US" w:eastAsia="zh-CN"/>
        </w:rPr>
        <w:t>7.67</w:t>
      </w:r>
      <w:r>
        <w:rPr>
          <w:rFonts w:hint="default" w:ascii="Times New Roman" w:hAnsi="Times New Roman" w:eastAsia="方正仿宋_GB2312" w:cs="Times New Roman"/>
          <w:b w:val="0"/>
          <w:bCs/>
          <w:kern w:val="0"/>
          <w:sz w:val="32"/>
          <w:szCs w:val="32"/>
        </w:rPr>
        <w:t>万元，完成预算100%。</w:t>
      </w:r>
    </w:p>
    <w:p w14:paraId="24C42CCA">
      <w:pPr>
        <w:pStyle w:val="2"/>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8</w:t>
      </w:r>
      <w:r>
        <w:rPr>
          <w:rFonts w:hint="default" w:ascii="Times New Roman" w:hAnsi="Times New Roman" w:eastAsia="方正仿宋_GB2312" w:cs="Times New Roman"/>
          <w:b w:val="0"/>
          <w:bCs/>
          <w:kern w:val="0"/>
          <w:sz w:val="32"/>
          <w:szCs w:val="32"/>
        </w:rPr>
        <w:t>．</w:t>
      </w:r>
      <w:r>
        <w:rPr>
          <w:rFonts w:hint="default" w:ascii="Times New Roman" w:hAnsi="Times New Roman" w:eastAsia="方正仿宋_GB2312" w:cs="Times New Roman"/>
          <w:b w:val="0"/>
          <w:bCs/>
          <w:kern w:val="0"/>
          <w:sz w:val="32"/>
          <w:szCs w:val="32"/>
          <w:lang w:eastAsia="zh-CN"/>
        </w:rPr>
        <w:t>卫生健康支出</w:t>
      </w:r>
      <w:r>
        <w:rPr>
          <w:rFonts w:hint="default" w:ascii="Times New Roman" w:hAnsi="Times New Roman" w:eastAsia="方正仿宋_GB2312" w:cs="Times New Roman"/>
          <w:b w:val="0"/>
          <w:bCs/>
          <w:kern w:val="0"/>
          <w:sz w:val="32"/>
          <w:szCs w:val="32"/>
        </w:rPr>
        <w:t>（类）</w:t>
      </w:r>
      <w:r>
        <w:rPr>
          <w:rFonts w:hint="default" w:ascii="Times New Roman" w:hAnsi="Times New Roman" w:eastAsia="方正仿宋_GB2312" w:cs="Times New Roman"/>
          <w:b w:val="0"/>
          <w:bCs/>
          <w:kern w:val="0"/>
          <w:sz w:val="32"/>
          <w:szCs w:val="32"/>
          <w:lang w:eastAsia="zh-CN"/>
        </w:rPr>
        <w:t>行政事业单位医疗</w:t>
      </w:r>
      <w:r>
        <w:rPr>
          <w:rFonts w:hint="default" w:ascii="Times New Roman" w:hAnsi="Times New Roman" w:eastAsia="方正仿宋_GB2312" w:cs="Times New Roman"/>
          <w:b w:val="0"/>
          <w:bCs/>
          <w:kern w:val="0"/>
          <w:sz w:val="32"/>
          <w:szCs w:val="32"/>
        </w:rPr>
        <w:t>（款）</w:t>
      </w:r>
      <w:r>
        <w:rPr>
          <w:rFonts w:hint="default" w:ascii="Times New Roman" w:hAnsi="Times New Roman" w:eastAsia="方正仿宋_GB2312" w:cs="Times New Roman"/>
          <w:b w:val="0"/>
          <w:bCs/>
          <w:kern w:val="0"/>
          <w:sz w:val="32"/>
          <w:szCs w:val="32"/>
          <w:lang w:eastAsia="zh-CN"/>
        </w:rPr>
        <w:t>事业单位医疗</w:t>
      </w:r>
      <w:r>
        <w:rPr>
          <w:rFonts w:hint="default" w:ascii="Times New Roman" w:hAnsi="Times New Roman" w:eastAsia="方正仿宋_GB2312" w:cs="Times New Roman"/>
          <w:b w:val="0"/>
          <w:bCs/>
          <w:kern w:val="0"/>
          <w:sz w:val="32"/>
          <w:szCs w:val="32"/>
        </w:rPr>
        <w:t>（项）：支出决算为</w:t>
      </w:r>
      <w:r>
        <w:rPr>
          <w:rFonts w:hint="default" w:ascii="Times New Roman" w:hAnsi="Times New Roman" w:eastAsia="方正仿宋_GB2312" w:cs="Times New Roman"/>
          <w:b w:val="0"/>
          <w:bCs/>
          <w:kern w:val="0"/>
          <w:sz w:val="32"/>
          <w:szCs w:val="32"/>
          <w:lang w:val="en-US" w:eastAsia="zh-CN"/>
        </w:rPr>
        <w:t>25.73</w:t>
      </w:r>
      <w:r>
        <w:rPr>
          <w:rFonts w:hint="default" w:ascii="Times New Roman" w:hAnsi="Times New Roman" w:eastAsia="方正仿宋_GB2312" w:cs="Times New Roman"/>
          <w:b w:val="0"/>
          <w:bCs/>
          <w:kern w:val="0"/>
          <w:sz w:val="32"/>
          <w:szCs w:val="32"/>
        </w:rPr>
        <w:t>万元，完成预算100%。</w:t>
      </w:r>
    </w:p>
    <w:p w14:paraId="774E0D2C">
      <w:pPr>
        <w:pStyle w:val="2"/>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9</w:t>
      </w:r>
      <w:r>
        <w:rPr>
          <w:rFonts w:hint="default" w:ascii="Times New Roman" w:hAnsi="Times New Roman" w:eastAsia="方正仿宋_GB2312" w:cs="Times New Roman"/>
          <w:b w:val="0"/>
          <w:bCs/>
          <w:kern w:val="0"/>
          <w:sz w:val="32"/>
          <w:szCs w:val="32"/>
        </w:rPr>
        <w:t>．</w:t>
      </w:r>
      <w:r>
        <w:rPr>
          <w:rFonts w:hint="default" w:ascii="Times New Roman" w:hAnsi="Times New Roman" w:eastAsia="方正仿宋_GB2312" w:cs="Times New Roman"/>
          <w:b w:val="0"/>
          <w:bCs/>
          <w:kern w:val="0"/>
          <w:sz w:val="32"/>
          <w:szCs w:val="32"/>
          <w:lang w:eastAsia="zh-CN"/>
        </w:rPr>
        <w:t>卫生健康支出</w:t>
      </w:r>
      <w:r>
        <w:rPr>
          <w:rFonts w:hint="default" w:ascii="Times New Roman" w:hAnsi="Times New Roman" w:eastAsia="方正仿宋_GB2312" w:cs="Times New Roman"/>
          <w:b w:val="0"/>
          <w:bCs/>
          <w:kern w:val="0"/>
          <w:sz w:val="32"/>
          <w:szCs w:val="32"/>
        </w:rPr>
        <w:t>（类）</w:t>
      </w:r>
      <w:r>
        <w:rPr>
          <w:rFonts w:hint="default" w:ascii="Times New Roman" w:hAnsi="Times New Roman" w:eastAsia="方正仿宋_GB2312" w:cs="Times New Roman"/>
          <w:b w:val="0"/>
          <w:bCs/>
          <w:kern w:val="0"/>
          <w:sz w:val="32"/>
          <w:szCs w:val="32"/>
          <w:lang w:eastAsia="zh-CN"/>
        </w:rPr>
        <w:t>行政事业单位医疗</w:t>
      </w:r>
      <w:r>
        <w:rPr>
          <w:rFonts w:hint="default" w:ascii="Times New Roman" w:hAnsi="Times New Roman" w:eastAsia="方正仿宋_GB2312" w:cs="Times New Roman"/>
          <w:b w:val="0"/>
          <w:bCs/>
          <w:kern w:val="0"/>
          <w:sz w:val="32"/>
          <w:szCs w:val="32"/>
        </w:rPr>
        <w:t>（款）</w:t>
      </w:r>
      <w:r>
        <w:rPr>
          <w:rFonts w:hint="default" w:ascii="Times New Roman" w:hAnsi="Times New Roman" w:eastAsia="方正仿宋_GB2312" w:cs="Times New Roman"/>
          <w:b w:val="0"/>
          <w:bCs/>
          <w:kern w:val="0"/>
          <w:sz w:val="32"/>
          <w:szCs w:val="32"/>
          <w:lang w:eastAsia="zh-CN"/>
        </w:rPr>
        <w:t>公务员医疗补助</w:t>
      </w:r>
      <w:r>
        <w:rPr>
          <w:rFonts w:hint="default" w:ascii="Times New Roman" w:hAnsi="Times New Roman" w:eastAsia="方正仿宋_GB2312" w:cs="Times New Roman"/>
          <w:b w:val="0"/>
          <w:bCs/>
          <w:kern w:val="0"/>
          <w:sz w:val="32"/>
          <w:szCs w:val="32"/>
        </w:rPr>
        <w:t>（项）：支出决算为</w:t>
      </w:r>
      <w:r>
        <w:rPr>
          <w:rFonts w:hint="default" w:ascii="Times New Roman" w:hAnsi="Times New Roman" w:eastAsia="方正仿宋_GB2312" w:cs="Times New Roman"/>
          <w:b w:val="0"/>
          <w:bCs/>
          <w:kern w:val="0"/>
          <w:sz w:val="32"/>
          <w:szCs w:val="32"/>
          <w:lang w:val="en-US" w:eastAsia="zh-CN"/>
        </w:rPr>
        <w:t>6.02</w:t>
      </w:r>
      <w:r>
        <w:rPr>
          <w:rFonts w:hint="default" w:ascii="Times New Roman" w:hAnsi="Times New Roman" w:eastAsia="方正仿宋_GB2312" w:cs="Times New Roman"/>
          <w:b w:val="0"/>
          <w:bCs/>
          <w:kern w:val="0"/>
          <w:sz w:val="32"/>
          <w:szCs w:val="32"/>
        </w:rPr>
        <w:t>万元，完成预算100%。</w:t>
      </w:r>
    </w:p>
    <w:p w14:paraId="6103DB17">
      <w:pPr>
        <w:pStyle w:val="2"/>
        <w:ind w:firstLine="640" w:firstLineChars="200"/>
        <w:rPr>
          <w:rFonts w:hint="default" w:ascii="Times New Roman" w:hAnsi="Times New Roman" w:eastAsia="方正仿宋_GB2312" w:cs="Times New Roman"/>
          <w:b w:val="0"/>
          <w:bCs/>
          <w:kern w:val="0"/>
          <w:sz w:val="32"/>
          <w:szCs w:val="32"/>
        </w:rPr>
      </w:pPr>
      <w:r>
        <w:rPr>
          <w:rFonts w:hint="default" w:ascii="Times New Roman" w:hAnsi="Times New Roman" w:eastAsia="方正仿宋_GB2312" w:cs="Times New Roman"/>
          <w:b w:val="0"/>
          <w:bCs/>
          <w:kern w:val="0"/>
          <w:sz w:val="32"/>
          <w:szCs w:val="32"/>
          <w:lang w:val="en-US" w:eastAsia="zh-CN"/>
        </w:rPr>
        <w:t>10</w:t>
      </w:r>
      <w:r>
        <w:rPr>
          <w:rFonts w:hint="default" w:ascii="Times New Roman" w:hAnsi="Times New Roman" w:eastAsia="方正仿宋_GB2312" w:cs="Times New Roman"/>
          <w:b w:val="0"/>
          <w:bCs/>
          <w:kern w:val="0"/>
          <w:sz w:val="32"/>
          <w:szCs w:val="32"/>
        </w:rPr>
        <w:t>．住房保障支出（类）住房改革支出（款）住房公积金（项）：支出决算为</w:t>
      </w:r>
      <w:r>
        <w:rPr>
          <w:rFonts w:hint="default" w:ascii="Times New Roman" w:hAnsi="Times New Roman" w:eastAsia="方正仿宋_GB2312" w:cs="Times New Roman"/>
          <w:b w:val="0"/>
          <w:bCs/>
          <w:kern w:val="0"/>
          <w:sz w:val="32"/>
          <w:szCs w:val="32"/>
          <w:lang w:val="en-US" w:eastAsia="zh-CN"/>
        </w:rPr>
        <w:t>38.75</w:t>
      </w:r>
      <w:r>
        <w:rPr>
          <w:rFonts w:hint="default" w:ascii="Times New Roman" w:hAnsi="Times New Roman" w:eastAsia="方正仿宋_GB2312" w:cs="Times New Roman"/>
          <w:b w:val="0"/>
          <w:bCs/>
          <w:kern w:val="0"/>
          <w:sz w:val="32"/>
          <w:szCs w:val="32"/>
        </w:rPr>
        <w:t>万元，完成预算100%。</w:t>
      </w:r>
    </w:p>
    <w:p w14:paraId="7F4F01B4">
      <w:pPr>
        <w:pStyle w:val="2"/>
        <w:ind w:firstLine="640" w:firstLineChars="200"/>
        <w:rPr>
          <w:rStyle w:val="14"/>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w:t>
      </w:r>
      <w:r>
        <w:rPr>
          <w:rFonts w:hint="default" w:ascii="Times New Roman" w:hAnsi="Times New Roman" w:eastAsia="黑体" w:cs="Times New Roman"/>
          <w:b/>
          <w:color w:val="auto"/>
          <w:sz w:val="32"/>
          <w:szCs w:val="32"/>
          <w:highlight w:val="none"/>
        </w:rPr>
        <w:t>一</w:t>
      </w:r>
      <w:r>
        <w:rPr>
          <w:rStyle w:val="14"/>
          <w:rFonts w:hint="default" w:ascii="Times New Roman" w:hAnsi="Times New Roman" w:eastAsia="黑体" w:cs="Times New Roman"/>
          <w:b w:val="0"/>
          <w:color w:val="auto"/>
          <w:highlight w:val="none"/>
        </w:rPr>
        <w:t>般公共预算财政拨款基本支出决算情况说明</w:t>
      </w:r>
      <w:r>
        <w:rPr>
          <w:rStyle w:val="14"/>
          <w:rFonts w:hint="default" w:ascii="Times New Roman" w:hAnsi="Times New Roman" w:eastAsia="黑体" w:cs="Times New Roman"/>
          <w:b w:val="0"/>
          <w:color w:val="auto"/>
          <w:highlight w:val="none"/>
        </w:rPr>
        <w:tab/>
      </w:r>
    </w:p>
    <w:p w14:paraId="7CC4ED86">
      <w:pPr>
        <w:spacing w:line="600" w:lineRule="exact"/>
        <w:ind w:firstLine="645"/>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一般公共预算财政拨款基本支出</w:t>
      </w:r>
      <w:r>
        <w:rPr>
          <w:rFonts w:hint="default" w:ascii="Times New Roman" w:hAnsi="Times New Roman" w:eastAsia="方正仿宋_GB2312" w:cs="Times New Roman"/>
          <w:color w:val="auto"/>
          <w:sz w:val="32"/>
          <w:szCs w:val="32"/>
          <w:highlight w:val="none"/>
          <w:lang w:val="en-US" w:eastAsia="zh-CN"/>
        </w:rPr>
        <w:t>563.14</w:t>
      </w:r>
      <w:r>
        <w:rPr>
          <w:rFonts w:hint="default" w:ascii="Times New Roman" w:hAnsi="Times New Roman" w:eastAsia="方正仿宋_GB2312" w:cs="Times New Roman"/>
          <w:color w:val="auto"/>
          <w:sz w:val="32"/>
          <w:szCs w:val="32"/>
          <w:highlight w:val="none"/>
        </w:rPr>
        <w:t>万元，其中：</w:t>
      </w:r>
    </w:p>
    <w:p w14:paraId="7C75B5AC">
      <w:pPr>
        <w:spacing w:line="600" w:lineRule="exact"/>
        <w:ind w:firstLine="645"/>
        <w:rPr>
          <w:rFonts w:hint="default" w:ascii="Times New Roman" w:hAnsi="Times New Roman" w:eastAsia="方正仿宋_GB2312" w:cs="Times New Roman"/>
          <w:color w:val="auto"/>
          <w:sz w:val="32"/>
          <w:szCs w:val="32"/>
          <w:highlight w:val="none"/>
          <w:lang w:val="en-US"/>
        </w:rPr>
      </w:pPr>
      <w:r>
        <w:rPr>
          <w:rFonts w:hint="default" w:ascii="Times New Roman" w:hAnsi="Times New Roman" w:eastAsia="方正仿宋_GB2312" w:cs="Times New Roman"/>
          <w:color w:val="auto"/>
          <w:sz w:val="32"/>
          <w:szCs w:val="32"/>
          <w:highlight w:val="none"/>
        </w:rPr>
        <w:t>人员经费</w:t>
      </w:r>
      <w:r>
        <w:rPr>
          <w:rFonts w:hint="default" w:ascii="Times New Roman" w:hAnsi="Times New Roman" w:eastAsia="方正仿宋_GB2312" w:cs="Times New Roman"/>
          <w:color w:val="auto"/>
          <w:sz w:val="32"/>
          <w:szCs w:val="32"/>
          <w:highlight w:val="none"/>
          <w:lang w:val="en-US" w:eastAsia="zh-CN"/>
        </w:rPr>
        <w:t>535.31</w:t>
      </w:r>
      <w:r>
        <w:rPr>
          <w:rFonts w:hint="default" w:ascii="Times New Roman" w:hAnsi="Times New Roman" w:eastAsia="方正仿宋_GB2312" w:cs="Times New Roman"/>
          <w:color w:val="auto"/>
          <w:sz w:val="32"/>
          <w:szCs w:val="32"/>
          <w:highlight w:val="none"/>
        </w:rPr>
        <w:t>万元，主要包括：基本工资</w:t>
      </w:r>
      <w:r>
        <w:rPr>
          <w:rFonts w:hint="default" w:ascii="Times New Roman" w:hAnsi="Times New Roman" w:eastAsia="方正仿宋_GB2312" w:cs="Times New Roman"/>
          <w:color w:val="auto"/>
          <w:sz w:val="32"/>
          <w:szCs w:val="32"/>
          <w:highlight w:val="none"/>
          <w:lang w:val="en-US" w:eastAsia="zh-CN"/>
        </w:rPr>
        <w:t>124.05万元</w:t>
      </w:r>
      <w:r>
        <w:rPr>
          <w:rFonts w:hint="default" w:ascii="Times New Roman" w:hAnsi="Times New Roman" w:eastAsia="方正仿宋_GB2312" w:cs="Times New Roman"/>
          <w:color w:val="auto"/>
          <w:sz w:val="32"/>
          <w:szCs w:val="32"/>
          <w:highlight w:val="none"/>
        </w:rPr>
        <w:t>、津贴补贴</w:t>
      </w:r>
      <w:r>
        <w:rPr>
          <w:rFonts w:hint="default" w:ascii="Times New Roman" w:hAnsi="Times New Roman" w:eastAsia="方正仿宋_GB2312" w:cs="Times New Roman"/>
          <w:color w:val="auto"/>
          <w:sz w:val="32"/>
          <w:szCs w:val="32"/>
          <w:highlight w:val="none"/>
          <w:lang w:val="en-US" w:eastAsia="zh-CN"/>
        </w:rPr>
        <w:t>13.75万元</w:t>
      </w:r>
      <w:r>
        <w:rPr>
          <w:rFonts w:hint="default" w:ascii="Times New Roman" w:hAnsi="Times New Roman" w:eastAsia="方正仿宋_GB2312" w:cs="Times New Roman"/>
          <w:color w:val="auto"/>
          <w:sz w:val="32"/>
          <w:szCs w:val="32"/>
          <w:highlight w:val="none"/>
        </w:rPr>
        <w:t>、奖金</w:t>
      </w:r>
      <w:r>
        <w:rPr>
          <w:rFonts w:hint="default" w:ascii="Times New Roman" w:hAnsi="Times New Roman" w:eastAsia="方正仿宋_GB2312" w:cs="Times New Roman"/>
          <w:color w:val="auto"/>
          <w:sz w:val="32"/>
          <w:szCs w:val="32"/>
          <w:highlight w:val="none"/>
          <w:lang w:val="en-US" w:eastAsia="zh-CN"/>
        </w:rPr>
        <w:t>0.75万元</w:t>
      </w:r>
      <w:r>
        <w:rPr>
          <w:rFonts w:hint="default" w:ascii="Times New Roman" w:hAnsi="Times New Roman" w:eastAsia="方正仿宋_GB2312" w:cs="Times New Roman"/>
          <w:color w:val="auto"/>
          <w:sz w:val="32"/>
          <w:szCs w:val="32"/>
          <w:highlight w:val="none"/>
        </w:rPr>
        <w:t>、绩效工资</w:t>
      </w:r>
      <w:r>
        <w:rPr>
          <w:rFonts w:hint="default" w:ascii="Times New Roman" w:hAnsi="Times New Roman" w:eastAsia="方正仿宋_GB2312" w:cs="Times New Roman"/>
          <w:color w:val="auto"/>
          <w:sz w:val="32"/>
          <w:szCs w:val="32"/>
          <w:highlight w:val="none"/>
          <w:lang w:val="en-US" w:eastAsia="zh-CN"/>
        </w:rPr>
        <w:t>186.76万元</w:t>
      </w:r>
      <w:r>
        <w:rPr>
          <w:rFonts w:hint="default" w:ascii="Times New Roman" w:hAnsi="Times New Roman" w:eastAsia="方正仿宋_GB2312" w:cs="Times New Roman"/>
          <w:color w:val="auto"/>
          <w:sz w:val="32"/>
          <w:szCs w:val="32"/>
          <w:highlight w:val="none"/>
        </w:rPr>
        <w:t>、机关事业单位基本养老保险缴费</w:t>
      </w:r>
      <w:r>
        <w:rPr>
          <w:rFonts w:hint="default" w:ascii="Times New Roman" w:hAnsi="Times New Roman" w:eastAsia="方正仿宋_GB2312" w:cs="Times New Roman"/>
          <w:color w:val="auto"/>
          <w:sz w:val="32"/>
          <w:szCs w:val="32"/>
          <w:highlight w:val="none"/>
          <w:lang w:val="en-US" w:eastAsia="zh-CN"/>
        </w:rPr>
        <w:t>51.27万元</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eastAsia="zh-CN"/>
        </w:rPr>
        <w:t>职业年金缴费</w:t>
      </w:r>
      <w:r>
        <w:rPr>
          <w:rFonts w:hint="default" w:ascii="Times New Roman" w:hAnsi="Times New Roman" w:eastAsia="方正仿宋_GB2312" w:cs="Times New Roman"/>
          <w:color w:val="auto"/>
          <w:sz w:val="32"/>
          <w:szCs w:val="32"/>
          <w:highlight w:val="none"/>
          <w:lang w:val="en-US" w:eastAsia="zh-CN"/>
        </w:rPr>
        <w:t>9.15万元、</w:t>
      </w:r>
      <w:r>
        <w:rPr>
          <w:rFonts w:hint="default" w:ascii="Times New Roman" w:hAnsi="Times New Roman" w:eastAsia="方正仿宋_GB2312" w:cs="Times New Roman"/>
          <w:color w:val="auto"/>
          <w:sz w:val="32"/>
          <w:szCs w:val="32"/>
          <w:highlight w:val="none"/>
          <w:lang w:eastAsia="zh-CN"/>
        </w:rPr>
        <w:t>职工基本医疗保险缴费</w:t>
      </w:r>
      <w:r>
        <w:rPr>
          <w:rFonts w:hint="default" w:ascii="Times New Roman" w:hAnsi="Times New Roman" w:eastAsia="方正仿宋_GB2312" w:cs="Times New Roman"/>
          <w:color w:val="auto"/>
          <w:sz w:val="32"/>
          <w:szCs w:val="32"/>
          <w:highlight w:val="none"/>
          <w:lang w:val="en-US" w:eastAsia="zh-CN"/>
        </w:rPr>
        <w:t>25.73万元、公务员医疗补助缴费6.02万元、</w:t>
      </w:r>
      <w:r>
        <w:rPr>
          <w:rFonts w:hint="default" w:ascii="Times New Roman" w:hAnsi="Times New Roman" w:eastAsia="方正仿宋_GB2312" w:cs="Times New Roman"/>
          <w:color w:val="auto"/>
          <w:sz w:val="32"/>
          <w:szCs w:val="32"/>
          <w:highlight w:val="none"/>
        </w:rPr>
        <w:t>其他社会保障缴费</w:t>
      </w:r>
      <w:r>
        <w:rPr>
          <w:rFonts w:hint="default" w:ascii="Times New Roman" w:hAnsi="Times New Roman" w:eastAsia="方正仿宋_GB2312" w:cs="Times New Roman"/>
          <w:color w:val="auto"/>
          <w:sz w:val="32"/>
          <w:szCs w:val="32"/>
          <w:highlight w:val="none"/>
          <w:lang w:val="en-US" w:eastAsia="zh-CN"/>
        </w:rPr>
        <w:t>4.75万元</w:t>
      </w:r>
      <w:r>
        <w:rPr>
          <w:rFonts w:hint="default" w:ascii="Times New Roman" w:hAnsi="Times New Roman" w:eastAsia="方正仿宋_GB2312" w:cs="Times New Roman"/>
          <w:color w:val="auto"/>
          <w:sz w:val="32"/>
          <w:szCs w:val="32"/>
          <w:highlight w:val="none"/>
        </w:rPr>
        <w:t>、其他工资福利支出</w:t>
      </w:r>
      <w:r>
        <w:rPr>
          <w:rFonts w:hint="default" w:ascii="Times New Roman" w:hAnsi="Times New Roman" w:eastAsia="方正仿宋_GB2312" w:cs="Times New Roman"/>
          <w:color w:val="auto"/>
          <w:sz w:val="32"/>
          <w:szCs w:val="32"/>
          <w:highlight w:val="none"/>
          <w:lang w:val="en-US" w:eastAsia="zh-CN"/>
        </w:rPr>
        <w:t>5.92万元</w:t>
      </w:r>
      <w:r>
        <w:rPr>
          <w:rFonts w:hint="default" w:ascii="Times New Roman" w:hAnsi="Times New Roman" w:eastAsia="方正仿宋_GB2312" w:cs="Times New Roman"/>
          <w:color w:val="auto"/>
          <w:sz w:val="32"/>
          <w:szCs w:val="32"/>
          <w:highlight w:val="none"/>
        </w:rPr>
        <w:t>、生活补助</w:t>
      </w:r>
      <w:r>
        <w:rPr>
          <w:rFonts w:hint="default" w:ascii="Times New Roman" w:hAnsi="Times New Roman" w:eastAsia="方正仿宋_GB2312" w:cs="Times New Roman"/>
          <w:color w:val="auto"/>
          <w:sz w:val="32"/>
          <w:szCs w:val="32"/>
          <w:highlight w:val="none"/>
          <w:lang w:val="en-US" w:eastAsia="zh-CN"/>
        </w:rPr>
        <w:t>63.19万元</w:t>
      </w:r>
      <w:r>
        <w:rPr>
          <w:rFonts w:hint="default" w:ascii="Times New Roman" w:hAnsi="Times New Roman" w:eastAsia="方正仿宋_GB2312" w:cs="Times New Roman"/>
          <w:color w:val="auto"/>
          <w:sz w:val="32"/>
          <w:szCs w:val="32"/>
          <w:highlight w:val="none"/>
        </w:rPr>
        <w:t>、医疗费补助</w:t>
      </w:r>
      <w:r>
        <w:rPr>
          <w:rFonts w:hint="default" w:ascii="Times New Roman" w:hAnsi="Times New Roman" w:eastAsia="方正仿宋_GB2312" w:cs="Times New Roman"/>
          <w:color w:val="auto"/>
          <w:sz w:val="32"/>
          <w:szCs w:val="32"/>
          <w:highlight w:val="none"/>
          <w:lang w:val="en-US" w:eastAsia="zh-CN"/>
        </w:rPr>
        <w:t>5.21万元</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eastAsia="zh-CN"/>
        </w:rPr>
        <w:t>奖励金</w:t>
      </w:r>
      <w:r>
        <w:rPr>
          <w:rFonts w:hint="default" w:ascii="Times New Roman" w:hAnsi="Times New Roman" w:eastAsia="方正仿宋_GB2312" w:cs="Times New Roman"/>
          <w:color w:val="auto"/>
          <w:sz w:val="32"/>
          <w:szCs w:val="32"/>
          <w:highlight w:val="none"/>
          <w:lang w:val="en-US" w:eastAsia="zh-CN"/>
        </w:rPr>
        <w:t>0.01万元、</w:t>
      </w:r>
      <w:r>
        <w:rPr>
          <w:rFonts w:hint="default" w:ascii="Times New Roman" w:hAnsi="Times New Roman" w:eastAsia="方正仿宋_GB2312" w:cs="Times New Roman"/>
          <w:color w:val="auto"/>
          <w:sz w:val="32"/>
          <w:szCs w:val="32"/>
          <w:highlight w:val="none"/>
        </w:rPr>
        <w:t>住房公积金</w:t>
      </w:r>
      <w:r>
        <w:rPr>
          <w:rFonts w:hint="default" w:ascii="Times New Roman" w:hAnsi="Times New Roman" w:eastAsia="方正仿宋_GB2312" w:cs="Times New Roman"/>
          <w:color w:val="auto"/>
          <w:sz w:val="32"/>
          <w:szCs w:val="32"/>
          <w:highlight w:val="none"/>
          <w:lang w:val="en-US" w:eastAsia="zh-CN"/>
        </w:rPr>
        <w:t>38.75万元。</w:t>
      </w:r>
    </w:p>
    <w:p w14:paraId="6FFE9132">
      <w:pPr>
        <w:spacing w:line="600" w:lineRule="exact"/>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公用经费</w:t>
      </w:r>
      <w:r>
        <w:rPr>
          <w:rFonts w:hint="default" w:ascii="Times New Roman" w:hAnsi="Times New Roman" w:eastAsia="方正仿宋_GB2312" w:cs="Times New Roman"/>
          <w:color w:val="auto"/>
          <w:sz w:val="32"/>
          <w:szCs w:val="32"/>
          <w:highlight w:val="none"/>
          <w:lang w:val="en-US" w:eastAsia="zh-CN"/>
        </w:rPr>
        <w:t>27.83</w:t>
      </w:r>
      <w:r>
        <w:rPr>
          <w:rFonts w:hint="default" w:ascii="Times New Roman" w:hAnsi="Times New Roman" w:eastAsia="方正仿宋_GB2312" w:cs="Times New Roman"/>
          <w:color w:val="auto"/>
          <w:sz w:val="32"/>
          <w:szCs w:val="32"/>
          <w:highlight w:val="none"/>
        </w:rPr>
        <w:t>万元，主要包括：办公费</w:t>
      </w:r>
      <w:r>
        <w:rPr>
          <w:rFonts w:hint="default" w:ascii="Times New Roman" w:hAnsi="Times New Roman" w:eastAsia="方正仿宋_GB2312" w:cs="Times New Roman"/>
          <w:color w:val="auto"/>
          <w:sz w:val="32"/>
          <w:szCs w:val="32"/>
          <w:highlight w:val="none"/>
          <w:lang w:val="en-US" w:eastAsia="zh-CN"/>
        </w:rPr>
        <w:t>0.83万元</w:t>
      </w:r>
      <w:r>
        <w:rPr>
          <w:rFonts w:hint="default" w:ascii="Times New Roman" w:hAnsi="Times New Roman" w:eastAsia="方正仿宋_GB2312" w:cs="Times New Roman"/>
          <w:color w:val="auto"/>
          <w:sz w:val="32"/>
          <w:szCs w:val="32"/>
          <w:highlight w:val="none"/>
        </w:rPr>
        <w:t>、水费</w:t>
      </w:r>
      <w:r>
        <w:rPr>
          <w:rFonts w:hint="default" w:ascii="Times New Roman" w:hAnsi="Times New Roman" w:eastAsia="方正仿宋_GB2312" w:cs="Times New Roman"/>
          <w:color w:val="auto"/>
          <w:sz w:val="32"/>
          <w:szCs w:val="32"/>
          <w:highlight w:val="none"/>
          <w:lang w:val="en-US" w:eastAsia="zh-CN"/>
        </w:rPr>
        <w:t>0.10万元</w:t>
      </w:r>
      <w:r>
        <w:rPr>
          <w:rFonts w:hint="default" w:ascii="Times New Roman" w:hAnsi="Times New Roman" w:eastAsia="方正仿宋_GB2312" w:cs="Times New Roman"/>
          <w:color w:val="auto"/>
          <w:sz w:val="32"/>
          <w:szCs w:val="32"/>
          <w:highlight w:val="none"/>
        </w:rPr>
        <w:t>、电费</w:t>
      </w:r>
      <w:r>
        <w:rPr>
          <w:rFonts w:hint="default" w:ascii="Times New Roman" w:hAnsi="Times New Roman" w:eastAsia="方正仿宋_GB2312" w:cs="Times New Roman"/>
          <w:color w:val="auto"/>
          <w:sz w:val="32"/>
          <w:szCs w:val="32"/>
          <w:highlight w:val="none"/>
          <w:lang w:val="en-US" w:eastAsia="zh-CN"/>
        </w:rPr>
        <w:t>2.73万元</w:t>
      </w:r>
      <w:r>
        <w:rPr>
          <w:rFonts w:hint="default" w:ascii="Times New Roman" w:hAnsi="Times New Roman" w:eastAsia="方正仿宋_GB2312" w:cs="Times New Roman"/>
          <w:color w:val="auto"/>
          <w:sz w:val="32"/>
          <w:szCs w:val="32"/>
          <w:highlight w:val="none"/>
        </w:rPr>
        <w:t>、邮电费</w:t>
      </w:r>
      <w:r>
        <w:rPr>
          <w:rFonts w:hint="default" w:ascii="Times New Roman" w:hAnsi="Times New Roman" w:eastAsia="方正仿宋_GB2312" w:cs="Times New Roman"/>
          <w:color w:val="auto"/>
          <w:sz w:val="32"/>
          <w:szCs w:val="32"/>
          <w:highlight w:val="none"/>
          <w:lang w:val="en-US" w:eastAsia="zh-CN"/>
        </w:rPr>
        <w:t>1.20万元</w:t>
      </w:r>
      <w:r>
        <w:rPr>
          <w:rFonts w:hint="default" w:ascii="Times New Roman" w:hAnsi="Times New Roman" w:eastAsia="方正仿宋_GB2312" w:cs="Times New Roman"/>
          <w:color w:val="auto"/>
          <w:sz w:val="32"/>
          <w:szCs w:val="32"/>
          <w:highlight w:val="none"/>
        </w:rPr>
        <w:t>、差旅费</w:t>
      </w:r>
      <w:r>
        <w:rPr>
          <w:rFonts w:hint="default" w:ascii="Times New Roman" w:hAnsi="Times New Roman" w:eastAsia="方正仿宋_GB2312" w:cs="Times New Roman"/>
          <w:color w:val="auto"/>
          <w:sz w:val="32"/>
          <w:szCs w:val="32"/>
          <w:highlight w:val="none"/>
          <w:lang w:val="en-US" w:eastAsia="zh-CN"/>
        </w:rPr>
        <w:t>8.07万元</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eastAsia="zh-CN"/>
        </w:rPr>
        <w:t>维修（护）费</w:t>
      </w:r>
      <w:r>
        <w:rPr>
          <w:rFonts w:hint="default" w:ascii="Times New Roman" w:hAnsi="Times New Roman" w:eastAsia="方正仿宋_GB2312" w:cs="Times New Roman"/>
          <w:color w:val="auto"/>
          <w:sz w:val="32"/>
          <w:szCs w:val="32"/>
          <w:highlight w:val="none"/>
          <w:lang w:val="en-US" w:eastAsia="zh-CN"/>
        </w:rPr>
        <w:t>2.00万元、会议费0.11万元、培训费0.07万元、</w:t>
      </w:r>
      <w:r>
        <w:rPr>
          <w:rFonts w:hint="default" w:ascii="Times New Roman" w:hAnsi="Times New Roman" w:eastAsia="方正仿宋_GB2312" w:cs="Times New Roman"/>
          <w:color w:val="auto"/>
          <w:sz w:val="32"/>
          <w:szCs w:val="32"/>
          <w:highlight w:val="none"/>
        </w:rPr>
        <w:t>公务接待费</w:t>
      </w:r>
      <w:r>
        <w:rPr>
          <w:rFonts w:hint="default" w:ascii="Times New Roman" w:hAnsi="Times New Roman" w:eastAsia="方正仿宋_GB2312" w:cs="Times New Roman"/>
          <w:color w:val="auto"/>
          <w:sz w:val="32"/>
          <w:szCs w:val="32"/>
          <w:highlight w:val="none"/>
          <w:lang w:val="en-US" w:eastAsia="zh-CN"/>
        </w:rPr>
        <w:t>0.37万元</w:t>
      </w:r>
      <w:r>
        <w:rPr>
          <w:rFonts w:hint="default" w:ascii="Times New Roman" w:hAnsi="Times New Roman" w:eastAsia="方正仿宋_GB2312" w:cs="Times New Roman"/>
          <w:color w:val="auto"/>
          <w:sz w:val="32"/>
          <w:szCs w:val="32"/>
          <w:highlight w:val="none"/>
        </w:rPr>
        <w:t>、工会经费</w:t>
      </w:r>
      <w:r>
        <w:rPr>
          <w:rFonts w:hint="default" w:ascii="Times New Roman" w:hAnsi="Times New Roman" w:eastAsia="方正仿宋_GB2312" w:cs="Times New Roman"/>
          <w:color w:val="auto"/>
          <w:sz w:val="32"/>
          <w:szCs w:val="32"/>
          <w:highlight w:val="none"/>
          <w:lang w:val="en-US" w:eastAsia="zh-CN"/>
        </w:rPr>
        <w:t>6.57万元</w:t>
      </w:r>
      <w:r>
        <w:rPr>
          <w:rFonts w:hint="default" w:ascii="Times New Roman" w:hAnsi="Times New Roman" w:eastAsia="方正仿宋_GB2312" w:cs="Times New Roman"/>
          <w:color w:val="auto"/>
          <w:sz w:val="32"/>
          <w:szCs w:val="32"/>
          <w:highlight w:val="none"/>
        </w:rPr>
        <w:t>、福利费</w:t>
      </w:r>
      <w:r>
        <w:rPr>
          <w:rFonts w:hint="default" w:ascii="Times New Roman" w:hAnsi="Times New Roman" w:eastAsia="方正仿宋_GB2312" w:cs="Times New Roman"/>
          <w:color w:val="auto"/>
          <w:sz w:val="32"/>
          <w:szCs w:val="32"/>
          <w:highlight w:val="none"/>
          <w:lang w:val="en-US" w:eastAsia="zh-CN"/>
        </w:rPr>
        <w:t>2.11万元</w:t>
      </w:r>
      <w:r>
        <w:rPr>
          <w:rFonts w:hint="default" w:ascii="Times New Roman" w:hAnsi="Times New Roman" w:eastAsia="方正仿宋_GB2312" w:cs="Times New Roman"/>
          <w:color w:val="auto"/>
          <w:sz w:val="32"/>
          <w:szCs w:val="32"/>
          <w:highlight w:val="none"/>
        </w:rPr>
        <w:t>、公务用车运行维护费</w:t>
      </w:r>
      <w:r>
        <w:rPr>
          <w:rFonts w:hint="default" w:ascii="Times New Roman" w:hAnsi="Times New Roman" w:eastAsia="方正仿宋_GB2312" w:cs="Times New Roman"/>
          <w:color w:val="auto"/>
          <w:sz w:val="32"/>
          <w:szCs w:val="32"/>
          <w:highlight w:val="none"/>
          <w:lang w:val="en-US" w:eastAsia="zh-CN"/>
        </w:rPr>
        <w:t>2.21万元、其他商品和服务支出1.46万元</w:t>
      </w:r>
      <w:r>
        <w:rPr>
          <w:rFonts w:hint="default" w:ascii="Times New Roman" w:hAnsi="Times New Roman" w:eastAsia="方正仿宋_GB2312" w:cs="Times New Roman"/>
          <w:color w:val="auto"/>
          <w:sz w:val="32"/>
          <w:szCs w:val="32"/>
          <w:highlight w:val="none"/>
        </w:rPr>
        <w:t>。</w:t>
      </w:r>
    </w:p>
    <w:p w14:paraId="1D3B166B">
      <w:pPr>
        <w:pStyle w:val="2"/>
        <w:rPr>
          <w:rFonts w:hint="default" w:ascii="Times New Roman" w:hAnsi="Times New Roman" w:cs="Times New Roman"/>
        </w:rPr>
      </w:pPr>
    </w:p>
    <w:p w14:paraId="23ECB77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14"/>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七、</w:t>
      </w:r>
      <w:r>
        <w:rPr>
          <w:rStyle w:val="14"/>
          <w:rFonts w:hint="default" w:ascii="Times New Roman" w:hAnsi="Times New Roman" w:eastAsia="黑体" w:cs="Times New Roman"/>
          <w:b w:val="0"/>
          <w:color w:val="auto"/>
          <w:highlight w:val="none"/>
        </w:rPr>
        <w:t>财政拨款</w:t>
      </w:r>
      <w:r>
        <w:rPr>
          <w:rStyle w:val="14"/>
          <w:rFonts w:hint="default" w:ascii="Times New Roman" w:hAnsi="Times New Roman" w:eastAsia="黑体" w:cs="Times New Roman"/>
          <w:color w:val="auto"/>
          <w:highlight w:val="none"/>
        </w:rPr>
        <w:t>“</w:t>
      </w:r>
      <w:r>
        <w:rPr>
          <w:rStyle w:val="14"/>
          <w:rFonts w:hint="default" w:ascii="Times New Roman" w:hAnsi="Times New Roman" w:eastAsia="黑体" w:cs="Times New Roman"/>
          <w:b w:val="0"/>
          <w:color w:val="auto"/>
          <w:highlight w:val="none"/>
        </w:rPr>
        <w:t>三公”经费支出决算情况说明</w:t>
      </w:r>
    </w:p>
    <w:p w14:paraId="022DD901">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（一）“三公”经费财政拨款支出决算总体情况说明</w:t>
      </w:r>
    </w:p>
    <w:p w14:paraId="12633AB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“三公”经费财政拨款支出决算为</w:t>
      </w:r>
      <w:r>
        <w:rPr>
          <w:rFonts w:hint="default" w:ascii="Times New Roman" w:hAnsi="Times New Roman" w:eastAsia="方正仿宋_GB2312" w:cs="Times New Roman"/>
          <w:color w:val="auto"/>
          <w:sz w:val="32"/>
          <w:szCs w:val="32"/>
          <w:highlight w:val="none"/>
          <w:lang w:val="en-US" w:eastAsia="zh-CN"/>
        </w:rPr>
        <w:t>2.58</w:t>
      </w:r>
      <w:r>
        <w:rPr>
          <w:rFonts w:hint="default" w:ascii="Times New Roman" w:hAnsi="Times New Roman" w:eastAsia="方正仿宋_GB2312" w:cs="Times New Roman"/>
          <w:color w:val="auto"/>
          <w:sz w:val="32"/>
          <w:szCs w:val="32"/>
          <w:highlight w:val="none"/>
        </w:rPr>
        <w:t>万元，完成预算</w:t>
      </w:r>
      <w:r>
        <w:rPr>
          <w:rFonts w:hint="default" w:ascii="Times New Roman" w:hAnsi="Times New Roman" w:eastAsia="方正仿宋_GB2312" w:cs="Times New Roman"/>
          <w:color w:val="auto"/>
          <w:sz w:val="32"/>
          <w:szCs w:val="32"/>
          <w:highlight w:val="none"/>
          <w:lang w:val="en-US" w:eastAsia="zh-CN"/>
        </w:rPr>
        <w:t>100</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eastAsia="zh-CN"/>
        </w:rPr>
        <w:t>较上年度减少</w:t>
      </w:r>
      <w:r>
        <w:rPr>
          <w:rFonts w:hint="default" w:ascii="Times New Roman" w:hAnsi="Times New Roman" w:eastAsia="方正仿宋_GB2312" w:cs="Times New Roman"/>
          <w:color w:val="auto"/>
          <w:sz w:val="32"/>
          <w:szCs w:val="32"/>
          <w:highlight w:val="none"/>
          <w:lang w:val="en-US" w:eastAsia="zh-CN"/>
        </w:rPr>
        <w:t>0.04万元，下降1.55%。</w:t>
      </w:r>
      <w:r>
        <w:rPr>
          <w:rFonts w:hint="default" w:ascii="Times New Roman" w:hAnsi="Times New Roman" w:eastAsia="方正仿宋_GB2312" w:cs="Times New Roman"/>
          <w:color w:val="auto"/>
          <w:sz w:val="32"/>
          <w:szCs w:val="32"/>
          <w:highlight w:val="none"/>
        </w:rPr>
        <w:t>决算数</w:t>
      </w:r>
      <w:r>
        <w:rPr>
          <w:rFonts w:hint="default" w:ascii="Times New Roman" w:hAnsi="Times New Roman" w:eastAsia="方正仿宋_GB2312" w:cs="Times New Roman"/>
          <w:color w:val="auto"/>
          <w:sz w:val="32"/>
          <w:szCs w:val="32"/>
          <w:highlight w:val="none"/>
          <w:lang w:eastAsia="zh-CN"/>
        </w:rPr>
        <w:t>与预算</w:t>
      </w:r>
      <w:r>
        <w:rPr>
          <w:rFonts w:hint="default" w:ascii="Times New Roman" w:hAnsi="Times New Roman" w:eastAsia="方正仿宋_GB2312" w:cs="Times New Roman"/>
          <w:color w:val="auto"/>
          <w:sz w:val="32"/>
          <w:szCs w:val="32"/>
          <w:highlight w:val="none"/>
        </w:rPr>
        <w:t>数</w:t>
      </w:r>
      <w:r>
        <w:rPr>
          <w:rFonts w:hint="default" w:ascii="Times New Roman" w:hAnsi="Times New Roman" w:eastAsia="方正仿宋_GB2312" w:cs="Times New Roman"/>
          <w:color w:val="auto"/>
          <w:sz w:val="32"/>
          <w:szCs w:val="32"/>
          <w:highlight w:val="none"/>
          <w:lang w:eastAsia="zh-CN"/>
        </w:rPr>
        <w:t>持平</w:t>
      </w:r>
      <w:r>
        <w:rPr>
          <w:rFonts w:hint="default" w:ascii="Times New Roman" w:hAnsi="Times New Roman" w:eastAsia="方正仿宋_GB2312" w:cs="Times New Roman"/>
          <w:color w:val="auto"/>
          <w:sz w:val="32"/>
          <w:szCs w:val="32"/>
          <w:highlight w:val="none"/>
        </w:rPr>
        <w:t>的主要原因是</w:t>
      </w:r>
      <w:r>
        <w:rPr>
          <w:rFonts w:hint="default" w:ascii="Times New Roman" w:hAnsi="Times New Roman" w:eastAsia="方正仿宋_GB2312" w:cs="Times New Roman"/>
          <w:sz w:val="32"/>
          <w:szCs w:val="32"/>
        </w:rPr>
        <w:t>我单位严格按照预算拨款使用“三公”经费。</w:t>
      </w:r>
    </w:p>
    <w:p w14:paraId="0DCDDD22">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（二）“三公”经费财政拨款支出决算具体情况说明</w:t>
      </w:r>
    </w:p>
    <w:p w14:paraId="05A072FE">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“三公”经费财政拨款支出决算中，因公出国（境）费支出决算</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万元，占</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%；公务用车购置及运行维护费支出决算</w:t>
      </w:r>
      <w:r>
        <w:rPr>
          <w:rFonts w:hint="default" w:ascii="Times New Roman" w:hAnsi="Times New Roman" w:eastAsia="方正仿宋_GB2312" w:cs="Times New Roman"/>
          <w:color w:val="auto"/>
          <w:sz w:val="32"/>
          <w:szCs w:val="32"/>
          <w:highlight w:val="none"/>
          <w:lang w:val="en-US" w:eastAsia="zh-CN"/>
        </w:rPr>
        <w:t>2.21</w:t>
      </w:r>
      <w:r>
        <w:rPr>
          <w:rFonts w:hint="default" w:ascii="Times New Roman" w:hAnsi="Times New Roman" w:eastAsia="方正仿宋_GB2312" w:cs="Times New Roman"/>
          <w:color w:val="auto"/>
          <w:sz w:val="32"/>
          <w:szCs w:val="32"/>
          <w:highlight w:val="none"/>
        </w:rPr>
        <w:t>万元，占</w:t>
      </w:r>
      <w:r>
        <w:rPr>
          <w:rFonts w:hint="default" w:ascii="Times New Roman" w:hAnsi="Times New Roman" w:eastAsia="方正仿宋_GB2312" w:cs="Times New Roman"/>
          <w:color w:val="auto"/>
          <w:sz w:val="32"/>
          <w:szCs w:val="32"/>
          <w:highlight w:val="none"/>
          <w:lang w:val="en-US" w:eastAsia="zh-CN"/>
        </w:rPr>
        <w:t>85.66</w:t>
      </w:r>
      <w:r>
        <w:rPr>
          <w:rFonts w:hint="default" w:ascii="Times New Roman" w:hAnsi="Times New Roman" w:eastAsia="方正仿宋_GB2312" w:cs="Times New Roman"/>
          <w:color w:val="auto"/>
          <w:sz w:val="32"/>
          <w:szCs w:val="32"/>
          <w:highlight w:val="none"/>
        </w:rPr>
        <w:t>%；公务接待费支出决算</w:t>
      </w:r>
      <w:r>
        <w:rPr>
          <w:rFonts w:hint="default" w:ascii="Times New Roman" w:hAnsi="Times New Roman" w:eastAsia="方正仿宋_GB2312" w:cs="Times New Roman"/>
          <w:color w:val="auto"/>
          <w:sz w:val="32"/>
          <w:szCs w:val="32"/>
          <w:highlight w:val="none"/>
          <w:lang w:val="en-US" w:eastAsia="zh-CN"/>
        </w:rPr>
        <w:t>0.37</w:t>
      </w:r>
      <w:r>
        <w:rPr>
          <w:rFonts w:hint="default" w:ascii="Times New Roman" w:hAnsi="Times New Roman" w:eastAsia="方正仿宋_GB2312" w:cs="Times New Roman"/>
          <w:color w:val="auto"/>
          <w:sz w:val="32"/>
          <w:szCs w:val="32"/>
          <w:highlight w:val="none"/>
        </w:rPr>
        <w:t>万元，占</w:t>
      </w:r>
      <w:r>
        <w:rPr>
          <w:rFonts w:hint="default" w:ascii="Times New Roman" w:hAnsi="Times New Roman" w:eastAsia="方正仿宋_GB2312" w:cs="Times New Roman"/>
          <w:color w:val="auto"/>
          <w:sz w:val="32"/>
          <w:szCs w:val="32"/>
          <w:highlight w:val="none"/>
          <w:lang w:val="en-US" w:eastAsia="zh-CN"/>
        </w:rPr>
        <w:t>14.34</w:t>
      </w:r>
      <w:r>
        <w:rPr>
          <w:rFonts w:hint="default" w:ascii="Times New Roman" w:hAnsi="Times New Roman" w:eastAsia="方正仿宋_GB2312" w:cs="Times New Roman"/>
          <w:color w:val="auto"/>
          <w:sz w:val="32"/>
          <w:szCs w:val="32"/>
          <w:highlight w:val="none"/>
        </w:rPr>
        <w:t>%。具体情况如下：</w:t>
      </w:r>
    </w:p>
    <w:p w14:paraId="3FAD5E8D">
      <w:pPr>
        <w:pStyle w:val="2"/>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72000" cy="2743200"/>
            <wp:effectExtent l="6350" t="6350" r="12700" b="12700"/>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F169E2">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p w14:paraId="051BF801">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14:paraId="2887F0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sz w:val="32"/>
          <w:szCs w:val="32"/>
        </w:rPr>
      </w:pPr>
      <w:r>
        <w:rPr>
          <w:rFonts w:hint="default" w:ascii="Times New Roman" w:hAnsi="Times New Roman" w:eastAsia="方正仿宋_GB2312" w:cs="Times New Roman"/>
          <w:b w:val="0"/>
          <w:bCs/>
          <w:color w:val="auto"/>
          <w:sz w:val="32"/>
          <w:szCs w:val="32"/>
          <w:highlight w:val="none"/>
          <w:lang w:val="en-US" w:eastAsia="zh-CN"/>
        </w:rPr>
        <w:t>1</w:t>
      </w:r>
      <w:r>
        <w:rPr>
          <w:rFonts w:hint="default" w:ascii="Times New Roman" w:hAnsi="Times New Roman" w:eastAsia="方正仿宋_GB2312" w:cs="Times New Roman"/>
          <w:b w:val="0"/>
          <w:bCs/>
          <w:kern w:val="0"/>
          <w:sz w:val="32"/>
          <w:szCs w:val="32"/>
        </w:rPr>
        <w:t>．</w:t>
      </w:r>
      <w:r>
        <w:rPr>
          <w:rFonts w:hint="default" w:ascii="Times New Roman" w:hAnsi="Times New Roman" w:eastAsia="方正仿宋_GB2312" w:cs="Times New Roman"/>
          <w:b w:val="0"/>
          <w:bCs/>
          <w:color w:val="auto"/>
          <w:sz w:val="32"/>
          <w:szCs w:val="32"/>
          <w:highlight w:val="none"/>
        </w:rPr>
        <w:t>因公出国（境）经费支出</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万元，</w:t>
      </w:r>
      <w:r>
        <w:rPr>
          <w:rStyle w:val="12"/>
          <w:rFonts w:hint="default" w:ascii="Times New Roman" w:hAnsi="Times New Roman" w:eastAsia="方正仿宋_GB2312" w:cs="Times New Roman"/>
          <w:b w:val="0"/>
          <w:bCs/>
          <w:color w:val="auto"/>
          <w:sz w:val="32"/>
          <w:szCs w:val="32"/>
          <w:highlight w:val="none"/>
        </w:rPr>
        <w:t>完成预算</w:t>
      </w:r>
      <w:r>
        <w:rPr>
          <w:rStyle w:val="12"/>
          <w:rFonts w:hint="default" w:ascii="Times New Roman" w:hAnsi="Times New Roman" w:eastAsia="方正仿宋_GB2312" w:cs="Times New Roman"/>
          <w:b w:val="0"/>
          <w:bCs/>
          <w:color w:val="auto"/>
          <w:sz w:val="32"/>
          <w:szCs w:val="32"/>
          <w:highlight w:val="none"/>
          <w:lang w:val="en-US" w:eastAsia="zh-CN"/>
        </w:rPr>
        <w:t>0</w:t>
      </w:r>
      <w:r>
        <w:rPr>
          <w:rStyle w:val="12"/>
          <w:rFonts w:hint="default" w:ascii="Times New Roman" w:hAnsi="Times New Roman" w:eastAsia="方正仿宋_GB2312" w:cs="Times New Roman"/>
          <w:b w:val="0"/>
          <w:bCs/>
          <w:color w:val="auto"/>
          <w:sz w:val="32"/>
          <w:szCs w:val="32"/>
          <w:highlight w:val="none"/>
        </w:rPr>
        <w:t>%。</w:t>
      </w:r>
      <w:r>
        <w:rPr>
          <w:rFonts w:hint="default" w:ascii="Times New Roman" w:hAnsi="Times New Roman" w:eastAsia="方正仿宋_GB2312" w:cs="Times New Roman"/>
          <w:b w:val="0"/>
          <w:bCs/>
          <w:color w:val="auto"/>
          <w:sz w:val="32"/>
          <w:szCs w:val="32"/>
          <w:highlight w:val="none"/>
        </w:rPr>
        <w:t>全年安排因公出国（境）团组</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次，出国（境）</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人。</w:t>
      </w:r>
      <w:r>
        <w:rPr>
          <w:rFonts w:hint="default" w:ascii="Times New Roman" w:hAnsi="Times New Roman" w:eastAsia="方正仿宋_GB2312" w:cs="Times New Roman"/>
          <w:b w:val="0"/>
          <w:bCs/>
          <w:sz w:val="32"/>
          <w:szCs w:val="32"/>
        </w:rPr>
        <w:t>主要原因是无预算。</w:t>
      </w:r>
    </w:p>
    <w:p w14:paraId="651101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lang w:val="en-US" w:eastAsia="zh-CN"/>
        </w:rPr>
        <w:t>2</w:t>
      </w:r>
      <w:r>
        <w:rPr>
          <w:rFonts w:hint="default" w:ascii="Times New Roman" w:hAnsi="Times New Roman" w:eastAsia="方正仿宋_GB2312" w:cs="Times New Roman"/>
          <w:b w:val="0"/>
          <w:bCs/>
          <w:kern w:val="0"/>
          <w:sz w:val="32"/>
          <w:szCs w:val="32"/>
        </w:rPr>
        <w:t>．</w:t>
      </w:r>
      <w:r>
        <w:rPr>
          <w:rFonts w:hint="default" w:ascii="Times New Roman" w:hAnsi="Times New Roman" w:eastAsia="方正仿宋_GB2312" w:cs="Times New Roman"/>
          <w:b w:val="0"/>
          <w:bCs/>
          <w:color w:val="auto"/>
          <w:sz w:val="32"/>
          <w:szCs w:val="32"/>
          <w:highlight w:val="none"/>
        </w:rPr>
        <w:t>公务用车购置及运行维护费支出</w:t>
      </w:r>
      <w:r>
        <w:rPr>
          <w:rFonts w:hint="default" w:ascii="Times New Roman" w:hAnsi="Times New Roman" w:eastAsia="方正仿宋_GB2312" w:cs="Times New Roman"/>
          <w:b w:val="0"/>
          <w:bCs/>
          <w:color w:val="auto"/>
          <w:sz w:val="32"/>
          <w:szCs w:val="32"/>
          <w:highlight w:val="none"/>
          <w:lang w:val="en-US" w:eastAsia="zh-CN"/>
        </w:rPr>
        <w:t>2.21</w:t>
      </w:r>
      <w:r>
        <w:rPr>
          <w:rFonts w:hint="default" w:ascii="Times New Roman" w:hAnsi="Times New Roman" w:eastAsia="方正仿宋_GB2312" w:cs="Times New Roman"/>
          <w:b w:val="0"/>
          <w:bCs/>
          <w:color w:val="auto"/>
          <w:sz w:val="32"/>
          <w:szCs w:val="32"/>
          <w:highlight w:val="none"/>
        </w:rPr>
        <w:t>万元</w:t>
      </w:r>
      <w:r>
        <w:rPr>
          <w:rFonts w:hint="default" w:ascii="Times New Roman" w:hAnsi="Times New Roman" w:eastAsia="方正仿宋_GB2312" w:cs="Times New Roman"/>
          <w:b w:val="0"/>
          <w:bCs/>
          <w:color w:val="auto"/>
          <w:sz w:val="32"/>
          <w:szCs w:val="32"/>
          <w:highlight w:val="none"/>
          <w:lang w:eastAsia="zh-CN"/>
        </w:rPr>
        <w:t>，</w:t>
      </w:r>
      <w:r>
        <w:rPr>
          <w:rStyle w:val="12"/>
          <w:rFonts w:hint="default" w:ascii="Times New Roman" w:hAnsi="Times New Roman" w:eastAsia="方正仿宋_GB2312" w:cs="Times New Roman"/>
          <w:b w:val="0"/>
          <w:bCs/>
          <w:color w:val="auto"/>
          <w:sz w:val="32"/>
          <w:szCs w:val="32"/>
          <w:highlight w:val="none"/>
        </w:rPr>
        <w:t>完成预算</w:t>
      </w:r>
      <w:r>
        <w:rPr>
          <w:rStyle w:val="12"/>
          <w:rFonts w:hint="default" w:ascii="Times New Roman" w:hAnsi="Times New Roman" w:eastAsia="方正仿宋_GB2312" w:cs="Times New Roman"/>
          <w:b w:val="0"/>
          <w:bCs/>
          <w:color w:val="auto"/>
          <w:sz w:val="32"/>
          <w:szCs w:val="32"/>
          <w:highlight w:val="none"/>
          <w:lang w:val="en-US" w:eastAsia="zh-CN"/>
        </w:rPr>
        <w:t>100</w:t>
      </w:r>
      <w:r>
        <w:rPr>
          <w:rStyle w:val="12"/>
          <w:rFonts w:hint="default" w:ascii="Times New Roman" w:hAnsi="Times New Roman" w:eastAsia="方正仿宋_GB2312" w:cs="Times New Roman"/>
          <w:b w:val="0"/>
          <w:bCs/>
          <w:color w:val="auto"/>
          <w:sz w:val="32"/>
          <w:szCs w:val="32"/>
          <w:highlight w:val="none"/>
        </w:rPr>
        <w:t>%。</w:t>
      </w:r>
      <w:r>
        <w:rPr>
          <w:rFonts w:hint="default" w:ascii="Times New Roman" w:hAnsi="Times New Roman" w:eastAsia="方正仿宋_GB2312" w:cs="Times New Roman"/>
          <w:b w:val="0"/>
          <w:bCs/>
          <w:color w:val="auto"/>
          <w:sz w:val="32"/>
          <w:szCs w:val="32"/>
          <w:highlight w:val="none"/>
        </w:rPr>
        <w:t>公务用车购置及运行维护费支出决算比</w:t>
      </w:r>
      <w:r>
        <w:rPr>
          <w:rFonts w:hint="default" w:ascii="Times New Roman" w:hAnsi="Times New Roman" w:eastAsia="方正仿宋_GB2312" w:cs="Times New Roman"/>
          <w:b w:val="0"/>
          <w:bCs/>
          <w:color w:val="auto"/>
          <w:sz w:val="32"/>
          <w:szCs w:val="32"/>
          <w:highlight w:val="none"/>
          <w:lang w:eastAsia="zh-CN"/>
        </w:rPr>
        <w:t>202</w:t>
      </w:r>
      <w:r>
        <w:rPr>
          <w:rFonts w:hint="default" w:ascii="Times New Roman" w:hAnsi="Times New Roman" w:eastAsia="方正仿宋_GB2312" w:cs="Times New Roman"/>
          <w:b w:val="0"/>
          <w:bCs/>
          <w:color w:val="auto"/>
          <w:sz w:val="32"/>
          <w:szCs w:val="32"/>
          <w:highlight w:val="none"/>
          <w:lang w:val="en-US" w:eastAsia="zh-CN"/>
        </w:rPr>
        <w:t>3</w:t>
      </w:r>
      <w:r>
        <w:rPr>
          <w:rFonts w:hint="default" w:ascii="Times New Roman" w:hAnsi="Times New Roman" w:eastAsia="方正仿宋_GB2312" w:cs="Times New Roman"/>
          <w:b w:val="0"/>
          <w:bCs/>
          <w:color w:val="auto"/>
          <w:sz w:val="32"/>
          <w:szCs w:val="32"/>
          <w:highlight w:val="none"/>
        </w:rPr>
        <w:t>年</w:t>
      </w:r>
      <w:r>
        <w:rPr>
          <w:rFonts w:hint="default" w:ascii="Times New Roman" w:hAnsi="Times New Roman" w:eastAsia="方正仿宋_GB2312" w:cs="Times New Roman"/>
          <w:b w:val="0"/>
          <w:bCs/>
          <w:color w:val="auto"/>
          <w:sz w:val="32"/>
          <w:szCs w:val="32"/>
          <w:highlight w:val="none"/>
          <w:lang w:eastAsia="zh-CN"/>
        </w:rPr>
        <w:t>度</w:t>
      </w:r>
      <w:r>
        <w:rPr>
          <w:rFonts w:hint="default" w:ascii="Times New Roman" w:hAnsi="Times New Roman" w:eastAsia="方正仿宋_GB2312" w:cs="Times New Roman"/>
          <w:b w:val="0"/>
          <w:bCs/>
          <w:color w:val="auto"/>
          <w:sz w:val="32"/>
          <w:szCs w:val="32"/>
          <w:highlight w:val="none"/>
        </w:rPr>
        <w:t>减少</w:t>
      </w:r>
      <w:r>
        <w:rPr>
          <w:rFonts w:hint="default" w:ascii="Times New Roman" w:hAnsi="Times New Roman" w:eastAsia="方正仿宋_GB2312" w:cs="Times New Roman"/>
          <w:b w:val="0"/>
          <w:bCs/>
          <w:color w:val="auto"/>
          <w:sz w:val="32"/>
          <w:szCs w:val="32"/>
          <w:highlight w:val="none"/>
          <w:lang w:val="en-US" w:eastAsia="zh-CN"/>
        </w:rPr>
        <w:t>0.12</w:t>
      </w:r>
      <w:r>
        <w:rPr>
          <w:rFonts w:hint="default" w:ascii="Times New Roman" w:hAnsi="Times New Roman" w:eastAsia="方正仿宋_GB2312" w:cs="Times New Roman"/>
          <w:b w:val="0"/>
          <w:bCs/>
          <w:color w:val="auto"/>
          <w:sz w:val="32"/>
          <w:szCs w:val="32"/>
          <w:highlight w:val="none"/>
        </w:rPr>
        <w:t>万元，下降</w:t>
      </w:r>
      <w:r>
        <w:rPr>
          <w:rFonts w:hint="default" w:ascii="Times New Roman" w:hAnsi="Times New Roman" w:eastAsia="方正仿宋_GB2312" w:cs="Times New Roman"/>
          <w:b w:val="0"/>
          <w:bCs/>
          <w:color w:val="auto"/>
          <w:sz w:val="32"/>
          <w:szCs w:val="32"/>
          <w:highlight w:val="none"/>
          <w:lang w:val="en-US" w:eastAsia="zh-CN"/>
        </w:rPr>
        <w:t>5.15</w:t>
      </w:r>
      <w:r>
        <w:rPr>
          <w:rFonts w:hint="default" w:ascii="Times New Roman" w:hAnsi="Times New Roman" w:eastAsia="方正仿宋_GB2312" w:cs="Times New Roman"/>
          <w:b w:val="0"/>
          <w:bCs/>
          <w:color w:val="auto"/>
          <w:sz w:val="32"/>
          <w:szCs w:val="32"/>
          <w:highlight w:val="none"/>
        </w:rPr>
        <w:t>%。</w:t>
      </w:r>
      <w:r>
        <w:rPr>
          <w:rFonts w:hint="default" w:ascii="Times New Roman" w:hAnsi="Times New Roman" w:eastAsia="方正仿宋_GB2312" w:cs="Times New Roman"/>
          <w:b w:val="0"/>
          <w:bCs/>
          <w:sz w:val="32"/>
          <w:szCs w:val="32"/>
        </w:rPr>
        <w:t>主要原因是</w:t>
      </w:r>
      <w:r>
        <w:rPr>
          <w:rFonts w:hint="default" w:ascii="Times New Roman" w:hAnsi="Times New Roman" w:eastAsia="方正仿宋_GB2312" w:cs="Times New Roman"/>
          <w:b w:val="0"/>
          <w:bCs/>
          <w:sz w:val="32"/>
          <w:szCs w:val="32"/>
          <w:lang w:eastAsia="zh-CN"/>
        </w:rPr>
        <w:t>秉持控制</w:t>
      </w:r>
      <w:r>
        <w:rPr>
          <w:rFonts w:hint="default" w:ascii="Times New Roman" w:hAnsi="Times New Roman" w:eastAsia="方正仿宋_GB2312" w:cs="Times New Roman"/>
          <w:b w:val="0"/>
          <w:bCs/>
          <w:sz w:val="32"/>
          <w:szCs w:val="32"/>
        </w:rPr>
        <w:t>公务车非必要不动车的原则，增加绿色出行。</w:t>
      </w:r>
    </w:p>
    <w:p w14:paraId="46EFBF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rPr>
        <w:t>其中：公务用车购置支出</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万元。全年按规定更新购置公务用车</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辆，其中：轿车</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辆、金额</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万元，越野车</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辆、金额</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万元，载客汽车</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辆、金额</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万元。截至</w:t>
      </w:r>
      <w:r>
        <w:rPr>
          <w:rFonts w:hint="default" w:ascii="Times New Roman" w:hAnsi="Times New Roman" w:eastAsia="方正仿宋_GB2312" w:cs="Times New Roman"/>
          <w:b w:val="0"/>
          <w:bCs/>
          <w:color w:val="auto"/>
          <w:sz w:val="32"/>
          <w:szCs w:val="32"/>
          <w:highlight w:val="none"/>
          <w:lang w:eastAsia="zh-CN"/>
        </w:rPr>
        <w:t>202</w:t>
      </w:r>
      <w:r>
        <w:rPr>
          <w:rFonts w:hint="default" w:ascii="Times New Roman" w:hAnsi="Times New Roman" w:eastAsia="方正仿宋_GB2312" w:cs="Times New Roman"/>
          <w:b w:val="0"/>
          <w:bCs/>
          <w:color w:val="auto"/>
          <w:sz w:val="32"/>
          <w:szCs w:val="32"/>
          <w:highlight w:val="none"/>
          <w:lang w:val="en-US" w:eastAsia="zh-CN"/>
        </w:rPr>
        <w:t>4</w:t>
      </w:r>
      <w:r>
        <w:rPr>
          <w:rFonts w:hint="default" w:ascii="Times New Roman" w:hAnsi="Times New Roman" w:eastAsia="方正仿宋_GB2312" w:cs="Times New Roman"/>
          <w:b w:val="0"/>
          <w:bCs/>
          <w:color w:val="auto"/>
          <w:sz w:val="32"/>
          <w:szCs w:val="32"/>
          <w:highlight w:val="none"/>
        </w:rPr>
        <w:t>年12月</w:t>
      </w:r>
      <w:r>
        <w:rPr>
          <w:rFonts w:hint="default" w:ascii="Times New Roman" w:hAnsi="Times New Roman" w:eastAsia="方正仿宋_GB2312" w:cs="Times New Roman"/>
          <w:b w:val="0"/>
          <w:bCs/>
          <w:color w:val="auto"/>
          <w:sz w:val="32"/>
          <w:szCs w:val="32"/>
          <w:highlight w:val="none"/>
          <w:lang w:val="en-US" w:eastAsia="zh-CN"/>
        </w:rPr>
        <w:t>31日</w:t>
      </w:r>
      <w:r>
        <w:rPr>
          <w:rFonts w:hint="default" w:ascii="Times New Roman" w:hAnsi="Times New Roman" w:eastAsia="方正仿宋_GB2312" w:cs="Times New Roman"/>
          <w:b w:val="0"/>
          <w:bCs/>
          <w:color w:val="auto"/>
          <w:sz w:val="32"/>
          <w:szCs w:val="32"/>
          <w:highlight w:val="none"/>
        </w:rPr>
        <w:t>，单位共有公务用车</w:t>
      </w:r>
      <w:r>
        <w:rPr>
          <w:rFonts w:hint="default" w:ascii="Times New Roman" w:hAnsi="Times New Roman" w:eastAsia="方正仿宋_GB2312" w:cs="Times New Roman"/>
          <w:b w:val="0"/>
          <w:bCs/>
          <w:color w:val="auto"/>
          <w:sz w:val="32"/>
          <w:szCs w:val="32"/>
          <w:highlight w:val="none"/>
          <w:lang w:val="en-US" w:eastAsia="zh-CN"/>
        </w:rPr>
        <w:t>2</w:t>
      </w:r>
      <w:r>
        <w:rPr>
          <w:rFonts w:hint="default" w:ascii="Times New Roman" w:hAnsi="Times New Roman" w:eastAsia="方正仿宋_GB2312" w:cs="Times New Roman"/>
          <w:b w:val="0"/>
          <w:bCs/>
          <w:color w:val="auto"/>
          <w:sz w:val="32"/>
          <w:szCs w:val="32"/>
          <w:highlight w:val="none"/>
        </w:rPr>
        <w:t>辆，其中：轿车</w:t>
      </w:r>
      <w:r>
        <w:rPr>
          <w:rFonts w:hint="default" w:ascii="Times New Roman" w:hAnsi="Times New Roman" w:eastAsia="方正仿宋_GB2312" w:cs="Times New Roman"/>
          <w:b w:val="0"/>
          <w:bCs/>
          <w:color w:val="auto"/>
          <w:sz w:val="32"/>
          <w:szCs w:val="32"/>
          <w:highlight w:val="none"/>
          <w:lang w:val="en-US" w:eastAsia="zh-CN"/>
        </w:rPr>
        <w:t>1</w:t>
      </w:r>
      <w:r>
        <w:rPr>
          <w:rFonts w:hint="default" w:ascii="Times New Roman" w:hAnsi="Times New Roman" w:eastAsia="方正仿宋_GB2312" w:cs="Times New Roman"/>
          <w:b w:val="0"/>
          <w:bCs/>
          <w:color w:val="auto"/>
          <w:sz w:val="32"/>
          <w:szCs w:val="32"/>
          <w:highlight w:val="none"/>
        </w:rPr>
        <w:t>辆、越野车</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辆、载客汽车</w:t>
      </w:r>
      <w:r>
        <w:rPr>
          <w:rFonts w:hint="default" w:ascii="Times New Roman" w:hAnsi="Times New Roman" w:eastAsia="方正仿宋_GB2312" w:cs="Times New Roman"/>
          <w:b w:val="0"/>
          <w:bCs/>
          <w:color w:val="auto"/>
          <w:sz w:val="32"/>
          <w:szCs w:val="32"/>
          <w:highlight w:val="none"/>
          <w:lang w:val="en-US" w:eastAsia="zh-CN"/>
        </w:rPr>
        <w:t>1</w:t>
      </w:r>
      <w:r>
        <w:rPr>
          <w:rFonts w:hint="default" w:ascii="Times New Roman" w:hAnsi="Times New Roman" w:eastAsia="方正仿宋_GB2312" w:cs="Times New Roman"/>
          <w:b w:val="0"/>
          <w:bCs/>
          <w:color w:val="auto"/>
          <w:sz w:val="32"/>
          <w:szCs w:val="32"/>
          <w:highlight w:val="none"/>
        </w:rPr>
        <w:t>辆。</w:t>
      </w:r>
    </w:p>
    <w:p w14:paraId="010A8C15">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rPr>
        <w:t>公务用车运行维护费支出</w:t>
      </w:r>
      <w:r>
        <w:rPr>
          <w:rFonts w:hint="default" w:ascii="Times New Roman" w:hAnsi="Times New Roman" w:eastAsia="方正仿宋_GB2312" w:cs="Times New Roman"/>
          <w:b w:val="0"/>
          <w:bCs/>
          <w:color w:val="auto"/>
          <w:sz w:val="32"/>
          <w:szCs w:val="32"/>
          <w:highlight w:val="none"/>
          <w:lang w:val="en-US" w:eastAsia="zh-CN"/>
        </w:rPr>
        <w:t>2.21</w:t>
      </w:r>
      <w:r>
        <w:rPr>
          <w:rFonts w:hint="default" w:ascii="Times New Roman" w:hAnsi="Times New Roman" w:eastAsia="方正仿宋_GB2312" w:cs="Times New Roman"/>
          <w:b w:val="0"/>
          <w:bCs/>
          <w:color w:val="auto"/>
          <w:sz w:val="32"/>
          <w:szCs w:val="32"/>
          <w:highlight w:val="none"/>
        </w:rPr>
        <w:t>万元。</w:t>
      </w:r>
      <w:r>
        <w:rPr>
          <w:rFonts w:hint="default" w:ascii="Times New Roman" w:hAnsi="Times New Roman" w:eastAsia="方正仿宋_GB2312" w:cs="Times New Roman"/>
          <w:b w:val="0"/>
          <w:bCs/>
          <w:sz w:val="32"/>
          <w:szCs w:val="32"/>
        </w:rPr>
        <w:t>主要用于</w:t>
      </w:r>
      <w:r>
        <w:rPr>
          <w:rFonts w:hint="default" w:ascii="Times New Roman" w:hAnsi="Times New Roman" w:eastAsia="方正仿宋_GB2312" w:cs="Times New Roman"/>
          <w:b w:val="0"/>
          <w:bCs/>
          <w:sz w:val="32"/>
          <w:szCs w:val="32"/>
          <w:lang w:eastAsia="zh-CN"/>
        </w:rPr>
        <w:t>公共</w:t>
      </w:r>
      <w:r>
        <w:rPr>
          <w:rFonts w:hint="default" w:ascii="Times New Roman" w:hAnsi="Times New Roman" w:eastAsia="方正仿宋_GB2312" w:cs="Times New Roman"/>
          <w:b w:val="0"/>
          <w:bCs/>
          <w:sz w:val="32"/>
          <w:szCs w:val="32"/>
        </w:rPr>
        <w:t>文化服务免费开放活动下基层组织、指导、创作采风、非遗调研、挖掘等</w:t>
      </w:r>
      <w:r>
        <w:rPr>
          <w:rFonts w:hint="default" w:ascii="Times New Roman" w:hAnsi="Times New Roman" w:eastAsia="方正仿宋_GB2312" w:cs="Times New Roman"/>
          <w:b w:val="0"/>
          <w:bCs/>
          <w:color w:val="auto"/>
          <w:sz w:val="32"/>
          <w:szCs w:val="32"/>
          <w:highlight w:val="none"/>
        </w:rPr>
        <w:t>公务用车燃料费、维修费、过路费、保险费等支出。</w:t>
      </w:r>
    </w:p>
    <w:p w14:paraId="473B897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lang w:val="en-US" w:eastAsia="zh-CN"/>
        </w:rPr>
        <w:t>3</w:t>
      </w:r>
      <w:r>
        <w:rPr>
          <w:rFonts w:hint="default" w:ascii="Times New Roman" w:hAnsi="Times New Roman" w:eastAsia="方正仿宋_GB2312" w:cs="Times New Roman"/>
          <w:b w:val="0"/>
          <w:bCs/>
          <w:kern w:val="0"/>
          <w:sz w:val="32"/>
          <w:szCs w:val="32"/>
        </w:rPr>
        <w:t>．</w:t>
      </w:r>
      <w:r>
        <w:rPr>
          <w:rFonts w:hint="default" w:ascii="Times New Roman" w:hAnsi="Times New Roman" w:eastAsia="方正仿宋_GB2312" w:cs="Times New Roman"/>
          <w:b w:val="0"/>
          <w:bCs/>
          <w:color w:val="auto"/>
          <w:sz w:val="32"/>
          <w:szCs w:val="32"/>
          <w:highlight w:val="none"/>
        </w:rPr>
        <w:t>公务接待费支出</w:t>
      </w:r>
      <w:r>
        <w:rPr>
          <w:rFonts w:hint="default" w:ascii="Times New Roman" w:hAnsi="Times New Roman" w:eastAsia="方正仿宋_GB2312" w:cs="Times New Roman"/>
          <w:b w:val="0"/>
          <w:bCs/>
          <w:color w:val="auto"/>
          <w:sz w:val="32"/>
          <w:szCs w:val="32"/>
          <w:highlight w:val="none"/>
          <w:lang w:val="en-US" w:eastAsia="zh-CN"/>
        </w:rPr>
        <w:t>0.37</w:t>
      </w:r>
      <w:r>
        <w:rPr>
          <w:rFonts w:hint="default" w:ascii="Times New Roman" w:hAnsi="Times New Roman" w:eastAsia="方正仿宋_GB2312" w:cs="Times New Roman"/>
          <w:b w:val="0"/>
          <w:bCs/>
          <w:color w:val="auto"/>
          <w:sz w:val="32"/>
          <w:szCs w:val="32"/>
          <w:highlight w:val="none"/>
        </w:rPr>
        <w:t>万元，</w:t>
      </w:r>
      <w:r>
        <w:rPr>
          <w:rStyle w:val="12"/>
          <w:rFonts w:hint="default" w:ascii="Times New Roman" w:hAnsi="Times New Roman" w:eastAsia="方正仿宋_GB2312" w:cs="Times New Roman"/>
          <w:b w:val="0"/>
          <w:bCs/>
          <w:color w:val="auto"/>
          <w:sz w:val="32"/>
          <w:szCs w:val="32"/>
          <w:highlight w:val="none"/>
        </w:rPr>
        <w:t>完成预算</w:t>
      </w:r>
      <w:r>
        <w:rPr>
          <w:rStyle w:val="12"/>
          <w:rFonts w:hint="default" w:ascii="Times New Roman" w:hAnsi="Times New Roman" w:eastAsia="方正仿宋_GB2312" w:cs="Times New Roman"/>
          <w:b w:val="0"/>
          <w:bCs/>
          <w:color w:val="auto"/>
          <w:sz w:val="32"/>
          <w:szCs w:val="32"/>
          <w:highlight w:val="none"/>
          <w:lang w:val="en-US" w:eastAsia="zh-CN"/>
        </w:rPr>
        <w:t>100</w:t>
      </w:r>
      <w:r>
        <w:rPr>
          <w:rStyle w:val="12"/>
          <w:rFonts w:hint="default" w:ascii="Times New Roman" w:hAnsi="Times New Roman" w:eastAsia="方正仿宋_GB2312" w:cs="Times New Roman"/>
          <w:b w:val="0"/>
          <w:bCs/>
          <w:color w:val="auto"/>
          <w:sz w:val="32"/>
          <w:szCs w:val="32"/>
          <w:highlight w:val="none"/>
        </w:rPr>
        <w:t>%。</w:t>
      </w:r>
      <w:r>
        <w:rPr>
          <w:rFonts w:hint="default" w:ascii="Times New Roman" w:hAnsi="Times New Roman" w:eastAsia="方正仿宋_GB2312" w:cs="Times New Roman"/>
          <w:b w:val="0"/>
          <w:bCs/>
          <w:color w:val="auto"/>
          <w:sz w:val="32"/>
          <w:szCs w:val="32"/>
          <w:highlight w:val="none"/>
        </w:rPr>
        <w:t>公务接待费支出决算比</w:t>
      </w:r>
      <w:r>
        <w:rPr>
          <w:rFonts w:hint="default" w:ascii="Times New Roman" w:hAnsi="Times New Roman" w:eastAsia="方正仿宋_GB2312" w:cs="Times New Roman"/>
          <w:b w:val="0"/>
          <w:bCs/>
          <w:color w:val="auto"/>
          <w:sz w:val="32"/>
          <w:szCs w:val="32"/>
          <w:highlight w:val="none"/>
          <w:lang w:eastAsia="zh-CN"/>
        </w:rPr>
        <w:t>202</w:t>
      </w:r>
      <w:r>
        <w:rPr>
          <w:rFonts w:hint="default" w:ascii="Times New Roman" w:hAnsi="Times New Roman" w:eastAsia="方正仿宋_GB2312" w:cs="Times New Roman"/>
          <w:b w:val="0"/>
          <w:bCs/>
          <w:color w:val="auto"/>
          <w:sz w:val="32"/>
          <w:szCs w:val="32"/>
          <w:highlight w:val="none"/>
          <w:lang w:val="en-US" w:eastAsia="zh-CN"/>
        </w:rPr>
        <w:t>3</w:t>
      </w:r>
      <w:r>
        <w:rPr>
          <w:rFonts w:hint="default" w:ascii="Times New Roman" w:hAnsi="Times New Roman" w:eastAsia="方正仿宋_GB2312" w:cs="Times New Roman"/>
          <w:b w:val="0"/>
          <w:bCs/>
          <w:color w:val="auto"/>
          <w:sz w:val="32"/>
          <w:szCs w:val="32"/>
          <w:highlight w:val="none"/>
        </w:rPr>
        <w:t>年</w:t>
      </w:r>
      <w:r>
        <w:rPr>
          <w:rFonts w:hint="default" w:ascii="Times New Roman" w:hAnsi="Times New Roman" w:eastAsia="方正仿宋_GB2312" w:cs="Times New Roman"/>
          <w:b w:val="0"/>
          <w:bCs/>
          <w:color w:val="auto"/>
          <w:sz w:val="32"/>
          <w:szCs w:val="32"/>
          <w:highlight w:val="none"/>
          <w:lang w:eastAsia="zh-CN"/>
        </w:rPr>
        <w:t>度</w:t>
      </w:r>
      <w:r>
        <w:rPr>
          <w:rFonts w:hint="default" w:ascii="Times New Roman" w:hAnsi="Times New Roman" w:eastAsia="方正仿宋_GB2312" w:cs="Times New Roman"/>
          <w:b w:val="0"/>
          <w:bCs/>
          <w:color w:val="auto"/>
          <w:sz w:val="32"/>
          <w:szCs w:val="32"/>
          <w:highlight w:val="none"/>
        </w:rPr>
        <w:t>增加</w:t>
      </w:r>
      <w:r>
        <w:rPr>
          <w:rFonts w:hint="default" w:ascii="Times New Roman" w:hAnsi="Times New Roman" w:eastAsia="方正仿宋_GB2312" w:cs="Times New Roman"/>
          <w:b w:val="0"/>
          <w:bCs/>
          <w:color w:val="auto"/>
          <w:sz w:val="32"/>
          <w:szCs w:val="32"/>
          <w:highlight w:val="none"/>
          <w:lang w:val="en-US" w:eastAsia="zh-CN"/>
        </w:rPr>
        <w:t>0.08</w:t>
      </w:r>
      <w:r>
        <w:rPr>
          <w:rFonts w:hint="default" w:ascii="Times New Roman" w:hAnsi="Times New Roman" w:eastAsia="方正仿宋_GB2312" w:cs="Times New Roman"/>
          <w:b w:val="0"/>
          <w:bCs/>
          <w:color w:val="auto"/>
          <w:sz w:val="32"/>
          <w:szCs w:val="32"/>
          <w:highlight w:val="none"/>
        </w:rPr>
        <w:t>万元，增长</w:t>
      </w:r>
      <w:r>
        <w:rPr>
          <w:rFonts w:hint="default" w:ascii="Times New Roman" w:hAnsi="Times New Roman" w:eastAsia="方正仿宋_GB2312" w:cs="Times New Roman"/>
          <w:b w:val="0"/>
          <w:bCs/>
          <w:color w:val="auto"/>
          <w:sz w:val="32"/>
          <w:szCs w:val="32"/>
          <w:highlight w:val="none"/>
          <w:lang w:val="en-US" w:eastAsia="zh-CN"/>
        </w:rPr>
        <w:t>27.59</w:t>
      </w:r>
      <w:r>
        <w:rPr>
          <w:rFonts w:hint="default" w:ascii="Times New Roman" w:hAnsi="Times New Roman" w:eastAsia="方正仿宋_GB2312" w:cs="Times New Roman"/>
          <w:b w:val="0"/>
          <w:bCs/>
          <w:color w:val="auto"/>
          <w:sz w:val="32"/>
          <w:szCs w:val="32"/>
          <w:highlight w:val="none"/>
        </w:rPr>
        <w:t>%。</w:t>
      </w:r>
      <w:r>
        <w:rPr>
          <w:rFonts w:hint="default" w:ascii="Times New Roman" w:hAnsi="Times New Roman" w:eastAsia="方正仿宋_GB2312" w:cs="Times New Roman"/>
          <w:b w:val="0"/>
          <w:bCs/>
          <w:sz w:val="32"/>
          <w:szCs w:val="32"/>
        </w:rPr>
        <w:t>主要用于执行公务、开展业务活动开支的用餐费。</w:t>
      </w:r>
      <w:r>
        <w:rPr>
          <w:rFonts w:hint="default" w:ascii="Times New Roman" w:hAnsi="Times New Roman" w:eastAsia="方正仿宋_GB2312" w:cs="Times New Roman"/>
          <w:b w:val="0"/>
          <w:bCs/>
          <w:color w:val="auto"/>
          <w:sz w:val="32"/>
          <w:szCs w:val="32"/>
          <w:highlight w:val="none"/>
        </w:rPr>
        <w:t>其中：</w:t>
      </w:r>
    </w:p>
    <w:p w14:paraId="36CC176C">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rPr>
        <w:t>国内公务接待支出</w:t>
      </w:r>
      <w:r>
        <w:rPr>
          <w:rFonts w:hint="default" w:ascii="Times New Roman" w:hAnsi="Times New Roman" w:eastAsia="方正仿宋_GB2312" w:cs="Times New Roman"/>
          <w:b w:val="0"/>
          <w:bCs/>
          <w:color w:val="auto"/>
          <w:sz w:val="32"/>
          <w:szCs w:val="32"/>
          <w:highlight w:val="none"/>
          <w:lang w:val="en-US" w:eastAsia="zh-CN"/>
        </w:rPr>
        <w:t>0.37</w:t>
      </w:r>
      <w:r>
        <w:rPr>
          <w:rFonts w:hint="default" w:ascii="Times New Roman" w:hAnsi="Times New Roman" w:eastAsia="方正仿宋_GB2312" w:cs="Times New Roman"/>
          <w:b w:val="0"/>
          <w:bCs/>
          <w:color w:val="auto"/>
          <w:sz w:val="32"/>
          <w:szCs w:val="32"/>
          <w:highlight w:val="none"/>
        </w:rPr>
        <w:t>万元，主要</w:t>
      </w:r>
      <w:r>
        <w:rPr>
          <w:rFonts w:hint="default" w:ascii="Times New Roman" w:hAnsi="Times New Roman" w:eastAsia="方正仿宋_GB2312" w:cs="Times New Roman"/>
          <w:b w:val="0"/>
          <w:bCs/>
          <w:color w:val="auto"/>
          <w:sz w:val="32"/>
          <w:szCs w:val="32"/>
          <w:highlight w:val="none"/>
          <w:lang w:eastAsia="zh-CN"/>
        </w:rPr>
        <w:t>用于</w:t>
      </w:r>
      <w:r>
        <w:rPr>
          <w:rFonts w:hint="default" w:ascii="Times New Roman" w:hAnsi="Times New Roman" w:eastAsia="方正仿宋_GB2312" w:cs="Times New Roman"/>
          <w:b w:val="0"/>
          <w:bCs/>
          <w:color w:val="auto"/>
          <w:sz w:val="32"/>
          <w:szCs w:val="32"/>
          <w:highlight w:val="none"/>
        </w:rPr>
        <w:t>执行公务、开展业务活动开支的交通费、住宿费、用餐费</w:t>
      </w:r>
      <w:r>
        <w:rPr>
          <w:rFonts w:hint="default" w:ascii="Times New Roman" w:hAnsi="Times New Roman" w:eastAsia="方正仿宋_GB2312" w:cs="Times New Roman"/>
          <w:b w:val="0"/>
          <w:bCs/>
          <w:color w:val="auto"/>
          <w:sz w:val="32"/>
          <w:szCs w:val="32"/>
          <w:highlight w:val="none"/>
          <w:lang w:eastAsia="zh-CN"/>
        </w:rPr>
        <w:t>等</w:t>
      </w:r>
      <w:r>
        <w:rPr>
          <w:rFonts w:hint="default" w:ascii="Times New Roman" w:hAnsi="Times New Roman" w:eastAsia="方正仿宋_GB2312" w:cs="Times New Roman"/>
          <w:b w:val="0"/>
          <w:bCs/>
          <w:color w:val="auto"/>
          <w:sz w:val="32"/>
          <w:szCs w:val="32"/>
          <w:highlight w:val="none"/>
        </w:rPr>
        <w:t>。国内公务接待</w:t>
      </w:r>
      <w:r>
        <w:rPr>
          <w:rFonts w:hint="default" w:ascii="Times New Roman" w:hAnsi="Times New Roman" w:eastAsia="方正仿宋_GB2312" w:cs="Times New Roman"/>
          <w:b w:val="0"/>
          <w:bCs/>
          <w:color w:val="auto"/>
          <w:sz w:val="32"/>
          <w:szCs w:val="32"/>
          <w:highlight w:val="none"/>
          <w:lang w:val="en-US" w:eastAsia="zh-CN"/>
        </w:rPr>
        <w:t>3</w:t>
      </w:r>
      <w:r>
        <w:rPr>
          <w:rFonts w:hint="default" w:ascii="Times New Roman" w:hAnsi="Times New Roman" w:eastAsia="方正仿宋_GB2312" w:cs="Times New Roman"/>
          <w:b w:val="0"/>
          <w:bCs/>
          <w:color w:val="auto"/>
          <w:sz w:val="32"/>
          <w:szCs w:val="32"/>
          <w:highlight w:val="none"/>
        </w:rPr>
        <w:t>批次，</w:t>
      </w:r>
      <w:r>
        <w:rPr>
          <w:rFonts w:hint="default" w:ascii="Times New Roman" w:hAnsi="Times New Roman" w:eastAsia="方正仿宋_GB2312" w:cs="Times New Roman"/>
          <w:b w:val="0"/>
          <w:bCs/>
          <w:color w:val="auto"/>
          <w:sz w:val="32"/>
          <w:szCs w:val="32"/>
          <w:highlight w:val="none"/>
          <w:lang w:val="en-US" w:eastAsia="zh-CN"/>
        </w:rPr>
        <w:t>16</w:t>
      </w:r>
      <w:r>
        <w:rPr>
          <w:rFonts w:hint="default" w:ascii="Times New Roman" w:hAnsi="Times New Roman" w:eastAsia="方正仿宋_GB2312" w:cs="Times New Roman"/>
          <w:b w:val="0"/>
          <w:bCs/>
          <w:color w:val="auto"/>
          <w:sz w:val="32"/>
          <w:szCs w:val="32"/>
          <w:highlight w:val="none"/>
        </w:rPr>
        <w:t>人次（不包括陪同人员），共计支出</w:t>
      </w:r>
      <w:r>
        <w:rPr>
          <w:rFonts w:hint="default" w:ascii="Times New Roman" w:hAnsi="Times New Roman" w:eastAsia="方正仿宋_GB2312" w:cs="Times New Roman"/>
          <w:b w:val="0"/>
          <w:bCs/>
          <w:color w:val="auto"/>
          <w:sz w:val="32"/>
          <w:szCs w:val="32"/>
          <w:highlight w:val="none"/>
          <w:lang w:val="en-US" w:eastAsia="zh-CN"/>
        </w:rPr>
        <w:t>0.37</w:t>
      </w:r>
      <w:r>
        <w:rPr>
          <w:rFonts w:hint="default" w:ascii="Times New Roman" w:hAnsi="Times New Roman" w:eastAsia="方正仿宋_GB2312" w:cs="Times New Roman"/>
          <w:b w:val="0"/>
          <w:bCs/>
          <w:color w:val="auto"/>
          <w:sz w:val="32"/>
          <w:szCs w:val="32"/>
          <w:highlight w:val="none"/>
        </w:rPr>
        <w:t>万元，具体内容包括：</w:t>
      </w:r>
      <w:r>
        <w:rPr>
          <w:rFonts w:hint="default" w:ascii="Times New Roman" w:hAnsi="Times New Roman" w:eastAsia="方正仿宋_GB2312" w:cs="Times New Roman"/>
          <w:b w:val="0"/>
          <w:bCs/>
          <w:color w:val="auto"/>
          <w:sz w:val="32"/>
          <w:szCs w:val="32"/>
          <w:highlight w:val="none"/>
          <w:lang w:eastAsia="zh-CN"/>
        </w:rPr>
        <w:t>省级专家来攀进行推进共富工作公务接待</w:t>
      </w:r>
      <w:r>
        <w:rPr>
          <w:rFonts w:hint="default" w:ascii="Times New Roman" w:hAnsi="Times New Roman" w:eastAsia="方正仿宋_GB2312" w:cs="Times New Roman"/>
          <w:b w:val="0"/>
          <w:bCs/>
          <w:color w:val="auto"/>
          <w:sz w:val="32"/>
          <w:szCs w:val="32"/>
          <w:highlight w:val="none"/>
          <w:lang w:val="en-US" w:eastAsia="zh-CN"/>
        </w:rPr>
        <w:t>6人次，接待费0.15万元；省艺术研究所来攀开展实地调研工作公务接待4人次，接待费0.07万元；省文旅专家团队赴攀推进共富试验区调研工作公务接待6人次，接待费0.15万元。</w:t>
      </w:r>
    </w:p>
    <w:p w14:paraId="69F9E3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color w:val="auto"/>
          <w:sz w:val="32"/>
          <w:szCs w:val="32"/>
          <w:highlight w:val="none"/>
        </w:rPr>
      </w:pPr>
      <w:r>
        <w:rPr>
          <w:rFonts w:hint="default" w:ascii="Times New Roman" w:hAnsi="Times New Roman" w:eastAsia="方正仿宋_GB2312" w:cs="Times New Roman"/>
          <w:b w:val="0"/>
          <w:bCs/>
          <w:color w:val="auto"/>
          <w:sz w:val="32"/>
          <w:szCs w:val="32"/>
          <w:highlight w:val="none"/>
        </w:rPr>
        <w:t>外事接待支出</w:t>
      </w:r>
      <w:r>
        <w:rPr>
          <w:rFonts w:hint="default" w:ascii="Times New Roman" w:hAnsi="Times New Roman" w:eastAsia="方正仿宋_GB2312" w:cs="Times New Roman"/>
          <w:b w:val="0"/>
          <w:bCs/>
          <w:color w:val="auto"/>
          <w:sz w:val="32"/>
          <w:szCs w:val="32"/>
          <w:highlight w:val="none"/>
          <w:lang w:val="en-US" w:eastAsia="zh-CN"/>
        </w:rPr>
        <w:t>0</w:t>
      </w:r>
      <w:r>
        <w:rPr>
          <w:rFonts w:hint="default" w:ascii="Times New Roman" w:hAnsi="Times New Roman" w:eastAsia="方正仿宋_GB2312" w:cs="Times New Roman"/>
          <w:b w:val="0"/>
          <w:bCs/>
          <w:color w:val="auto"/>
          <w:sz w:val="32"/>
          <w:szCs w:val="32"/>
          <w:highlight w:val="none"/>
        </w:rPr>
        <w:t>万元。</w:t>
      </w:r>
    </w:p>
    <w:p w14:paraId="72D0DEF4">
      <w:pPr>
        <w:spacing w:line="600" w:lineRule="exact"/>
        <w:ind w:firstLine="640"/>
        <w:outlineLvl w:val="1"/>
        <w:rPr>
          <w:rFonts w:hint="default" w:ascii="Times New Roman" w:hAnsi="Times New Roman" w:eastAsia="黑体" w:cs="Times New Roman"/>
          <w:color w:val="auto"/>
          <w:sz w:val="32"/>
          <w:szCs w:val="32"/>
          <w:highlight w:val="none"/>
        </w:rPr>
      </w:pPr>
    </w:p>
    <w:p w14:paraId="51AC5490">
      <w:pPr>
        <w:spacing w:line="600" w:lineRule="exact"/>
        <w:ind w:firstLine="640"/>
        <w:outlineLvl w:val="1"/>
        <w:rPr>
          <w:rStyle w:val="14"/>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14"/>
          <w:rFonts w:hint="default" w:ascii="Times New Roman" w:hAnsi="Times New Roman" w:eastAsia="黑体" w:cs="Times New Roman"/>
          <w:b w:val="0"/>
          <w:color w:val="auto"/>
          <w:highlight w:val="none"/>
        </w:rPr>
        <w:t>政府性基金预算支出决算情况说明</w:t>
      </w:r>
    </w:p>
    <w:p w14:paraId="795D8D46">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10500860">
      <w:pPr>
        <w:spacing w:line="600" w:lineRule="exact"/>
        <w:ind w:firstLine="640"/>
        <w:rPr>
          <w:rFonts w:hint="default" w:ascii="Times New Roman" w:hAnsi="Times New Roman" w:eastAsia="仿宋_GB2312" w:cs="Times New Roman"/>
          <w:color w:val="auto"/>
          <w:sz w:val="32"/>
          <w:szCs w:val="32"/>
          <w:highlight w:val="none"/>
        </w:rPr>
      </w:pPr>
    </w:p>
    <w:p w14:paraId="553920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4"/>
          <w:rFonts w:hint="default" w:ascii="Times New Roman" w:hAnsi="Times New Roman" w:eastAsia="黑体" w:cs="Times New Roman"/>
          <w:b w:val="0"/>
          <w:color w:val="auto"/>
          <w:highlight w:val="none"/>
        </w:rPr>
      </w:pPr>
      <w:r>
        <w:rPr>
          <w:rStyle w:val="14"/>
          <w:rFonts w:hint="default" w:ascii="Times New Roman" w:hAnsi="Times New Roman" w:eastAsia="黑体" w:cs="Times New Roman"/>
          <w:b w:val="0"/>
          <w:color w:val="auto"/>
          <w:highlight w:val="none"/>
          <w:lang w:eastAsia="zh-CN"/>
        </w:rPr>
        <w:t>九、</w:t>
      </w:r>
      <w:r>
        <w:rPr>
          <w:rStyle w:val="14"/>
          <w:rFonts w:hint="default" w:ascii="Times New Roman" w:hAnsi="Times New Roman" w:eastAsia="黑体" w:cs="Times New Roman"/>
          <w:b w:val="0"/>
          <w:color w:val="auto"/>
          <w:highlight w:val="none"/>
        </w:rPr>
        <w:t>国有资本经营预算支出决算情况说明</w:t>
      </w:r>
    </w:p>
    <w:p w14:paraId="7FB5AC51">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1B513B28">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default" w:ascii="Times New Roman" w:hAnsi="Times New Roman" w:eastAsia="微软雅黑" w:cs="Times New Roman"/>
          <w:color w:val="auto"/>
          <w:sz w:val="44"/>
          <w:szCs w:val="44"/>
          <w:highlight w:val="none"/>
        </w:rPr>
      </w:pPr>
    </w:p>
    <w:p w14:paraId="723A6E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4"/>
          <w:rFonts w:hint="default" w:ascii="Times New Roman" w:hAnsi="Times New Roman" w:eastAsia="黑体" w:cs="Times New Roman"/>
          <w:b w:val="0"/>
          <w:color w:val="auto"/>
          <w:highlight w:val="none"/>
        </w:rPr>
      </w:pPr>
      <w:r>
        <w:rPr>
          <w:rStyle w:val="14"/>
          <w:rFonts w:hint="default" w:ascii="Times New Roman" w:hAnsi="Times New Roman" w:eastAsia="黑体" w:cs="Times New Roman"/>
          <w:b w:val="0"/>
          <w:color w:val="auto"/>
          <w:highlight w:val="none"/>
          <w:lang w:eastAsia="zh-CN"/>
        </w:rPr>
        <w:t>十、</w:t>
      </w:r>
      <w:r>
        <w:rPr>
          <w:rStyle w:val="14"/>
          <w:rFonts w:hint="default" w:ascii="Times New Roman" w:hAnsi="Times New Roman" w:eastAsia="黑体" w:cs="Times New Roman"/>
          <w:b w:val="0"/>
          <w:color w:val="auto"/>
          <w:highlight w:val="none"/>
        </w:rPr>
        <w:t>其他重要事项的情况说明</w:t>
      </w:r>
    </w:p>
    <w:p w14:paraId="1BEA17A6">
      <w:pPr>
        <w:keepNext w:val="0"/>
        <w:keepLines w:val="0"/>
        <w:pageBreakBefore w:val="0"/>
        <w:widowControl w:val="0"/>
        <w:kinsoku/>
        <w:wordWrap/>
        <w:overflowPunct/>
        <w:topLinePunct w:val="0"/>
        <w:bidi w:val="0"/>
        <w:snapToGrid/>
        <w:spacing w:line="240" w:lineRule="auto"/>
        <w:ind w:firstLine="643" w:firstLineChars="200"/>
        <w:textAlignment w:val="auto"/>
        <w:outlineLvl w:val="2"/>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（一）机关运行经费支出情况</w:t>
      </w:r>
    </w:p>
    <w:p w14:paraId="7A4C49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sz w:val="32"/>
          <w:szCs w:val="32"/>
        </w:rPr>
        <w:t>攀枝花市文化馆机关运行经费支出0万元，与202</w:t>
      </w:r>
      <w:r>
        <w:rPr>
          <w:rFonts w:hint="default"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rPr>
        <w:t>年决算数持平。主要原因是攀枝花市文化馆是事业单位，无机关运行经费。</w:t>
      </w:r>
    </w:p>
    <w:p w14:paraId="0F644245">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left"/>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（二）政府采购支出情况</w:t>
      </w:r>
    </w:p>
    <w:p w14:paraId="7B10FB8B">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w:t>
      </w:r>
      <w:r>
        <w:rPr>
          <w:rFonts w:hint="default" w:ascii="Times New Roman" w:hAnsi="Times New Roman" w:eastAsia="方正仿宋_GB2312" w:cs="Times New Roman"/>
          <w:color w:val="auto"/>
          <w:sz w:val="32"/>
          <w:szCs w:val="32"/>
          <w:highlight w:val="none"/>
          <w:lang w:eastAsia="zh-CN"/>
        </w:rPr>
        <w:t>度</w:t>
      </w:r>
      <w:r>
        <w:rPr>
          <w:rFonts w:hint="default" w:ascii="Times New Roman" w:hAnsi="Times New Roman" w:eastAsia="方正仿宋_GB2312" w:cs="Times New Roman"/>
          <w:color w:val="auto"/>
          <w:sz w:val="32"/>
          <w:szCs w:val="32"/>
          <w:highlight w:val="none"/>
        </w:rPr>
        <w:t>，</w:t>
      </w:r>
      <w:r>
        <w:rPr>
          <w:rFonts w:hint="default" w:ascii="Times New Roman" w:hAnsi="Times New Roman" w:eastAsia="方正仿宋_GB2312" w:cs="Times New Roman"/>
          <w:color w:val="auto"/>
          <w:sz w:val="32"/>
          <w:szCs w:val="32"/>
          <w:highlight w:val="none"/>
          <w:lang w:eastAsia="zh-CN"/>
        </w:rPr>
        <w:t>攀枝花市文化馆</w:t>
      </w:r>
      <w:r>
        <w:rPr>
          <w:rFonts w:hint="default" w:ascii="Times New Roman" w:hAnsi="Times New Roman" w:eastAsia="方正仿宋_GB2312" w:cs="Times New Roman"/>
          <w:color w:val="auto"/>
          <w:sz w:val="32"/>
          <w:szCs w:val="32"/>
          <w:highlight w:val="none"/>
        </w:rPr>
        <w:t>政府采购支出总额</w:t>
      </w:r>
      <w:r>
        <w:rPr>
          <w:rFonts w:hint="default" w:ascii="Times New Roman" w:hAnsi="Times New Roman" w:eastAsia="方正仿宋_GB2312" w:cs="Times New Roman"/>
          <w:color w:val="auto"/>
          <w:sz w:val="32"/>
          <w:szCs w:val="32"/>
          <w:highlight w:val="none"/>
          <w:lang w:val="en-US" w:eastAsia="zh-CN"/>
        </w:rPr>
        <w:t>1.51</w:t>
      </w:r>
      <w:r>
        <w:rPr>
          <w:rFonts w:hint="default" w:ascii="Times New Roman" w:hAnsi="Times New Roman" w:eastAsia="方正仿宋_GB2312" w:cs="Times New Roman"/>
          <w:color w:val="auto"/>
          <w:sz w:val="32"/>
          <w:szCs w:val="32"/>
          <w:highlight w:val="none"/>
        </w:rPr>
        <w:t>万元，其中：政府采购货物支出</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万元、政府采购工程支出</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万元、政府采购服务支出</w:t>
      </w:r>
      <w:r>
        <w:rPr>
          <w:rFonts w:hint="default" w:ascii="Times New Roman" w:hAnsi="Times New Roman" w:eastAsia="方正仿宋_GB2312" w:cs="Times New Roman"/>
          <w:color w:val="auto"/>
          <w:sz w:val="32"/>
          <w:szCs w:val="32"/>
          <w:highlight w:val="none"/>
          <w:lang w:val="en-US" w:eastAsia="zh-CN"/>
        </w:rPr>
        <w:t>1.51</w:t>
      </w:r>
      <w:r>
        <w:rPr>
          <w:rFonts w:hint="default" w:ascii="Times New Roman" w:hAnsi="Times New Roman" w:eastAsia="方正仿宋_GB2312" w:cs="Times New Roman"/>
          <w:color w:val="auto"/>
          <w:sz w:val="32"/>
          <w:szCs w:val="32"/>
          <w:highlight w:val="none"/>
        </w:rPr>
        <w:t>万元</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根据有关规定，公务用车维修等需政府采购，主要用于公务车维修、加油、车保等费用）</w:t>
      </w:r>
      <w:r>
        <w:rPr>
          <w:rFonts w:hint="default" w:ascii="Times New Roman" w:hAnsi="Times New Roman" w:eastAsia="方正仿宋_GB2312" w:cs="Times New Roman"/>
          <w:color w:val="auto"/>
          <w:sz w:val="32"/>
          <w:szCs w:val="32"/>
          <w:highlight w:val="none"/>
        </w:rPr>
        <w:t>。授予中小企业合同金额</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万元，占政府采购支出总额的</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%，其中：授予小微企业合同金额</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万元，占政府采购支出总额的</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w:t>
      </w:r>
    </w:p>
    <w:p w14:paraId="5F573FE0">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left"/>
        <w:textAlignment w:val="auto"/>
        <w:outlineLvl w:val="2"/>
        <w:rPr>
          <w:rFonts w:hint="default" w:ascii="Times New Roman" w:hAnsi="Times New Roman" w:eastAsia="方正仿宋_GB2312" w:cs="Times New Roman"/>
          <w:b/>
          <w:color w:val="auto"/>
          <w:sz w:val="32"/>
          <w:szCs w:val="32"/>
          <w:highlight w:val="none"/>
        </w:rPr>
      </w:pPr>
      <w:r>
        <w:rPr>
          <w:rFonts w:hint="default" w:ascii="Times New Roman" w:hAnsi="Times New Roman" w:eastAsia="方正仿宋_GB2312" w:cs="Times New Roman"/>
          <w:b/>
          <w:color w:val="auto"/>
          <w:sz w:val="32"/>
          <w:szCs w:val="32"/>
          <w:highlight w:val="none"/>
        </w:rPr>
        <w:t>（三）国有资产占有使用情况</w:t>
      </w:r>
    </w:p>
    <w:p w14:paraId="632F1B79">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截至</w:t>
      </w:r>
      <w:r>
        <w:rPr>
          <w:rFonts w:hint="default" w:ascii="Times New Roman" w:hAnsi="Times New Roman" w:eastAsia="方正仿宋_GB2312" w:cs="Times New Roman"/>
          <w:color w:val="auto"/>
          <w:sz w:val="32"/>
          <w:szCs w:val="32"/>
          <w:highlight w:val="none"/>
          <w:lang w:eastAsia="zh-CN"/>
        </w:rPr>
        <w:t>202</w:t>
      </w:r>
      <w:r>
        <w:rPr>
          <w:rFonts w:hint="default" w:ascii="Times New Roman" w:hAnsi="Times New Roman" w:eastAsia="方正仿宋_GB2312" w:cs="Times New Roman"/>
          <w:color w:val="auto"/>
          <w:sz w:val="32"/>
          <w:szCs w:val="32"/>
          <w:highlight w:val="none"/>
          <w:lang w:val="en-US" w:eastAsia="zh-CN"/>
        </w:rPr>
        <w:t>4</w:t>
      </w:r>
      <w:r>
        <w:rPr>
          <w:rFonts w:hint="default" w:ascii="Times New Roman" w:hAnsi="Times New Roman" w:eastAsia="方正仿宋_GB2312" w:cs="Times New Roman"/>
          <w:color w:val="auto"/>
          <w:sz w:val="32"/>
          <w:szCs w:val="32"/>
          <w:highlight w:val="none"/>
        </w:rPr>
        <w:t>年12月31日，</w:t>
      </w:r>
      <w:r>
        <w:rPr>
          <w:rFonts w:hint="default" w:ascii="Times New Roman" w:hAnsi="Times New Roman" w:eastAsia="方正仿宋_GB2312" w:cs="Times New Roman"/>
          <w:color w:val="auto"/>
          <w:sz w:val="32"/>
          <w:szCs w:val="32"/>
          <w:highlight w:val="none"/>
          <w:lang w:eastAsia="zh-CN"/>
        </w:rPr>
        <w:t>攀枝花市文化馆</w:t>
      </w:r>
      <w:r>
        <w:rPr>
          <w:rFonts w:hint="default" w:ascii="Times New Roman" w:hAnsi="Times New Roman" w:eastAsia="方正仿宋_GB2312" w:cs="Times New Roman"/>
          <w:color w:val="auto"/>
          <w:sz w:val="32"/>
          <w:szCs w:val="32"/>
          <w:highlight w:val="none"/>
        </w:rPr>
        <w:t>共有车辆</w:t>
      </w:r>
      <w:r>
        <w:rPr>
          <w:rFonts w:hint="default" w:ascii="Times New Roman" w:hAnsi="Times New Roman" w:eastAsia="方正仿宋_GB2312" w:cs="Times New Roman"/>
          <w:color w:val="auto"/>
          <w:sz w:val="32"/>
          <w:szCs w:val="32"/>
          <w:highlight w:val="none"/>
          <w:lang w:val="en-US" w:eastAsia="zh-CN"/>
        </w:rPr>
        <w:t>2</w:t>
      </w:r>
      <w:r>
        <w:rPr>
          <w:rFonts w:hint="default" w:ascii="Times New Roman" w:hAnsi="Times New Roman" w:eastAsia="方正仿宋_GB2312" w:cs="Times New Roman"/>
          <w:color w:val="auto"/>
          <w:sz w:val="32"/>
          <w:szCs w:val="32"/>
          <w:highlight w:val="none"/>
        </w:rPr>
        <w:t>辆，其中：主要领导干部用车</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辆、机要通信用车</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辆、应急保障用车</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辆、其他用车</w:t>
      </w:r>
      <w:r>
        <w:rPr>
          <w:rFonts w:hint="default" w:ascii="Times New Roman" w:hAnsi="Times New Roman" w:eastAsia="方正仿宋_GB2312" w:cs="Times New Roman"/>
          <w:color w:val="auto"/>
          <w:sz w:val="32"/>
          <w:szCs w:val="32"/>
          <w:highlight w:val="none"/>
          <w:lang w:val="en-US" w:eastAsia="zh-CN"/>
        </w:rPr>
        <w:t>2</w:t>
      </w:r>
      <w:r>
        <w:rPr>
          <w:rFonts w:hint="default" w:ascii="Times New Roman" w:hAnsi="Times New Roman" w:eastAsia="方正仿宋_GB2312" w:cs="Times New Roman"/>
          <w:color w:val="auto"/>
          <w:sz w:val="32"/>
          <w:szCs w:val="32"/>
          <w:highlight w:val="none"/>
        </w:rPr>
        <w:t>辆</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sz w:val="32"/>
          <w:szCs w:val="32"/>
        </w:rPr>
        <w:t>其他用车</w:t>
      </w:r>
      <w:r>
        <w:rPr>
          <w:rFonts w:hint="default" w:ascii="Times New Roman" w:hAnsi="Times New Roman" w:eastAsia="方正仿宋_GB2312" w:cs="Times New Roman"/>
          <w:sz w:val="32"/>
          <w:szCs w:val="32"/>
          <w:lang w:eastAsia="zh-CN"/>
        </w:rPr>
        <w:t>主要</w:t>
      </w:r>
      <w:r>
        <w:rPr>
          <w:rFonts w:hint="default" w:ascii="Times New Roman" w:hAnsi="Times New Roman" w:eastAsia="方正仿宋_GB2312" w:cs="Times New Roman"/>
          <w:sz w:val="32"/>
          <w:szCs w:val="32"/>
        </w:rPr>
        <w:t>用于公共文化服务免费开放活动下基层组织、指导、创作采风、非遗调研、挖掘等公务用车燃料费、维修费、过路过桥费、保险费等支出</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color w:val="auto"/>
          <w:sz w:val="32"/>
          <w:szCs w:val="32"/>
          <w:highlight w:val="none"/>
        </w:rPr>
        <w:t>单价50万元以上通用设备</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台（套），单价1</w:t>
      </w:r>
      <w:bookmarkStart w:id="0" w:name="_GoBack"/>
      <w:bookmarkEnd w:id="0"/>
      <w:r>
        <w:rPr>
          <w:rFonts w:hint="default" w:ascii="Times New Roman" w:hAnsi="Times New Roman" w:eastAsia="方正仿宋_GB2312" w:cs="Times New Roman"/>
          <w:color w:val="auto"/>
          <w:sz w:val="32"/>
          <w:szCs w:val="32"/>
          <w:highlight w:val="none"/>
        </w:rPr>
        <w:t>00万元以上专用设备</w:t>
      </w:r>
      <w:r>
        <w:rPr>
          <w:rFonts w:hint="default" w:ascii="Times New Roman" w:hAnsi="Times New Roman" w:eastAsia="方正仿宋_GB2312" w:cs="Times New Roman"/>
          <w:color w:val="auto"/>
          <w:sz w:val="32"/>
          <w:szCs w:val="32"/>
          <w:highlight w:val="none"/>
          <w:lang w:eastAsia="zh-CN"/>
        </w:rPr>
        <w:t>（不含车辆）</w:t>
      </w:r>
      <w:r>
        <w:rPr>
          <w:rFonts w:hint="default"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rPr>
        <w:t>台（套）。</w:t>
      </w:r>
    </w:p>
    <w:p w14:paraId="463089BA">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（四）预算绩效管理情况</w:t>
      </w:r>
    </w:p>
    <w:p w14:paraId="290962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eastAsia="zh-CN"/>
        </w:rPr>
        <w:t>根据预算绩效管理要求，本单位在</w:t>
      </w:r>
      <w:r>
        <w:rPr>
          <w:rFonts w:hint="default" w:ascii="Times New Roman" w:hAnsi="Times New Roman" w:eastAsia="方正仿宋_GB2312" w:cs="Times New Roman"/>
          <w:color w:val="auto"/>
          <w:sz w:val="32"/>
          <w:szCs w:val="32"/>
          <w:highlight w:val="none"/>
          <w:lang w:val="en-US" w:eastAsia="zh-CN"/>
        </w:rPr>
        <w:t>2024年度</w:t>
      </w:r>
      <w:r>
        <w:rPr>
          <w:rFonts w:hint="default" w:ascii="Times New Roman" w:hAnsi="Times New Roman" w:eastAsia="方正仿宋_GB2312" w:cs="Times New Roman"/>
          <w:color w:val="auto"/>
          <w:sz w:val="32"/>
          <w:szCs w:val="32"/>
          <w:highlight w:val="none"/>
          <w:lang w:eastAsia="zh-CN"/>
        </w:rPr>
        <w:t>预算编制阶段，</w:t>
      </w:r>
      <w:r>
        <w:rPr>
          <w:rFonts w:hint="default" w:ascii="Times New Roman" w:hAnsi="Times New Roman" w:eastAsia="方正仿宋_GB2312" w:cs="Times New Roman"/>
          <w:sz w:val="32"/>
          <w:szCs w:val="32"/>
        </w:rPr>
        <w:t>组织对部门预算整体绩效以及</w:t>
      </w:r>
      <w:r>
        <w:rPr>
          <w:rFonts w:hint="default" w:ascii="Times New Roman" w:hAnsi="Times New Roman" w:eastAsia="方正仿宋_GB2312" w:cs="Times New Roman"/>
          <w:color w:val="auto"/>
          <w:sz w:val="32"/>
          <w:szCs w:val="32"/>
          <w:highlight w:val="none"/>
          <w:lang w:eastAsia="zh-CN"/>
        </w:rPr>
        <w:t>2023年省级公共文化服务体系建设专项资金（非遗项目）；</w:t>
      </w:r>
      <w:r>
        <w:rPr>
          <w:rFonts w:hint="default" w:ascii="Times New Roman" w:hAnsi="Times New Roman" w:eastAsia="方正仿宋_GB2312" w:cs="Times New Roman"/>
          <w:color w:val="auto"/>
          <w:sz w:val="32"/>
          <w:szCs w:val="32"/>
          <w:highlight w:val="none"/>
          <w:lang w:val="en-US" w:eastAsia="zh-CN"/>
        </w:rPr>
        <w:t>公共文化服务成本性支出；公共图书馆、美术馆、文化馆（站）免费开放中央补助资金；市文化馆市级免费开放补助经费；2024中国（攀枝花）康养产业发展大会</w:t>
      </w:r>
      <w:r>
        <w:rPr>
          <w:rFonts w:hint="default" w:ascii="Times New Roman" w:hAnsi="Times New Roman" w:eastAsia="方正仿宋_GB2312" w:cs="Times New Roman"/>
          <w:color w:val="auto"/>
          <w:sz w:val="32"/>
          <w:szCs w:val="32"/>
          <w:highlight w:val="none"/>
          <w:lang w:eastAsia="zh-CN"/>
        </w:rPr>
        <w:t>等</w:t>
      </w:r>
      <w:r>
        <w:rPr>
          <w:rFonts w:hint="default" w:ascii="Times New Roman" w:hAnsi="Times New Roman" w:eastAsia="方正仿宋_GB2312" w:cs="Times New Roman"/>
          <w:color w:val="auto"/>
          <w:sz w:val="32"/>
          <w:szCs w:val="32"/>
          <w:highlight w:val="none"/>
          <w:lang w:val="en-US" w:eastAsia="zh-CN"/>
        </w:rPr>
        <w:t>5个项目</w:t>
      </w:r>
      <w:r>
        <w:rPr>
          <w:rFonts w:hint="default" w:ascii="Times New Roman" w:hAnsi="Times New Roman" w:eastAsia="方正仿宋_GB2312" w:cs="Times New Roman"/>
          <w:color w:val="auto"/>
          <w:sz w:val="32"/>
          <w:szCs w:val="32"/>
          <w:highlight w:val="none"/>
          <w:lang w:eastAsia="zh-CN"/>
        </w:rPr>
        <w:t>开展了预算事前绩效评估，对</w:t>
      </w:r>
      <w:r>
        <w:rPr>
          <w:rFonts w:hint="default" w:ascii="Times New Roman" w:hAns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lang w:eastAsia="zh-CN"/>
        </w:rPr>
        <w:t>个项目编制了绩效目标，预算执行过程中，选取</w:t>
      </w:r>
      <w:r>
        <w:rPr>
          <w:rFonts w:hint="default" w:ascii="Times New Roman" w:hAnsi="Times New Roman" w:eastAsia="方正仿宋_GB2312" w:cs="Times New Roman"/>
          <w:color w:val="auto"/>
          <w:sz w:val="32"/>
          <w:szCs w:val="32"/>
          <w:highlight w:val="none"/>
          <w:lang w:val="en-US" w:eastAsia="zh-CN"/>
        </w:rPr>
        <w:t>5</w:t>
      </w:r>
      <w:r>
        <w:rPr>
          <w:rFonts w:hint="default" w:ascii="Times New Roman" w:hAnsi="Times New Roman" w:eastAsia="方正仿宋_GB2312" w:cs="Times New Roman"/>
          <w:color w:val="auto"/>
          <w:sz w:val="32"/>
          <w:szCs w:val="32"/>
          <w:highlight w:val="none"/>
          <w:lang w:eastAsia="zh-CN"/>
        </w:rPr>
        <w:t>个项目开展绩效监控，组织对</w:t>
      </w:r>
      <w:r>
        <w:rPr>
          <w:rFonts w:hint="default" w:ascii="Times New Roman" w:hAnsi="Times New Roman" w:eastAsia="方正仿宋_GB2312" w:cs="Times New Roman"/>
          <w:color w:val="auto"/>
          <w:sz w:val="32"/>
          <w:szCs w:val="32"/>
          <w:highlight w:val="none"/>
          <w:lang w:val="en-US" w:eastAsia="zh-CN"/>
        </w:rPr>
        <w:t>5个项目开展绩效自评，绩效自评表详见第四部分附件。</w:t>
      </w:r>
    </w:p>
    <w:p w14:paraId="427C42C1">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br w:type="page"/>
      </w:r>
    </w:p>
    <w:p w14:paraId="588301C0">
      <w:pPr>
        <w:numPr>
          <w:ilvl w:val="0"/>
          <w:numId w:val="0"/>
        </w:numPr>
        <w:spacing w:line="600" w:lineRule="exact"/>
        <w:jc w:val="center"/>
        <w:outlineLvl w:val="0"/>
        <w:rPr>
          <w:rStyle w:val="13"/>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44"/>
          <w:szCs w:val="44"/>
          <w:highlight w:val="none"/>
          <w:lang w:eastAsia="zh-CN"/>
        </w:rPr>
        <w:t>第三部分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w:t>
      </w:r>
      <w:r>
        <w:rPr>
          <w:rStyle w:val="13"/>
          <w:rFonts w:hint="default" w:ascii="Times New Roman" w:hAnsi="Times New Roman" w:eastAsia="黑体" w:cs="Times New Roman"/>
          <w:b w:val="0"/>
          <w:color w:val="auto"/>
          <w:highlight w:val="none"/>
        </w:rPr>
        <w:t>词解释</w:t>
      </w:r>
    </w:p>
    <w:p w14:paraId="54EDCD80">
      <w:pPr>
        <w:spacing w:line="600" w:lineRule="exact"/>
        <w:jc w:val="left"/>
        <w:rPr>
          <w:rFonts w:hint="default" w:ascii="Times New Roman" w:hAnsi="Times New Roman" w:cs="Times New Roman"/>
          <w:b/>
          <w:color w:val="auto"/>
          <w:sz w:val="44"/>
          <w:szCs w:val="44"/>
          <w:highlight w:val="none"/>
        </w:rPr>
      </w:pPr>
    </w:p>
    <w:p w14:paraId="06696EBC">
      <w:pPr>
        <w:pStyle w:val="16"/>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val="en-US" w:eastAsia="zh-CN"/>
        </w:rPr>
        <w:t>1.</w:t>
      </w:r>
      <w:r>
        <w:rPr>
          <w:rFonts w:hint="default" w:ascii="Times New Roman" w:hAnsi="Times New Roman" w:eastAsia="方正仿宋_GB2312" w:cs="Times New Roman"/>
          <w:color w:val="auto"/>
          <w:sz w:val="32"/>
          <w:szCs w:val="32"/>
          <w:highlight w:val="none"/>
        </w:rPr>
        <w:t>财政拨款收入：指单位从同级财政部门取得的财政预算资金。</w:t>
      </w:r>
    </w:p>
    <w:p w14:paraId="52BC12DC">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rPr>
        <w:t>年初结转和结余：指以前年度尚未完成、结转到本年按有关规定继续使用的资金。</w:t>
      </w:r>
    </w:p>
    <w:p w14:paraId="0C010D2B">
      <w:pPr>
        <w:pStyle w:val="16"/>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rPr>
        <w:t>年末结转和结余：指单位按有关规定结转到下年或以后年度继续使用的资金。</w:t>
      </w:r>
    </w:p>
    <w:p w14:paraId="07FE63E9">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文化旅游体育与传媒支出（类）文化和旅游（款）群众文化（项）：反映群众文化方面的支出，包括基层文化馆（站）、群众艺术馆支出等。</w:t>
      </w:r>
    </w:p>
    <w:p w14:paraId="25B0B6A9">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文化旅游体育与传媒支出（类）文化和旅游（款）其他文化和旅游支出（项）：反映除上述项目以外其他用于文化和旅游方面的支出。</w:t>
      </w:r>
    </w:p>
    <w:p w14:paraId="5FA2FF8A">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6.</w:t>
      </w:r>
      <w:r>
        <w:rPr>
          <w:rFonts w:hint="default" w:ascii="Times New Roman" w:hAnsi="Times New Roman" w:eastAsia="方正仿宋_GB2312" w:cs="Times New Roman"/>
          <w:sz w:val="32"/>
          <w:szCs w:val="32"/>
        </w:rPr>
        <w:t>文化旅游体育与传媒支出（类）其他文化旅游体育与传媒支出（款）其他文化旅游体育与传媒支出（项）：反映除上述项目以外用于其他文化旅游体育与传媒方面的支出。</w:t>
      </w:r>
    </w:p>
    <w:p w14:paraId="2DCBBEC0">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7.</w:t>
      </w:r>
      <w:r>
        <w:rPr>
          <w:rFonts w:hint="default" w:ascii="Times New Roman" w:hAnsi="Times New Roman" w:eastAsia="方正仿宋_GB2312" w:cs="Times New Roman"/>
          <w:sz w:val="32"/>
          <w:szCs w:val="32"/>
        </w:rPr>
        <w:t>社会保障和就业支出（类）人力资源和社会保障管理事务（款）其他人力资源和社会保障管理事务支出（项）：反映除上述项目以外其他用于社会保障和就业方面的支出。</w:t>
      </w:r>
    </w:p>
    <w:p w14:paraId="0FC6AAAF">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8.</w:t>
      </w:r>
      <w:r>
        <w:rPr>
          <w:rFonts w:hint="default" w:ascii="Times New Roman" w:hAnsi="Times New Roman" w:eastAsia="方正仿宋_GB2312" w:cs="Times New Roman"/>
          <w:sz w:val="32"/>
          <w:szCs w:val="32"/>
        </w:rPr>
        <w:t>社会保障和就业支出（类）行政事业单位养老支出（款）</w:t>
      </w:r>
      <w:r>
        <w:rPr>
          <w:rFonts w:hint="default" w:ascii="Times New Roman" w:hAnsi="Times New Roman" w:eastAsia="方正仿宋_GB2312" w:cs="Times New Roman"/>
          <w:sz w:val="32"/>
          <w:szCs w:val="32"/>
          <w:lang w:eastAsia="zh-CN"/>
        </w:rPr>
        <w:t>事业</w:t>
      </w:r>
      <w:r>
        <w:rPr>
          <w:rFonts w:hint="default" w:ascii="Times New Roman" w:hAnsi="Times New Roman" w:eastAsia="方正仿宋_GB2312" w:cs="Times New Roman"/>
          <w:sz w:val="32"/>
          <w:szCs w:val="32"/>
        </w:rPr>
        <w:t>单位离退休（项）：反映事业单位开支的离退休经费。</w:t>
      </w:r>
    </w:p>
    <w:p w14:paraId="5F1BD330">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9.</w:t>
      </w:r>
      <w:r>
        <w:rPr>
          <w:rFonts w:hint="default" w:ascii="Times New Roman" w:hAnsi="Times New Roman" w:eastAsia="方正仿宋_GB2312" w:cs="Times New Roman"/>
          <w:sz w:val="32"/>
          <w:szCs w:val="32"/>
        </w:rPr>
        <w:t>社会保障和就业支出（类）行政事业单位养老支出（款）机关事业单位基本养老保险缴费支出（项）：反映机关事业单位实施养老保险制度由单位缴纳的基本养老保险费支出。</w:t>
      </w:r>
    </w:p>
    <w:p w14:paraId="52E31AAB">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10.</w:t>
      </w:r>
      <w:r>
        <w:rPr>
          <w:rFonts w:hint="default" w:ascii="Times New Roman" w:hAnsi="Times New Roman" w:eastAsia="方正仿宋_GB2312" w:cs="Times New Roman"/>
          <w:sz w:val="32"/>
          <w:szCs w:val="32"/>
        </w:rPr>
        <w:t>住房保障支出（类）住房改革支出（款）住房公积金（项）：反映行政事业单位按人力资源和社会保障部、财政部规定的基本工资和津贴补贴以及规定比例为职工缴纳的住房公积金。</w:t>
      </w:r>
    </w:p>
    <w:p w14:paraId="64E1FAB6">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11.</w:t>
      </w:r>
      <w:r>
        <w:rPr>
          <w:rFonts w:hint="default" w:ascii="Times New Roman" w:hAnsi="Times New Roman" w:eastAsia="方正仿宋_GB2312" w:cs="Times New Roman"/>
          <w:sz w:val="32"/>
          <w:szCs w:val="32"/>
        </w:rPr>
        <w:t>基本支出：指为保障机构正常运转、完成日常工作任务而发生的人员支出和公用支出。</w:t>
      </w:r>
    </w:p>
    <w:p w14:paraId="5FE8F6F8">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12.</w:t>
      </w:r>
      <w:r>
        <w:rPr>
          <w:rFonts w:hint="default" w:ascii="Times New Roman" w:hAnsi="Times New Roman" w:eastAsia="方正仿宋_GB2312" w:cs="Times New Roman"/>
          <w:sz w:val="32"/>
          <w:szCs w:val="32"/>
        </w:rPr>
        <w:t>项目支出：指在基本支出之外为完成特定行政任务和事业发展目标所发生的支出。</w:t>
      </w:r>
    </w:p>
    <w:p w14:paraId="470B84A4">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13.</w:t>
      </w:r>
      <w:r>
        <w:rPr>
          <w:rFonts w:hint="default" w:ascii="Times New Roman" w:hAnsi="Times New Roman" w:eastAsia="方正仿宋_GB2312" w:cs="Times New Roman"/>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8CADBF">
      <w:pPr>
        <w:pStyle w:val="16"/>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val="en-US" w:eastAsia="zh-CN"/>
        </w:rPr>
        <w:t>14.</w:t>
      </w:r>
      <w:r>
        <w:rPr>
          <w:rFonts w:hint="default" w:ascii="Times New Roman" w:hAnsi="Times New Roman" w:eastAsia="方正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CC1FF0">
      <w:pPr>
        <w:pStyle w:val="2"/>
        <w:rPr>
          <w:rFonts w:hint="default" w:ascii="Times New Roman" w:hAnsi="Times New Roman" w:cs="Times New Roman"/>
        </w:rPr>
      </w:pPr>
    </w:p>
    <w:p w14:paraId="581B5DAB">
      <w:pPr>
        <w:pStyle w:val="16"/>
        <w:ind w:firstLine="640" w:firstLineChars="200"/>
        <w:rPr>
          <w:rFonts w:hint="default" w:ascii="Times New Roman" w:hAnsi="Times New Roman" w:eastAsia="方正仿宋_GB2312" w:cs="Times New Roman"/>
          <w:color w:val="auto"/>
          <w:sz w:val="32"/>
          <w:szCs w:val="32"/>
        </w:rPr>
      </w:pPr>
    </w:p>
    <w:p w14:paraId="436E920C">
      <w:pPr>
        <w:spacing w:line="600" w:lineRule="exact"/>
        <w:jc w:val="center"/>
        <w:outlineLvl w:val="0"/>
        <w:rPr>
          <w:rFonts w:hint="default" w:ascii="Times New Roman" w:hAnsi="Times New Roman" w:eastAsia="黑体" w:cs="Times New Roman"/>
          <w:color w:val="auto"/>
          <w:sz w:val="44"/>
          <w:szCs w:val="44"/>
          <w:highlight w:val="none"/>
        </w:rPr>
      </w:pPr>
    </w:p>
    <w:p w14:paraId="12431A6E">
      <w:pPr>
        <w:spacing w:line="600" w:lineRule="exact"/>
        <w:jc w:val="center"/>
        <w:outlineLvl w:val="0"/>
        <w:rPr>
          <w:rFonts w:hint="default" w:ascii="Times New Roman" w:hAnsi="Times New Roman" w:eastAsia="黑体" w:cs="Times New Roman"/>
          <w:color w:val="auto"/>
          <w:sz w:val="44"/>
          <w:szCs w:val="44"/>
          <w:highlight w:val="none"/>
        </w:rPr>
      </w:pPr>
    </w:p>
    <w:p w14:paraId="3E125CC6">
      <w:pPr>
        <w:spacing w:line="600" w:lineRule="exact"/>
        <w:jc w:val="center"/>
        <w:outlineLvl w:val="0"/>
        <w:rPr>
          <w:rFonts w:hint="default" w:ascii="Times New Roman" w:hAnsi="Times New Roman" w:eastAsia="黑体" w:cs="Times New Roman"/>
          <w:color w:val="auto"/>
          <w:sz w:val="44"/>
          <w:szCs w:val="44"/>
          <w:highlight w:val="none"/>
        </w:rPr>
      </w:pPr>
    </w:p>
    <w:p w14:paraId="6849A7EC">
      <w:pPr>
        <w:spacing w:line="600" w:lineRule="exact"/>
        <w:jc w:val="center"/>
        <w:outlineLvl w:val="0"/>
        <w:rPr>
          <w:rFonts w:hint="default" w:ascii="Times New Roman" w:hAnsi="Times New Roman" w:eastAsia="黑体" w:cs="Times New Roman"/>
          <w:color w:val="auto"/>
          <w:sz w:val="44"/>
          <w:szCs w:val="44"/>
          <w:highlight w:val="none"/>
        </w:rPr>
      </w:pPr>
    </w:p>
    <w:p w14:paraId="491EDEAA">
      <w:pPr>
        <w:spacing w:line="600" w:lineRule="exact"/>
        <w:jc w:val="center"/>
        <w:outlineLvl w:val="0"/>
        <w:rPr>
          <w:rFonts w:hint="default" w:ascii="Times New Roman" w:hAnsi="Times New Roman" w:eastAsia="黑体" w:cs="Times New Roman"/>
          <w:color w:val="auto"/>
          <w:sz w:val="44"/>
          <w:szCs w:val="44"/>
          <w:highlight w:val="none"/>
        </w:rPr>
      </w:pPr>
    </w:p>
    <w:p w14:paraId="7D3F29C5">
      <w:pPr>
        <w:spacing w:line="600" w:lineRule="exact"/>
        <w:jc w:val="center"/>
        <w:outlineLvl w:val="0"/>
        <w:rPr>
          <w:rFonts w:hint="default" w:ascii="Times New Roman" w:hAnsi="Times New Roman" w:eastAsia="黑体" w:cs="Times New Roman"/>
          <w:color w:val="auto"/>
          <w:sz w:val="44"/>
          <w:szCs w:val="44"/>
          <w:highlight w:val="none"/>
        </w:rPr>
      </w:pPr>
    </w:p>
    <w:p w14:paraId="1C88EDC6">
      <w:pPr>
        <w:spacing w:line="600" w:lineRule="exact"/>
        <w:jc w:val="center"/>
        <w:outlineLvl w:val="0"/>
        <w:rPr>
          <w:rFonts w:hint="default" w:ascii="Times New Roman" w:hAnsi="Times New Roman" w:eastAsia="黑体" w:cs="Times New Roman"/>
          <w:color w:val="auto"/>
          <w:sz w:val="44"/>
          <w:szCs w:val="44"/>
          <w:highlight w:val="none"/>
        </w:rPr>
      </w:pPr>
    </w:p>
    <w:p w14:paraId="6898E6CB">
      <w:pPr>
        <w:spacing w:line="600" w:lineRule="exact"/>
        <w:jc w:val="center"/>
        <w:outlineLvl w:val="0"/>
        <w:rPr>
          <w:rFonts w:hint="default" w:ascii="Times New Roman" w:hAnsi="Times New Roman" w:eastAsia="黑体" w:cs="Times New Roman"/>
          <w:color w:val="auto"/>
          <w:sz w:val="44"/>
          <w:szCs w:val="44"/>
          <w:highlight w:val="none"/>
        </w:rPr>
      </w:pPr>
    </w:p>
    <w:p w14:paraId="68874603">
      <w:pPr>
        <w:spacing w:line="600" w:lineRule="exact"/>
        <w:jc w:val="center"/>
        <w:outlineLvl w:val="0"/>
        <w:rPr>
          <w:rFonts w:hint="default" w:ascii="Times New Roman" w:hAnsi="Times New Roman" w:eastAsia="黑体" w:cs="Times New Roman"/>
          <w:color w:val="auto"/>
          <w:sz w:val="44"/>
          <w:szCs w:val="44"/>
          <w:highlight w:val="none"/>
        </w:rPr>
      </w:pPr>
    </w:p>
    <w:p w14:paraId="705D9E79">
      <w:pPr>
        <w:spacing w:line="600" w:lineRule="exact"/>
        <w:jc w:val="center"/>
        <w:outlineLvl w:val="0"/>
        <w:rPr>
          <w:rFonts w:hint="default" w:ascii="Times New Roman" w:hAnsi="Times New Roman" w:eastAsia="黑体" w:cs="Times New Roman"/>
          <w:color w:val="auto"/>
          <w:sz w:val="44"/>
          <w:szCs w:val="44"/>
          <w:highlight w:val="none"/>
        </w:rPr>
      </w:pPr>
    </w:p>
    <w:p w14:paraId="06018E2B">
      <w:pPr>
        <w:spacing w:line="600" w:lineRule="exact"/>
        <w:jc w:val="center"/>
        <w:outlineLvl w:val="0"/>
        <w:rPr>
          <w:rFonts w:hint="default" w:ascii="Times New Roman" w:hAnsi="Times New Roman" w:eastAsia="黑体" w:cs="Times New Roman"/>
          <w:color w:val="auto"/>
          <w:sz w:val="44"/>
          <w:szCs w:val="44"/>
          <w:highlight w:val="none"/>
        </w:rPr>
      </w:pPr>
    </w:p>
    <w:p w14:paraId="17BFC257">
      <w:pPr>
        <w:spacing w:line="600" w:lineRule="exact"/>
        <w:jc w:val="center"/>
        <w:outlineLvl w:val="0"/>
        <w:rPr>
          <w:rFonts w:hint="default" w:ascii="Times New Roman" w:hAnsi="Times New Roman" w:eastAsia="黑体" w:cs="Times New Roman"/>
          <w:color w:val="auto"/>
          <w:sz w:val="44"/>
          <w:szCs w:val="44"/>
          <w:highlight w:val="none"/>
        </w:rPr>
      </w:pPr>
    </w:p>
    <w:p w14:paraId="1DA0A159">
      <w:pPr>
        <w:spacing w:line="600" w:lineRule="exact"/>
        <w:jc w:val="center"/>
        <w:outlineLvl w:val="0"/>
        <w:rPr>
          <w:rFonts w:hint="default" w:ascii="Times New Roman" w:hAnsi="Times New Roman" w:eastAsia="黑体" w:cs="Times New Roman"/>
          <w:color w:val="auto"/>
          <w:sz w:val="44"/>
          <w:szCs w:val="44"/>
          <w:highlight w:val="none"/>
        </w:rPr>
      </w:pPr>
    </w:p>
    <w:p w14:paraId="3FE62AB0">
      <w:pPr>
        <w:spacing w:line="600" w:lineRule="exact"/>
        <w:jc w:val="center"/>
        <w:outlineLvl w:val="0"/>
        <w:rPr>
          <w:rFonts w:hint="default" w:ascii="Times New Roman" w:hAnsi="Times New Roman" w:eastAsia="黑体" w:cs="Times New Roman"/>
          <w:color w:val="auto"/>
          <w:sz w:val="44"/>
          <w:szCs w:val="44"/>
          <w:highlight w:val="none"/>
        </w:rPr>
      </w:pPr>
    </w:p>
    <w:p w14:paraId="626CB1D3">
      <w:pPr>
        <w:spacing w:line="600" w:lineRule="exact"/>
        <w:jc w:val="center"/>
        <w:outlineLvl w:val="0"/>
        <w:rPr>
          <w:rFonts w:hint="default" w:ascii="Times New Roman" w:hAnsi="Times New Roman" w:eastAsia="黑体" w:cs="Times New Roman"/>
          <w:color w:val="auto"/>
          <w:sz w:val="44"/>
          <w:szCs w:val="44"/>
          <w:highlight w:val="none"/>
        </w:rPr>
      </w:pPr>
    </w:p>
    <w:p w14:paraId="6EB14F4A">
      <w:pPr>
        <w:spacing w:line="600" w:lineRule="exact"/>
        <w:jc w:val="center"/>
        <w:outlineLvl w:val="0"/>
        <w:rPr>
          <w:rFonts w:hint="default" w:ascii="Times New Roman" w:hAnsi="Times New Roman" w:eastAsia="黑体" w:cs="Times New Roman"/>
          <w:color w:val="auto"/>
          <w:sz w:val="44"/>
          <w:szCs w:val="44"/>
          <w:highlight w:val="none"/>
        </w:rPr>
      </w:pPr>
    </w:p>
    <w:p w14:paraId="1FC4FE7A">
      <w:pPr>
        <w:spacing w:line="600" w:lineRule="exact"/>
        <w:jc w:val="center"/>
        <w:outlineLvl w:val="0"/>
        <w:rPr>
          <w:rFonts w:hint="default" w:ascii="Times New Roman" w:hAnsi="Times New Roman" w:eastAsia="黑体" w:cs="Times New Roman"/>
          <w:color w:val="auto"/>
          <w:sz w:val="44"/>
          <w:szCs w:val="44"/>
          <w:highlight w:val="none"/>
        </w:rPr>
      </w:pPr>
    </w:p>
    <w:p w14:paraId="522EB9E2">
      <w:pPr>
        <w:spacing w:line="600" w:lineRule="exact"/>
        <w:jc w:val="center"/>
        <w:outlineLvl w:val="0"/>
        <w:rPr>
          <w:rFonts w:hint="default" w:ascii="Times New Roman" w:hAnsi="Times New Roman" w:eastAsia="黑体" w:cs="Times New Roman"/>
          <w:color w:val="auto"/>
          <w:sz w:val="44"/>
          <w:szCs w:val="44"/>
          <w:highlight w:val="none"/>
        </w:rPr>
      </w:pPr>
    </w:p>
    <w:p w14:paraId="42A0A3E7">
      <w:pPr>
        <w:spacing w:line="600" w:lineRule="exact"/>
        <w:jc w:val="center"/>
        <w:outlineLvl w:val="0"/>
        <w:rPr>
          <w:rStyle w:val="13"/>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44"/>
          <w:szCs w:val="44"/>
          <w:highlight w:val="none"/>
        </w:rPr>
        <w:t>第</w:t>
      </w:r>
      <w:r>
        <w:rPr>
          <w:rStyle w:val="13"/>
          <w:rFonts w:hint="default" w:ascii="Times New Roman" w:hAnsi="Times New Roman" w:eastAsia="黑体" w:cs="Times New Roman"/>
          <w:b w:val="0"/>
          <w:color w:val="auto"/>
          <w:highlight w:val="none"/>
        </w:rPr>
        <w:t>四部分 附件</w:t>
      </w:r>
    </w:p>
    <w:p w14:paraId="55182763">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仿宋_GB2312" w:cs="Times New Roman"/>
          <w:color w:val="auto"/>
          <w:sz w:val="32"/>
          <w:szCs w:val="32"/>
          <w:highlight w:val="none"/>
        </w:rPr>
      </w:pPr>
    </w:p>
    <w:p w14:paraId="26F91F57">
      <w:pPr>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部门预算项目支出绩效自评表（202</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年度）见附件3。</w:t>
      </w:r>
    </w:p>
    <w:p w14:paraId="662E8B7C">
      <w:pPr>
        <w:pStyle w:val="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szCs w:val="32"/>
          <w:highlight w:val="none"/>
          <w:lang w:val="en-US" w:eastAsia="zh-CN"/>
        </w:rPr>
      </w:pPr>
    </w:p>
    <w:p w14:paraId="28676FB8">
      <w:pPr>
        <w:pStyle w:val="2"/>
        <w:rPr>
          <w:rFonts w:hint="default" w:ascii="Times New Roman" w:hAnsi="Times New Roman" w:eastAsia="仿宋_GB2312" w:cs="Times New Roman"/>
          <w:color w:val="auto"/>
          <w:kern w:val="0"/>
          <w:sz w:val="32"/>
          <w:szCs w:val="32"/>
          <w:highlight w:val="none"/>
          <w:lang w:val="en-US" w:eastAsia="zh-CN" w:bidi="ar-SA"/>
        </w:rPr>
      </w:pPr>
    </w:p>
    <w:p w14:paraId="30FF1D3A">
      <w:pPr>
        <w:pStyle w:val="2"/>
        <w:rPr>
          <w:rFonts w:hint="default" w:ascii="Times New Roman" w:hAnsi="Times New Roman" w:eastAsia="仿宋_GB2312" w:cs="Times New Roman"/>
          <w:color w:val="auto"/>
          <w:kern w:val="0"/>
          <w:sz w:val="32"/>
          <w:szCs w:val="32"/>
          <w:highlight w:val="none"/>
          <w:lang w:val="en-US" w:eastAsia="zh-CN" w:bidi="ar-SA"/>
        </w:rPr>
      </w:pPr>
    </w:p>
    <w:p w14:paraId="5C4B05D9">
      <w:pPr>
        <w:pStyle w:val="2"/>
        <w:rPr>
          <w:rFonts w:hint="default" w:ascii="Times New Roman" w:hAnsi="Times New Roman" w:eastAsia="仿宋_GB2312" w:cs="Times New Roman"/>
          <w:color w:val="auto"/>
          <w:kern w:val="0"/>
          <w:sz w:val="32"/>
          <w:szCs w:val="32"/>
          <w:highlight w:val="none"/>
          <w:lang w:val="en-US" w:eastAsia="zh-CN" w:bidi="ar-SA"/>
        </w:rPr>
      </w:pPr>
    </w:p>
    <w:p w14:paraId="312007BD">
      <w:pPr>
        <w:pStyle w:val="2"/>
        <w:rPr>
          <w:rFonts w:hint="default" w:ascii="Times New Roman" w:hAnsi="Times New Roman" w:eastAsia="仿宋_GB2312" w:cs="Times New Roman"/>
          <w:color w:val="auto"/>
          <w:kern w:val="0"/>
          <w:sz w:val="32"/>
          <w:szCs w:val="32"/>
          <w:highlight w:val="none"/>
          <w:lang w:val="en-US" w:eastAsia="zh-CN" w:bidi="ar-SA"/>
        </w:rPr>
      </w:pPr>
    </w:p>
    <w:p w14:paraId="2EEC4DEE">
      <w:pPr>
        <w:pStyle w:val="2"/>
        <w:rPr>
          <w:rFonts w:hint="default" w:ascii="Times New Roman" w:hAnsi="Times New Roman" w:eastAsia="仿宋_GB2312" w:cs="Times New Roman"/>
          <w:color w:val="auto"/>
          <w:kern w:val="0"/>
          <w:sz w:val="32"/>
          <w:szCs w:val="32"/>
          <w:highlight w:val="none"/>
          <w:lang w:val="en-US" w:eastAsia="zh-CN" w:bidi="ar-SA"/>
        </w:rPr>
      </w:pPr>
    </w:p>
    <w:p w14:paraId="06F7B207">
      <w:pPr>
        <w:pStyle w:val="2"/>
        <w:rPr>
          <w:rFonts w:hint="default" w:ascii="Times New Roman" w:hAnsi="Times New Roman" w:eastAsia="仿宋_GB2312" w:cs="Times New Roman"/>
          <w:color w:val="auto"/>
          <w:kern w:val="0"/>
          <w:sz w:val="32"/>
          <w:szCs w:val="32"/>
          <w:highlight w:val="none"/>
          <w:lang w:val="en-US" w:eastAsia="zh-CN" w:bidi="ar-SA"/>
        </w:rPr>
      </w:pPr>
    </w:p>
    <w:p w14:paraId="3A57F73F">
      <w:pPr>
        <w:pStyle w:val="2"/>
        <w:rPr>
          <w:rFonts w:hint="default" w:ascii="Times New Roman" w:hAnsi="Times New Roman" w:eastAsia="仿宋_GB2312" w:cs="Times New Roman"/>
          <w:color w:val="auto"/>
          <w:kern w:val="0"/>
          <w:sz w:val="32"/>
          <w:szCs w:val="32"/>
          <w:highlight w:val="none"/>
          <w:lang w:val="en-US" w:eastAsia="zh-CN" w:bidi="ar-SA"/>
        </w:rPr>
      </w:pPr>
    </w:p>
    <w:p w14:paraId="09F36A9C">
      <w:pPr>
        <w:pStyle w:val="2"/>
        <w:rPr>
          <w:rFonts w:hint="default" w:ascii="Times New Roman" w:hAnsi="Times New Roman" w:eastAsia="仿宋_GB2312" w:cs="Times New Roman"/>
          <w:color w:val="auto"/>
          <w:kern w:val="0"/>
          <w:sz w:val="32"/>
          <w:szCs w:val="32"/>
          <w:highlight w:val="none"/>
          <w:lang w:val="en-US" w:eastAsia="zh-CN" w:bidi="ar-SA"/>
        </w:rPr>
      </w:pPr>
    </w:p>
    <w:p w14:paraId="089C4626">
      <w:pPr>
        <w:pStyle w:val="2"/>
        <w:rPr>
          <w:rFonts w:hint="default" w:ascii="Times New Roman" w:hAnsi="Times New Roman" w:eastAsia="仿宋_GB2312" w:cs="Times New Roman"/>
          <w:color w:val="auto"/>
          <w:kern w:val="0"/>
          <w:sz w:val="32"/>
          <w:szCs w:val="32"/>
          <w:highlight w:val="none"/>
          <w:lang w:val="en-US" w:eastAsia="zh-CN" w:bidi="ar-SA"/>
        </w:rPr>
      </w:pPr>
    </w:p>
    <w:p w14:paraId="0D808492">
      <w:pPr>
        <w:pStyle w:val="2"/>
        <w:rPr>
          <w:rFonts w:hint="default" w:ascii="Times New Roman" w:hAnsi="Times New Roman" w:eastAsia="仿宋_GB2312" w:cs="Times New Roman"/>
          <w:color w:val="auto"/>
          <w:kern w:val="0"/>
          <w:sz w:val="32"/>
          <w:szCs w:val="32"/>
          <w:highlight w:val="none"/>
          <w:lang w:val="en-US" w:eastAsia="zh-CN" w:bidi="ar-SA"/>
        </w:rPr>
      </w:pPr>
    </w:p>
    <w:p w14:paraId="470AC4BC">
      <w:pPr>
        <w:pStyle w:val="2"/>
        <w:rPr>
          <w:rFonts w:hint="default" w:ascii="Times New Roman" w:hAnsi="Times New Roman" w:eastAsia="仿宋_GB2312" w:cs="Times New Roman"/>
          <w:color w:val="auto"/>
          <w:kern w:val="0"/>
          <w:sz w:val="32"/>
          <w:szCs w:val="32"/>
          <w:highlight w:val="none"/>
          <w:lang w:val="en-US" w:eastAsia="zh-CN" w:bidi="ar-SA"/>
        </w:rPr>
      </w:pPr>
    </w:p>
    <w:p w14:paraId="14C786ED">
      <w:pPr>
        <w:pStyle w:val="2"/>
        <w:rPr>
          <w:rFonts w:hint="default" w:ascii="Times New Roman" w:hAnsi="Times New Roman" w:eastAsia="仿宋_GB2312" w:cs="Times New Roman"/>
          <w:color w:val="auto"/>
          <w:kern w:val="0"/>
          <w:sz w:val="32"/>
          <w:szCs w:val="32"/>
          <w:highlight w:val="none"/>
          <w:lang w:val="en-US" w:eastAsia="zh-CN" w:bidi="ar-SA"/>
        </w:rPr>
      </w:pPr>
    </w:p>
    <w:p w14:paraId="1F3E4FCB">
      <w:pPr>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br w:type="page"/>
      </w:r>
    </w:p>
    <w:p w14:paraId="01C7422A">
      <w:pPr>
        <w:spacing w:line="600" w:lineRule="exact"/>
        <w:jc w:val="center"/>
        <w:outlineLvl w:val="0"/>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13"/>
          <w:rFonts w:hint="default" w:ascii="Times New Roman" w:hAnsi="Times New Roman" w:eastAsia="黑体" w:cs="Times New Roman"/>
          <w:b w:val="0"/>
          <w:color w:val="auto"/>
          <w:highlight w:val="none"/>
        </w:rPr>
        <w:t>五部分 附表</w:t>
      </w:r>
    </w:p>
    <w:p w14:paraId="299C6085">
      <w:pPr>
        <w:pStyle w:val="4"/>
        <w:rPr>
          <w:rFonts w:hint="default" w:ascii="Times New Roman" w:hAnsi="Times New Roman" w:eastAsia="仿宋" w:cs="Times New Roman"/>
          <w:color w:val="auto"/>
          <w:highlight w:val="none"/>
        </w:rPr>
      </w:pPr>
      <w:r>
        <w:rPr>
          <w:rFonts w:hint="default" w:ascii="Times New Roman" w:hAnsi="Times New Roman" w:eastAsia="仿宋" w:cs="Times New Roman"/>
          <w:b w:val="0"/>
          <w:color w:val="auto"/>
          <w:highlight w:val="none"/>
        </w:rPr>
        <w:t>一、收</w:t>
      </w:r>
      <w:r>
        <w:rPr>
          <w:rStyle w:val="14"/>
          <w:rFonts w:hint="default" w:ascii="Times New Roman" w:hAnsi="Times New Roman" w:eastAsia="仿宋" w:cs="Times New Roman"/>
          <w:b w:val="0"/>
          <w:bCs w:val="0"/>
          <w:color w:val="auto"/>
          <w:highlight w:val="none"/>
        </w:rPr>
        <w:t>入支出决算总表</w:t>
      </w:r>
    </w:p>
    <w:p w14:paraId="2FC4A0AA">
      <w:pPr>
        <w:pStyle w:val="4"/>
        <w:rPr>
          <w:rFonts w:hint="default" w:ascii="Times New Roman" w:hAnsi="Times New Roman" w:eastAsia="仿宋" w:cs="Times New Roman"/>
          <w:color w:val="auto"/>
          <w:highlight w:val="none"/>
        </w:rPr>
      </w:pPr>
      <w:r>
        <w:rPr>
          <w:rFonts w:hint="default" w:ascii="Times New Roman" w:hAnsi="Times New Roman" w:eastAsia="仿宋" w:cs="Times New Roman"/>
          <w:b w:val="0"/>
          <w:color w:val="auto"/>
          <w:highlight w:val="none"/>
        </w:rPr>
        <w:t>二、收</w:t>
      </w:r>
      <w:r>
        <w:rPr>
          <w:rStyle w:val="14"/>
          <w:rFonts w:hint="default" w:ascii="Times New Roman" w:hAnsi="Times New Roman" w:eastAsia="仿宋" w:cs="Times New Roman"/>
          <w:b w:val="0"/>
          <w:bCs w:val="0"/>
          <w:color w:val="auto"/>
          <w:highlight w:val="none"/>
        </w:rPr>
        <w:t>入决算表</w:t>
      </w:r>
    </w:p>
    <w:p w14:paraId="74F0055F">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14"/>
          <w:rFonts w:hint="default" w:ascii="Times New Roman" w:hAnsi="Times New Roman" w:eastAsia="仿宋" w:cs="Times New Roman"/>
          <w:b w:val="0"/>
          <w:bCs w:val="0"/>
          <w:color w:val="auto"/>
          <w:highlight w:val="none"/>
        </w:rPr>
        <w:t>出决算表</w:t>
      </w:r>
    </w:p>
    <w:p w14:paraId="5DFBBF71">
      <w:pPr>
        <w:pStyle w:val="4"/>
        <w:rPr>
          <w:rFonts w:hint="default" w:ascii="Times New Roman" w:hAnsi="Times New Roman" w:eastAsia="仿宋" w:cs="Times New Roman"/>
          <w:b w:val="0"/>
          <w:color w:val="auto"/>
          <w:highlight w:val="none"/>
        </w:rPr>
      </w:pPr>
      <w:r>
        <w:rPr>
          <w:rStyle w:val="14"/>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14"/>
          <w:rFonts w:hint="default" w:ascii="Times New Roman" w:hAnsi="Times New Roman" w:eastAsia="仿宋" w:cs="Times New Roman"/>
          <w:b w:val="0"/>
          <w:bCs w:val="0"/>
          <w:color w:val="auto"/>
          <w:highlight w:val="none"/>
        </w:rPr>
        <w:t>政拨款收入支出决算总表</w:t>
      </w:r>
    </w:p>
    <w:p w14:paraId="5AC6603B">
      <w:pPr>
        <w:pStyle w:val="4"/>
        <w:rPr>
          <w:rStyle w:val="14"/>
          <w:rFonts w:hint="default" w:ascii="Times New Roman" w:hAnsi="Times New Roman" w:eastAsia="仿宋" w:cs="Times New Roman"/>
          <w:b w:val="0"/>
          <w:bCs w:val="0"/>
          <w:color w:val="auto"/>
          <w:highlight w:val="none"/>
        </w:rPr>
      </w:pPr>
      <w:r>
        <w:rPr>
          <w:rStyle w:val="14"/>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14"/>
          <w:rFonts w:hint="default" w:ascii="Times New Roman" w:hAnsi="Times New Roman" w:eastAsia="仿宋" w:cs="Times New Roman"/>
          <w:b w:val="0"/>
          <w:bCs w:val="0"/>
          <w:color w:val="auto"/>
          <w:highlight w:val="none"/>
        </w:rPr>
        <w:t>政拨款支出决算明细表</w:t>
      </w:r>
    </w:p>
    <w:p w14:paraId="52F5EAF3">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14"/>
          <w:rFonts w:hint="default" w:ascii="Times New Roman" w:hAnsi="Times New Roman" w:eastAsia="仿宋" w:cs="Times New Roman"/>
          <w:b w:val="0"/>
          <w:bCs w:val="0"/>
          <w:color w:val="auto"/>
          <w:highlight w:val="none"/>
        </w:rPr>
        <w:t>般公共预算财政拨款支出决算表</w:t>
      </w:r>
    </w:p>
    <w:p w14:paraId="1D1F7487">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14"/>
          <w:rFonts w:hint="default" w:ascii="Times New Roman" w:hAnsi="Times New Roman" w:eastAsia="仿宋" w:cs="Times New Roman"/>
          <w:b w:val="0"/>
          <w:bCs w:val="0"/>
          <w:color w:val="auto"/>
          <w:highlight w:val="none"/>
        </w:rPr>
        <w:t>般公共预算财政拨款支出决算明细表</w:t>
      </w:r>
    </w:p>
    <w:p w14:paraId="79DC685C">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14"/>
          <w:rFonts w:hint="default" w:ascii="Times New Roman" w:hAnsi="Times New Roman" w:eastAsia="仿宋" w:cs="Times New Roman"/>
          <w:b w:val="0"/>
          <w:bCs w:val="0"/>
          <w:color w:val="auto"/>
          <w:highlight w:val="none"/>
        </w:rPr>
        <w:t>般公共预算财政拨款基本支出决算</w:t>
      </w:r>
      <w:r>
        <w:rPr>
          <w:rStyle w:val="14"/>
          <w:rFonts w:hint="default" w:ascii="Times New Roman" w:hAnsi="Times New Roman" w:eastAsia="仿宋" w:cs="Times New Roman"/>
          <w:b w:val="0"/>
          <w:bCs w:val="0"/>
          <w:color w:val="auto"/>
          <w:highlight w:val="none"/>
          <w:lang w:eastAsia="zh-CN"/>
        </w:rPr>
        <w:t>明细</w:t>
      </w:r>
      <w:r>
        <w:rPr>
          <w:rStyle w:val="14"/>
          <w:rFonts w:hint="default" w:ascii="Times New Roman" w:hAnsi="Times New Roman" w:eastAsia="仿宋" w:cs="Times New Roman"/>
          <w:b w:val="0"/>
          <w:bCs w:val="0"/>
          <w:color w:val="auto"/>
          <w:highlight w:val="none"/>
        </w:rPr>
        <w:t>表</w:t>
      </w:r>
    </w:p>
    <w:p w14:paraId="704D63B5">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14"/>
          <w:rFonts w:hint="default" w:ascii="Times New Roman" w:hAnsi="Times New Roman" w:eastAsia="仿宋" w:cs="Times New Roman"/>
          <w:b w:val="0"/>
          <w:bCs w:val="0"/>
          <w:color w:val="auto"/>
          <w:highlight w:val="none"/>
        </w:rPr>
        <w:t>般公共预算财政拨款项目支出决算表</w:t>
      </w:r>
    </w:p>
    <w:p w14:paraId="62FFE149">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十、</w:t>
      </w:r>
      <w:r>
        <w:rPr>
          <w:rFonts w:hint="default" w:ascii="Times New Roman" w:hAnsi="Times New Roman" w:eastAsia="仿宋" w:cs="Times New Roman"/>
          <w:b w:val="0"/>
          <w:color w:val="auto"/>
          <w:highlight w:val="none"/>
        </w:rPr>
        <w:t>政</w:t>
      </w:r>
      <w:r>
        <w:rPr>
          <w:rStyle w:val="14"/>
          <w:rFonts w:hint="default" w:ascii="Times New Roman" w:hAnsi="Times New Roman" w:eastAsia="仿宋" w:cs="Times New Roman"/>
          <w:b w:val="0"/>
          <w:bCs w:val="0"/>
          <w:color w:val="auto"/>
          <w:highlight w:val="none"/>
        </w:rPr>
        <w:t>府性基金预算财政拨款收入支出决算表</w:t>
      </w:r>
    </w:p>
    <w:p w14:paraId="7210CB2F">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十一、</w:t>
      </w:r>
      <w:r>
        <w:rPr>
          <w:rFonts w:hint="default" w:ascii="Times New Roman" w:hAnsi="Times New Roman" w:eastAsia="仿宋" w:cs="Times New Roman"/>
          <w:b w:val="0"/>
          <w:color w:val="auto"/>
          <w:highlight w:val="none"/>
        </w:rPr>
        <w:t>国</w:t>
      </w:r>
      <w:r>
        <w:rPr>
          <w:rStyle w:val="14"/>
          <w:rFonts w:hint="default" w:ascii="Times New Roman" w:hAnsi="Times New Roman" w:eastAsia="仿宋" w:cs="Times New Roman"/>
          <w:b w:val="0"/>
          <w:bCs w:val="0"/>
          <w:color w:val="auto"/>
          <w:highlight w:val="none"/>
        </w:rPr>
        <w:t>有资本经营预算</w:t>
      </w:r>
      <w:r>
        <w:rPr>
          <w:rStyle w:val="14"/>
          <w:rFonts w:hint="default" w:ascii="Times New Roman" w:hAnsi="Times New Roman" w:eastAsia="仿宋" w:cs="Times New Roman"/>
          <w:b w:val="0"/>
          <w:bCs w:val="0"/>
          <w:color w:val="auto"/>
          <w:highlight w:val="none"/>
          <w:lang w:eastAsia="zh-CN"/>
        </w:rPr>
        <w:t>财政拨款收入</w:t>
      </w:r>
      <w:r>
        <w:rPr>
          <w:rStyle w:val="14"/>
          <w:rFonts w:hint="default" w:ascii="Times New Roman" w:hAnsi="Times New Roman" w:eastAsia="仿宋" w:cs="Times New Roman"/>
          <w:b w:val="0"/>
          <w:bCs w:val="0"/>
          <w:color w:val="auto"/>
          <w:highlight w:val="none"/>
        </w:rPr>
        <w:t>支出决算表</w:t>
      </w:r>
    </w:p>
    <w:p w14:paraId="0194B46A">
      <w:pPr>
        <w:pStyle w:val="4"/>
        <w:rPr>
          <w:rFonts w:hint="default" w:ascii="Times New Roman" w:hAnsi="Times New Roman" w:eastAsia="仿宋" w:cs="Times New Roman"/>
          <w:color w:val="auto"/>
          <w:highlight w:val="none"/>
        </w:rPr>
      </w:pPr>
      <w:r>
        <w:rPr>
          <w:rStyle w:val="14"/>
          <w:rFonts w:hint="default" w:ascii="Times New Roman" w:hAnsi="Times New Roman" w:eastAsia="仿宋" w:cs="Times New Roman"/>
          <w:b w:val="0"/>
          <w:bCs w:val="0"/>
          <w:color w:val="auto"/>
          <w:highlight w:val="none"/>
        </w:rPr>
        <w:t>十二、</w:t>
      </w:r>
      <w:r>
        <w:rPr>
          <w:rStyle w:val="14"/>
          <w:rFonts w:hint="default" w:ascii="Times New Roman" w:hAnsi="Times New Roman" w:eastAsia="仿宋" w:cs="Times New Roman"/>
          <w:b w:val="0"/>
          <w:bCs w:val="0"/>
          <w:color w:val="auto"/>
          <w:highlight w:val="none"/>
          <w:lang w:eastAsia="zh-CN"/>
        </w:rPr>
        <w:t>国有资本经营预算财政拨款支出决算表</w:t>
      </w:r>
    </w:p>
    <w:p w14:paraId="1EEBE2FC">
      <w:pPr>
        <w:pStyle w:val="4"/>
        <w:rPr>
          <w:rFonts w:hint="default" w:ascii="Times New Roman" w:hAnsi="Times New Roman" w:eastAsia="仿宋" w:cs="Times New Roman"/>
          <w:color w:val="auto"/>
          <w:highlight w:val="none"/>
          <w:lang w:eastAsia="zh-CN"/>
        </w:rPr>
      </w:pPr>
      <w:r>
        <w:rPr>
          <w:rStyle w:val="14"/>
          <w:rFonts w:hint="default" w:ascii="Times New Roman" w:hAnsi="Times New Roman" w:eastAsia="仿宋" w:cs="Times New Roman"/>
          <w:b w:val="0"/>
          <w:bCs w:val="0"/>
          <w:color w:val="auto"/>
          <w:highlight w:val="none"/>
        </w:rPr>
        <w:t>十三、</w:t>
      </w:r>
      <w:r>
        <w:rPr>
          <w:rStyle w:val="14"/>
          <w:rFonts w:hint="default" w:ascii="Times New Roman" w:hAnsi="Times New Roman" w:eastAsia="仿宋" w:cs="Times New Roman"/>
          <w:b w:val="0"/>
          <w:bCs w:val="0"/>
          <w:color w:val="auto"/>
          <w:highlight w:val="none"/>
          <w:lang w:eastAsia="zh-CN"/>
        </w:rPr>
        <w:t>财政拨款“三公”经费支出决算表</w:t>
      </w:r>
    </w:p>
    <w:p w14:paraId="6566D01F">
      <w:pPr>
        <w:rPr>
          <w:rFonts w:hint="default" w:ascii="Times New Roman" w:hAnsi="Times New Roman" w:cs="Times New Roman"/>
        </w:rPr>
      </w:pPr>
    </w:p>
    <w:p w14:paraId="4541E900">
      <w:pPr>
        <w:rPr>
          <w:rFonts w:hint="default" w:ascii="Times New Roman" w:hAnsi="Times New Roman" w:cs="Times New Roman"/>
        </w:rPr>
      </w:pPr>
    </w:p>
    <w:sectPr>
      <w:footerReference r:id="rId4" w:type="default"/>
      <w:pgSz w:w="11906" w:h="16838"/>
      <w:pgMar w:top="1440" w:right="1800" w:bottom="1440" w:left="1800" w:header="720" w:footer="720"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D280F3-A848-458B-89D6-64CCE2458D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43E9DF-A1FE-44BD-A24D-1BEFE29F148D}"/>
  </w:font>
  <w:font w:name="仿宋">
    <w:panose1 w:val="02010609060101010101"/>
    <w:charset w:val="86"/>
    <w:family w:val="modern"/>
    <w:pitch w:val="default"/>
    <w:sig w:usb0="800002BF" w:usb1="38CF7CFA" w:usb2="00000016" w:usb3="00000000" w:csb0="00040001" w:csb1="00000000"/>
    <w:embedRegular r:id="rId3" w:fontKey="{FDF411A5-99B2-4553-992D-454540C542B0}"/>
  </w:font>
  <w:font w:name="微软雅黑">
    <w:panose1 w:val="020B0503020204020204"/>
    <w:charset w:val="86"/>
    <w:family w:val="auto"/>
    <w:pitch w:val="default"/>
    <w:sig w:usb0="80000287" w:usb1="280F3C52" w:usb2="00000016" w:usb3="00000000" w:csb0="0004001F" w:csb1="00000000"/>
    <w:embedRegular r:id="rId4" w:fontKey="{024AD4DF-DFCD-40A4-8844-C0C49B0328A9}"/>
  </w:font>
  <w:font w:name="方正小标宋_GBK">
    <w:panose1 w:val="03000509000000000000"/>
    <w:charset w:val="86"/>
    <w:family w:val="auto"/>
    <w:pitch w:val="default"/>
    <w:sig w:usb0="00000001" w:usb1="080E0000" w:usb2="00000000" w:usb3="00000000" w:csb0="00040000" w:csb1="00000000"/>
    <w:embedRegular r:id="rId5" w:fontKey="{C4196F61-A4EF-493F-922B-FCD87D2C3EC8}"/>
  </w:font>
  <w:font w:name="方正仿宋_GB2312">
    <w:panose1 w:val="02000000000000000000"/>
    <w:charset w:val="86"/>
    <w:family w:val="auto"/>
    <w:pitch w:val="default"/>
    <w:sig w:usb0="A00002BF" w:usb1="184F6CFA" w:usb2="00000012" w:usb3="00000000" w:csb0="00040001" w:csb1="00000000"/>
    <w:embedRegular r:id="rId6" w:fontKey="{2BE0384E-8453-49FD-B577-EC263723883A}"/>
  </w:font>
  <w:font w:name="汉仪旗黑-55简">
    <w:altName w:val="黑体"/>
    <w:panose1 w:val="00020600040101010101"/>
    <w:charset w:val="8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F9D4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7C72B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A7C72B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288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8828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F98828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0C217"/>
    <w:multiLevelType w:val="singleLevel"/>
    <w:tmpl w:val="31D0C217"/>
    <w:lvl w:ilvl="0" w:tentative="0">
      <w:start w:val="5"/>
      <w:numFmt w:val="chineseCounting"/>
      <w:suff w:val="nothing"/>
      <w:lvlText w:val="%1、"/>
      <w:lvlJc w:val="left"/>
      <w:rPr>
        <w:rFonts w:hint="eastAsia"/>
      </w:rPr>
    </w:lvl>
  </w:abstractNum>
  <w:abstractNum w:abstractNumId="1">
    <w:nsid w:val="3818A09A"/>
    <w:multiLevelType w:val="singleLevel"/>
    <w:tmpl w:val="3818A0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C394D"/>
    <w:rsid w:val="03EC394D"/>
    <w:rsid w:val="070954E4"/>
    <w:rsid w:val="0E1919B2"/>
    <w:rsid w:val="11081EA2"/>
    <w:rsid w:val="16D03928"/>
    <w:rsid w:val="220646A2"/>
    <w:rsid w:val="28C01A4F"/>
    <w:rsid w:val="2A5856CA"/>
    <w:rsid w:val="2E3B530B"/>
    <w:rsid w:val="32FE2D7A"/>
    <w:rsid w:val="36A32816"/>
    <w:rsid w:val="39ED01CA"/>
    <w:rsid w:val="46A9191C"/>
    <w:rsid w:val="46C95B1B"/>
    <w:rsid w:val="486755EB"/>
    <w:rsid w:val="4DFC4A28"/>
    <w:rsid w:val="55BF0815"/>
    <w:rsid w:val="57120E18"/>
    <w:rsid w:val="693E7DDF"/>
    <w:rsid w:val="6DB025C9"/>
    <w:rsid w:val="71940950"/>
    <w:rsid w:val="75A071AD"/>
    <w:rsid w:val="7BA1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unhideWhenUsed/>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customStyle="1" w:styleId="13">
    <w:name w:val="标题 1 Char"/>
    <w:basedOn w:val="11"/>
    <w:link w:val="3"/>
    <w:qFormat/>
    <w:uiPriority w:val="9"/>
    <w:rPr>
      <w:b/>
      <w:bCs/>
      <w:kern w:val="44"/>
      <w:sz w:val="44"/>
      <w:szCs w:val="44"/>
    </w:rPr>
  </w:style>
  <w:style w:type="character" w:customStyle="1" w:styleId="14">
    <w:name w:val="标题 2 Char"/>
    <w:basedOn w:val="11"/>
    <w:link w:val="4"/>
    <w:qFormat/>
    <w:uiPriority w:val="9"/>
    <w:rPr>
      <w:rFonts w:ascii="Cambria" w:hAnsi="Cambria" w:eastAsia="宋体" w:cs="Times New Roman"/>
      <w:b/>
      <w:bCs/>
      <w:sz w:val="32"/>
      <w:szCs w:val="32"/>
    </w:rPr>
  </w:style>
  <w:style w:type="paragraph" w:styleId="15">
    <w:name w:val="List Paragraph"/>
    <w:basedOn w:val="1"/>
    <w:qFormat/>
    <w:uiPriority w:val="34"/>
    <w:pPr>
      <w:ind w:firstLine="420" w:firstLineChars="200"/>
    </w:p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7">
    <w:name w:val="font41"/>
    <w:basedOn w:val="11"/>
    <w:qFormat/>
    <w:uiPriority w:val="0"/>
    <w:rPr>
      <w:rFonts w:hint="default" w:ascii="Times New Roman" w:hAnsi="Times New Roman" w:cs="Times New Roman"/>
      <w:color w:val="000000"/>
      <w:sz w:val="24"/>
      <w:szCs w:val="24"/>
      <w:u w:val="none"/>
    </w:rPr>
  </w:style>
  <w:style w:type="character" w:customStyle="1" w:styleId="18">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5&#24180;&#21150;&#29702;&#20107;&#39033;\2024&#24180;&#20915;&#31639;\2024&#24180;&#20915;&#31639;&#22270;&#34920;&#65288;&#26412;&#32423;&#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4180;&#21150;&#29702;&#20107;&#39033;\2022&#24180;&#20915;&#31639;&#30456;&#20851;&#36164;&#26009;\2022&#24180;&#20915;&#31639;&#20844;&#24320;\2022&#24180;&#20915;&#31639;&#22270;&#34920;-&#26412;&#324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3&#24180;&#21150;&#29702;&#20107;&#39033;\2022&#24180;&#20915;&#31639;&#30456;&#20851;&#36164;&#26009;\2022&#24180;&#20915;&#31639;&#20844;&#24320;\2022&#24180;&#20915;&#31639;&#22270;&#34920;-&#26412;&#324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3&#24180;&#21150;&#29702;&#20107;&#39033;\2022&#24180;&#20915;&#31639;&#30456;&#20851;&#36164;&#26009;\2022&#24180;&#20915;&#31639;&#20844;&#24320;\2022&#24180;&#20915;&#31639;&#22270;&#34920;-&#26412;&#324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3&#24180;&#21150;&#29702;&#20107;&#39033;\2022&#24180;&#20915;&#31639;&#30456;&#20851;&#36164;&#26009;\2022&#24180;&#20915;&#31639;&#20844;&#24320;\2022&#24180;&#20915;&#31639;&#22270;&#34920;-&#26412;&#32423;.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Administrator\Desktop\2023&#24180;&#21150;&#29702;&#20107;&#39033;\2022&#24180;&#20915;&#31639;&#30456;&#20851;&#36164;&#26009;\2022&#24180;&#20915;&#31639;&#20844;&#24320;\2022&#24180;&#20915;&#31639;&#22270;&#34920;-&#26412;&#324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3&#24180;&#21150;&#29702;&#20107;&#39033;\2022&#24180;&#20915;&#31639;&#30456;&#20851;&#36164;&#26009;\2022&#24180;&#20915;&#31639;&#20844;&#24320;\2022&#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'[2024年决算图表（本级）.xlsx]收支情况对比明细表'!$A$4</c:f>
              <c:strCache>
                <c:ptCount val="1"/>
                <c:pt idx="0">
                  <c:v>全年收入</c:v>
                </c:pt>
              </c:strCache>
            </c:strRef>
          </c:tx>
          <c:spPr>
            <a:solidFill>
              <a:schemeClr val="accent1"/>
            </a:solidFill>
            <a:ln>
              <a:noFill/>
            </a:ln>
            <a:effectLst/>
          </c:spPr>
          <c:invertIfNegative val="0"/>
          <c:dLbls>
            <c:delete val="1"/>
          </c:dLbls>
          <c:cat>
            <c:strRef>
              <c:f>'[2024年决算图表（本级）.xlsx]收支情况对比明细表'!$B$3:$E$3</c:f>
              <c:strCache>
                <c:ptCount val="4"/>
                <c:pt idx="0">
                  <c:v>2023年</c:v>
                </c:pt>
                <c:pt idx="1">
                  <c:v>2024年</c:v>
                </c:pt>
                <c:pt idx="2">
                  <c:v>同比增（减）额</c:v>
                </c:pt>
                <c:pt idx="3">
                  <c:v>同比增（减）率</c:v>
                </c:pt>
              </c:strCache>
            </c:strRef>
          </c:cat>
          <c:val>
            <c:numRef>
              <c:f>'[2024年决算图表（本级）.xlsx]收支情况对比明细表'!$B$4:$E$4</c:f>
              <c:numCache>
                <c:formatCode>#,##0.00_ </c:formatCode>
                <c:ptCount val="4"/>
                <c:pt idx="0">
                  <c:v>702.6</c:v>
                </c:pt>
                <c:pt idx="1">
                  <c:v>647.44</c:v>
                </c:pt>
                <c:pt idx="2">
                  <c:v>-55.16</c:v>
                </c:pt>
                <c:pt idx="3" c:formatCode="0.00%">
                  <c:v>-0.0785083973811557</c:v>
                </c:pt>
              </c:numCache>
            </c:numRef>
          </c:val>
        </c:ser>
        <c:ser>
          <c:idx val="1"/>
          <c:order val="1"/>
          <c:tx>
            <c:strRef>
              <c:f>'[2024年决算图表（本级）.xlsx]收支情况对比明细表'!$A$5</c:f>
              <c:strCache>
                <c:ptCount val="1"/>
                <c:pt idx="0">
                  <c:v>全年支出</c:v>
                </c:pt>
              </c:strCache>
            </c:strRef>
          </c:tx>
          <c:spPr>
            <a:solidFill>
              <a:schemeClr val="accent2"/>
            </a:solidFill>
            <a:ln>
              <a:noFill/>
            </a:ln>
            <a:effectLst/>
          </c:spPr>
          <c:invertIfNegative val="0"/>
          <c:dLbls>
            <c:delete val="1"/>
          </c:dLbls>
          <c:cat>
            <c:strRef>
              <c:f>'[2024年决算图表（本级）.xlsx]收支情况对比明细表'!$B$3:$E$3</c:f>
              <c:strCache>
                <c:ptCount val="4"/>
                <c:pt idx="0">
                  <c:v>2023年</c:v>
                </c:pt>
                <c:pt idx="1">
                  <c:v>2024年</c:v>
                </c:pt>
                <c:pt idx="2">
                  <c:v>同比增（减）额</c:v>
                </c:pt>
                <c:pt idx="3">
                  <c:v>同比增（减）率</c:v>
                </c:pt>
              </c:strCache>
            </c:strRef>
          </c:cat>
          <c:val>
            <c:numRef>
              <c:f>'[2024年决算图表（本级）.xlsx]收支情况对比明细表'!$B$5:$E$5</c:f>
              <c:numCache>
                <c:formatCode>#,##0.00_ </c:formatCode>
                <c:ptCount val="4"/>
                <c:pt idx="0">
                  <c:v>702.6</c:v>
                </c:pt>
                <c:pt idx="1">
                  <c:v>647.44</c:v>
                </c:pt>
                <c:pt idx="2">
                  <c:v>-55.16</c:v>
                </c:pt>
                <c:pt idx="3" c:formatCode="0.00%">
                  <c:v>-0.0785083973811557</c:v>
                </c:pt>
              </c:numCache>
            </c:numRef>
          </c:val>
        </c:ser>
        <c:dLbls>
          <c:showLegendKey val="0"/>
          <c:showVal val="0"/>
          <c:showCatName val="0"/>
          <c:showSerName val="0"/>
          <c:showPercent val="0"/>
          <c:showBubbleSize val="0"/>
        </c:dLbls>
        <c:gapWidth val="219"/>
        <c:overlap val="-27"/>
        <c:axId val="193887529"/>
        <c:axId val="993141997"/>
      </c:barChart>
      <c:catAx>
        <c:axId val="1938875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141997"/>
        <c:crosses val="autoZero"/>
        <c:auto val="1"/>
        <c:lblAlgn val="ctr"/>
        <c:lblOffset val="100"/>
        <c:noMultiLvlLbl val="0"/>
      </c:catAx>
      <c:valAx>
        <c:axId val="993141997"/>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88752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516b1b4-5cc1-413c-b2ea-9297d17e7f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baseline="0">
                <a:solidFill>
                  <a:srgbClr val="595959">
                    <a:lumMod val="65000"/>
                    <a:lumOff val="35000"/>
                  </a:srgbClr>
                </a:solidFill>
                <a:latin typeface="+mn-lt"/>
                <a:ea typeface="+mn-ea"/>
                <a:cs typeface="+mn-cs"/>
              </a:defRPr>
            </a:pPr>
            <a:r>
              <a:t>收入决算结构图</a:t>
            </a:r>
          </a:p>
        </c:rich>
      </c:tx>
      <c:layout>
        <c:manualLayout>
          <c:xMode val="edge"/>
          <c:yMode val="edge"/>
          <c:x val="0.360972222222222"/>
          <c:y val="0.0277777777777778"/>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'[2022年决算图表-本级.xlsx]收入决算结构'!$A$1</c:f>
              <c:strCache>
                <c:ptCount val="1"/>
                <c:pt idx="0">
                  <c:v>一般公共预算财政拨款收入</c:v>
                </c:pt>
              </c:strCache>
            </c:strRef>
          </c:tx>
          <c:spPr>
            <a:scene3d>
              <a:camera prst="orthographicFront"/>
              <a:lightRig rig="threePt" dir="t"/>
            </a:scene3d>
            <a:sp3d contourW="19050"/>
          </c:spPr>
          <c:explosion val="0"/>
          <c:dPt>
            <c:idx val="0"/>
            <c:bubble3D val="0"/>
            <c:spPr>
              <a:solidFill>
                <a:srgbClr val="4F81BD">
                  <a:alpha val="90000"/>
                </a:srgbClr>
              </a:solidFill>
              <a:ln w="19050">
                <a:solidFill>
                  <a:srgbClr val="376092">
                    <a:lumMod val="75000"/>
                  </a:srgbClr>
                </a:solidFill>
              </a:ln>
              <a:effectLst>
                <a:innerShdw blurRad="114300">
                  <a:srgbClr val="376092">
                    <a:lumMod val="75000"/>
                  </a:srgbClr>
                </a:innerShdw>
              </a:effectLst>
              <a:scene3d>
                <a:camera prst="orthographicFront"/>
                <a:lightRig rig="threePt" dir="t"/>
              </a:scene3d>
              <a:sp3d contourW="19050"/>
            </c:spPr>
          </c:dPt>
          <c:dPt>
            <c:idx val="1"/>
            <c:bubble3D val="0"/>
            <c:spPr>
              <a:solidFill>
                <a:srgbClr val="C0504D">
                  <a:alpha val="90000"/>
                </a:srgbClr>
              </a:solidFill>
              <a:ln w="19050">
                <a:solidFill>
                  <a:srgbClr val="953735">
                    <a:lumMod val="75000"/>
                  </a:srgbClr>
                </a:solidFill>
              </a:ln>
              <a:effectLst>
                <a:innerShdw blurRad="114300">
                  <a:srgbClr val="953735">
                    <a:lumMod val="75000"/>
                  </a:srgbClr>
                </a:innerShdw>
              </a:effectLst>
              <a:scene3d>
                <a:camera prst="orthographicFront"/>
                <a:lightRig rig="threePt" dir="t"/>
              </a:scene3d>
              <a:sp3d contourW="19050"/>
            </c:spPr>
          </c:dPt>
          <c:dLbls>
            <c:dLbl>
              <c:idx val="0"/>
              <c:delete val="1"/>
            </c:dLbl>
            <c:dLbl>
              <c:idx val="1"/>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rgbClr val="C0504D"/>
                        </a:solidFill>
                        <a:effectLst/>
                        <a:latin typeface="+mn-lt"/>
                        <a:ea typeface="+mn-ea"/>
                        <a:cs typeface="+mn-cs"/>
                      </a:defRPr>
                    </a:pPr>
                    <a:r>
                      <a:t>一般公共预算财政拨款收入</a:t>
                    </a:r>
                    <a:r>
                      <a:rPr lang="en-US" altLang="zh-CN"/>
                      <a:t>100</a:t>
                    </a:r>
                    <a:r>
                      <a:t>%</a:t>
                    </a:r>
                  </a:p>
                </c:rich>
              </c:tx>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C0504D"/>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391944444444444"/>
                      <c:h val="0.125462962962963"/>
                    </c:manualLayout>
                  </c15:layout>
                </c:ext>
              </c:extLst>
            </c:dLbl>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4F81BD"/>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val>
            <c:numRef>
              <c:f>'[2022年决算图表-本级.xlsx]收入决算结构'!$B$1:$C$1</c:f>
              <c:numCache>
                <c:formatCode>0.00%</c:formatCode>
                <c:ptCount val="2"/>
                <c:pt idx="0">
                  <c:v>1</c:v>
                </c:pt>
                <c:pt idx="1" c:formatCode="_ * #,##0.00_ ;_ * \-#,##0.00_ ;_ * &quot;-&quot;??_ ;_ @_ ">
                  <c:v>702.6</c:v>
                </c:pt>
              </c:numCache>
            </c:numRef>
          </c:val>
        </c:ser>
        <c:ser>
          <c:idx val="1"/>
          <c:order val="1"/>
          <c:tx>
            <c:strRef>
              <c:f>'[2022年决算图表-本级.xlsx]收入决算结构'!$A$2</c:f>
              <c:strCache>
                <c:ptCount val="1"/>
                <c:pt idx="0">
                  <c:v>其他收入</c:v>
                </c:pt>
              </c:strCache>
            </c:strRef>
          </c:tx>
          <c:spPr/>
          <c:explosion val="0"/>
          <c:dPt>
            <c:idx val="0"/>
            <c:bubble3D val="0"/>
            <c:spPr>
              <a:solidFill>
                <a:srgbClr val="4F81BD">
                  <a:alpha val="90000"/>
                </a:srgbClr>
              </a:solidFill>
              <a:ln w="19050">
                <a:solidFill>
                  <a:srgbClr val="376092">
                    <a:lumMod val="75000"/>
                  </a:srgbClr>
                </a:solidFill>
              </a:ln>
              <a:effectLst>
                <a:innerShdw blurRad="114300">
                  <a:srgbClr val="376092">
                    <a:lumMod val="75000"/>
                  </a:srgbClr>
                </a:innerShdw>
              </a:effectLst>
            </c:spPr>
          </c:dPt>
          <c:dPt>
            <c:idx val="1"/>
            <c:bubble3D val="0"/>
            <c:spPr>
              <a:solidFill>
                <a:srgbClr val="C0504D">
                  <a:alpha val="90000"/>
                </a:srgbClr>
              </a:solidFill>
              <a:ln w="19050">
                <a:solidFill>
                  <a:srgbClr val="953735">
                    <a:lumMod val="75000"/>
                  </a:srgbClr>
                </a:solidFill>
              </a:ln>
              <a:effectLst>
                <a:innerShdw blurRad="114300">
                  <a:srgbClr val="953735">
                    <a:lumMod val="75000"/>
                  </a:srgbClr>
                </a:innerShdw>
              </a:effectLst>
            </c:spPr>
          </c:dPt>
          <c:dLbls>
            <c:dLbl>
              <c:idx val="0"/>
              <c:layout/>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4F81BD"/>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C0504D"/>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C0504D"/>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val>
            <c:numRef>
              <c:f>'[2022年决算图表-本级.xlsx]收入决算结构'!$B$2:$C$2</c:f>
              <c:numCache>
                <c:formatCode>0.00%</c:formatCode>
                <c:ptCount val="2"/>
                <c:pt idx="0">
                  <c:v>0</c:v>
                </c:pt>
                <c:pt idx="1" c:formatCode="_ * #,##0.00_ ;_ * \-#,##0.00_ ;_ * &quot;-&quot;??_ ;_ @_ ">
                  <c:v>0</c:v>
                </c:pt>
              </c:numCache>
            </c:numRef>
          </c:val>
        </c:ser>
        <c:ser>
          <c:idx val="2"/>
          <c:order val="2"/>
          <c:tx>
            <c:strRef>
              <c:f>'[2022年决算图表-本级.xlsx]收入决算结构'!$A$3</c:f>
              <c:strCache>
                <c:ptCount val="1"/>
                <c:pt idx="0">
                  <c:v>合计</c:v>
                </c:pt>
              </c:strCache>
            </c:strRef>
          </c:tx>
          <c:spPr/>
          <c:explosion val="0"/>
          <c:dPt>
            <c:idx val="0"/>
            <c:bubble3D val="0"/>
            <c:spPr>
              <a:solidFill>
                <a:srgbClr val="4F81BD">
                  <a:alpha val="90000"/>
                </a:srgbClr>
              </a:solidFill>
              <a:ln w="19050">
                <a:solidFill>
                  <a:srgbClr val="376092">
                    <a:lumMod val="75000"/>
                  </a:srgbClr>
                </a:solidFill>
              </a:ln>
              <a:effectLst>
                <a:innerShdw blurRad="114300">
                  <a:srgbClr val="376092">
                    <a:lumMod val="75000"/>
                  </a:srgbClr>
                </a:innerShdw>
              </a:effectLst>
            </c:spPr>
          </c:dPt>
          <c:dPt>
            <c:idx val="1"/>
            <c:bubble3D val="0"/>
            <c:spPr>
              <a:solidFill>
                <a:srgbClr val="C0504D">
                  <a:alpha val="90000"/>
                </a:srgbClr>
              </a:solidFill>
              <a:ln w="19050">
                <a:solidFill>
                  <a:srgbClr val="953735">
                    <a:lumMod val="75000"/>
                  </a:srgbClr>
                </a:solidFill>
              </a:ln>
              <a:effectLst>
                <a:innerShdw blurRad="114300">
                  <a:srgbClr val="953735">
                    <a:lumMod val="75000"/>
                  </a:srgbClr>
                </a:innerShdw>
              </a:effectLst>
            </c:spPr>
          </c:dPt>
          <c:dLbls>
            <c:dLbl>
              <c:idx val="0"/>
              <c:layout/>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4F81BD"/>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C0504D"/>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9BBB59"/>
                    </a:solidFill>
                    <a:effectLst/>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val>
            <c:numRef>
              <c:f>'[2022年决算图表-本级.xlsx]收入决算结构'!$B$3:$C$3</c:f>
              <c:numCache>
                <c:formatCode>General</c:formatCode>
                <c:ptCount val="2"/>
                <c:pt idx="1" c:formatCode="_ * #,##0.00_ ;_ * \-#,##0.00_ ;_ * &quot;-&quot;??_ ;_ @_ ">
                  <c:v>702.6</c:v>
                </c:pt>
              </c:numCache>
            </c:numRef>
          </c:val>
        </c:ser>
        <c:ser>
          <c:idx val="3"/>
          <c:order val="3"/>
          <c:tx>
            <c:strRef>
              <c:f>'[2022年决算图表-本级.xlsx]收入决算结构'!$A$4</c:f>
              <c:strCache>
                <c:ptCount val="1"/>
                <c:pt idx="0">
                  <c:v/>
                </c:pt>
              </c:strCache>
            </c:strRef>
          </c:tx>
          <c:spPr/>
          <c:explosion val="0"/>
          <c:dPt>
            <c:idx val="0"/>
            <c:bubble3D val="0"/>
            <c:spPr>
              <a:solidFill>
                <a:srgbClr val="4F81BD">
                  <a:alpha val="90000"/>
                </a:srgbClr>
              </a:solidFill>
              <a:ln w="19050">
                <a:solidFill>
                  <a:srgbClr val="376092">
                    <a:lumMod val="75000"/>
                  </a:srgbClr>
                </a:solidFill>
              </a:ln>
              <a:effectLst>
                <a:innerShdw blurRad="114300">
                  <a:srgbClr val="376092">
                    <a:lumMod val="75000"/>
                  </a:srgbClr>
                </a:innerShdw>
              </a:effectLst>
            </c:spPr>
          </c:dPt>
          <c:dPt>
            <c:idx val="1"/>
            <c:bubble3D val="0"/>
            <c:spPr>
              <a:solidFill>
                <a:srgbClr val="C0504D">
                  <a:alpha val="90000"/>
                </a:srgbClr>
              </a:solidFill>
              <a:ln w="19050">
                <a:solidFill>
                  <a:srgbClr val="953735">
                    <a:lumMod val="75000"/>
                  </a:srgbClr>
                </a:solidFill>
              </a:ln>
              <a:effectLst>
                <a:innerShdw blurRad="114300">
                  <a:srgbClr val="953735">
                    <a:lumMod val="75000"/>
                  </a:srgbClr>
                </a:innerShdw>
              </a:effectLst>
            </c:spPr>
          </c:dPt>
          <c:dLbls>
            <c:dLbl>
              <c:idx val="0"/>
              <c:layout/>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4F81BD"/>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C0504D"/>
                      </a:solidFill>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FFFF">
                  <a:alpha val="90000"/>
                </a:srgbClr>
              </a:solidFill>
              <a:ln w="12700" cap="flat" cmpd="sng" algn="ctr">
                <a:solidFill>
                  <a:srgbClr val="4F81BD"/>
                </a:solidFill>
                <a:round/>
              </a:ln>
              <a:effectLst>
                <a:outerShdw blurRad="50800" dist="38100" dir="2700000" algn="tl" rotWithShape="0">
                  <a:srgbClr val="376092">
                    <a:lumMod val="75000"/>
                    <a:alpha val="40000"/>
                  </a:srgb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rgbClr val="8064A2"/>
                    </a:solidFill>
                    <a:effectLst/>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rgbClr val="A6A6A6">
                          <a:lumMod val="35000"/>
                          <a:lumOff val="65000"/>
                        </a:srgbClr>
                      </a:solidFill>
                    </a:ln>
                    <a:effectLst/>
                  </c:spPr>
                </c15:leaderLines>
              </c:ext>
            </c:extLst>
          </c:dLbls>
          <c:val>
            <c:numRef>
              <c:f>'[2022年决算图表-本级.xlsx]收入决算结构'!$B$4:$C$4</c:f>
              <c:numCache>
                <c:formatCode>General</c:formatCode>
                <c:ptCount val="2"/>
              </c:numCache>
            </c:numRef>
          </c:val>
        </c:ser>
        <c:dLbls>
          <c:showLegendKey val="0"/>
          <c:showVal val="0"/>
          <c:showCatName val="0"/>
          <c:showSerName val="0"/>
          <c:showPercent val="1"/>
          <c:showBubbleSize val="0"/>
        </c:dLbls>
      </c:pie3DChart>
      <c:spPr>
        <a:noFill/>
        <a:ln>
          <a:noFill/>
        </a:ln>
        <a:effectLst/>
      </c:spPr>
    </c:plotArea>
    <c:plotVisOnly val="1"/>
    <c:dispBlanksAs val="gap"/>
    <c:showDLblsOverMax val="0"/>
    <c:extLst>
      <c:ext uri="{0b15fc19-7d7d-44ad-8c2d-2c3a37ce22c3}">
        <chartProps xmlns="https://web.wps.cn/et/2018/main" chartId="{1afb8456-146e-4c19-a509-7cce3fb55745}"/>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支出决算结构图</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86.98%</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13.02%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'[2022年决算图表-本级.xlsx]支出决算结构'!$A$1:$A$2</c:f>
              <c:strCache>
                <c:ptCount val="2"/>
                <c:pt idx="0">
                  <c:v>基本支出</c:v>
                </c:pt>
                <c:pt idx="1">
                  <c:v>项目支出</c:v>
                </c:pt>
              </c:strCache>
            </c:strRef>
          </c:cat>
          <c:val>
            <c:numRef>
              <c:f>'[2022年决算图表-本级.xlsx]支出决算结构'!$B$1:$B$2</c:f>
              <c:numCache>
                <c:formatCode>0.00%</c:formatCode>
                <c:ptCount val="2"/>
                <c:pt idx="0">
                  <c:v>0.869794884468059</c:v>
                </c:pt>
                <c:pt idx="1">
                  <c:v>0.130205115531941</c:v>
                </c:pt>
              </c:numCache>
            </c:numRef>
          </c:val>
        </c:ser>
        <c:dLbls>
          <c:showLegendKey val="0"/>
          <c:showVal val="0"/>
          <c:showCatName val="1"/>
          <c:showSerName val="0"/>
          <c:showPercent val="1"/>
          <c:showBubbleSize val="0"/>
        </c:dLbls>
      </c:pie3DChart>
    </c:plotArea>
    <c:plotVisOnly val="1"/>
    <c:dispBlanksAs val="gap"/>
    <c:showDLblsOverMax val="0"/>
    <c:extLst>
      <c:ext uri="{0b15fc19-7d7d-44ad-8c2d-2c3a37ce22c3}">
        <chartProps xmlns="https://web.wps.cn/et/2018/main" chartId="{fe331297-2501-4ebd-8c8d-814f6e8136c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r>
              <a:rPr lang="zh-CN" altLang="en-US" sz="1800"/>
              <a:t>财政拨款收、支决算总计变动情况</a:t>
            </a:r>
            <a:endParaRPr lang="zh-CN" altLang="en-US" sz="1800"/>
          </a:p>
        </c:rich>
      </c:tx>
      <c:layout/>
      <c:overlay val="0"/>
    </c:title>
    <c:autoTitleDeleted val="0"/>
    <c:plotArea>
      <c:layout/>
      <c:barChart>
        <c:barDir val="col"/>
        <c:grouping val="clustered"/>
        <c:varyColors val="0"/>
        <c:ser>
          <c:idx val="0"/>
          <c:order val="0"/>
          <c:tx>
            <c:strRef>
              <c:f>财政拨款收、支决算总计变动!$A$2</c:f>
              <c:strCache>
                <c:ptCount val="1"/>
                <c:pt idx="0">
                  <c:v>财政拨款收入总计</c:v>
                </c:pt>
              </c:strCache>
            </c:strRef>
          </c:tx>
          <c:invertIfNegative val="0"/>
          <c:dLbls>
            <c:delete val="1"/>
          </c:dLbls>
          <c:cat>
            <c:strRef>
              <c:f>财政拨款收、支决算总计变动!$B$1:$E$1</c:f>
              <c:strCache>
                <c:ptCount val="4"/>
                <c:pt idx="0">
                  <c:v>2023年</c:v>
                </c:pt>
                <c:pt idx="1">
                  <c:v>2024年</c:v>
                </c:pt>
                <c:pt idx="2">
                  <c:v>同比增减额</c:v>
                </c:pt>
                <c:pt idx="3">
                  <c:v>同比增减率</c:v>
                </c:pt>
              </c:strCache>
            </c:strRef>
          </c:cat>
          <c:val>
            <c:numRef>
              <c:f>财政拨款收、支决算总计变动!$B$2:$E$2</c:f>
              <c:numCache>
                <c:formatCode>_ * #,##0.00_ ;_ * \-#,##0.00_ ;_ * "-"??_ ;_ @_ </c:formatCode>
                <c:ptCount val="4"/>
                <c:pt idx="0">
                  <c:v>702.6</c:v>
                </c:pt>
                <c:pt idx="1">
                  <c:v>647.44</c:v>
                </c:pt>
                <c:pt idx="2" c:formatCode="0.00_ ">
                  <c:v>-55.16</c:v>
                </c:pt>
                <c:pt idx="3" c:formatCode="0.00%">
                  <c:v>-0.0785083973811557</c:v>
                </c:pt>
              </c:numCache>
            </c:numRef>
          </c:val>
        </c:ser>
        <c:ser>
          <c:idx val="1"/>
          <c:order val="1"/>
          <c:tx>
            <c:strRef>
              <c:f>财政拨款收、支决算总计变动!$A$3</c:f>
              <c:strCache>
                <c:ptCount val="1"/>
                <c:pt idx="0">
                  <c:v>财政拨款支出总计</c:v>
                </c:pt>
              </c:strCache>
            </c:strRef>
          </c:tx>
          <c:invertIfNegative val="0"/>
          <c:dLbls>
            <c:delete val="1"/>
          </c:dLbls>
          <c:cat>
            <c:strRef>
              <c:f>财政拨款收、支决算总计变动!$B$1:$E$1</c:f>
              <c:strCache>
                <c:ptCount val="4"/>
                <c:pt idx="0">
                  <c:v>2023年</c:v>
                </c:pt>
                <c:pt idx="1">
                  <c:v>2024年</c:v>
                </c:pt>
                <c:pt idx="2">
                  <c:v>同比增减额</c:v>
                </c:pt>
                <c:pt idx="3">
                  <c:v>同比增减率</c:v>
                </c:pt>
              </c:strCache>
            </c:strRef>
          </c:cat>
          <c:val>
            <c:numRef>
              <c:f>财政拨款收、支决算总计变动!$B$3:$E$3</c:f>
              <c:numCache>
                <c:formatCode>_ * #,##0.00_ ;_ * \-#,##0.00_ ;_ * "-"??_ ;_ @_ </c:formatCode>
                <c:ptCount val="4"/>
                <c:pt idx="0">
                  <c:v>702.6</c:v>
                </c:pt>
                <c:pt idx="1">
                  <c:v>647.44</c:v>
                </c:pt>
                <c:pt idx="2" c:formatCode="0.00_ ">
                  <c:v>-55.16</c:v>
                </c:pt>
                <c:pt idx="3" c:formatCode="0.00%">
                  <c:v>-0.0785083973811557</c:v>
                </c:pt>
              </c:numCache>
            </c:numRef>
          </c:val>
        </c:ser>
        <c:dLbls>
          <c:showLegendKey val="0"/>
          <c:showVal val="0"/>
          <c:showCatName val="0"/>
          <c:showSerName val="0"/>
          <c:showPercent val="0"/>
          <c:showBubbleSize val="0"/>
        </c:dLbls>
        <c:gapWidth val="150"/>
        <c:axId val="48695168"/>
        <c:axId val="48696704"/>
      </c:barChart>
      <c:catAx>
        <c:axId val="486951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48696704"/>
        <c:crosses val="autoZero"/>
        <c:auto val="1"/>
        <c:lblAlgn val="ctr"/>
        <c:lblOffset val="100"/>
        <c:noMultiLvlLbl val="0"/>
      </c:catAx>
      <c:valAx>
        <c:axId val="48696704"/>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rgbClr val="000000"/>
                  </a:solidFill>
                  <a:latin typeface="+mn-lt"/>
                  <a:ea typeface="+mn-ea"/>
                  <a:cs typeface="+mn-cs"/>
                </a:defRPr>
              </a:pPr>
            </a:p>
          </c:txPr>
        </c:title>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486951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dTable>
    </c:plotArea>
    <c:plotVisOnly val="1"/>
    <c:dispBlanksAs val="gap"/>
    <c:showDLblsOverMax val="0"/>
    <c:extLst>
      <c:ext uri="{0b15fc19-7d7d-44ad-8c2d-2c3a37ce22c3}">
        <chartProps xmlns="https://web.wps.cn/et/2018/main" chartId="{992b2a33-7e9f-4ab3-ba12-2fe232f6d1bc}"/>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r>
              <a:rPr lang="zh-CN" altLang="en-US" sz="1400" baseline="0"/>
              <a:t>一般公共预算财政拨款支出决算变动情况</a:t>
            </a:r>
            <a:endParaRPr lang="zh-CN" altLang="en-US" sz="1400" baseline="0"/>
          </a:p>
        </c:rich>
      </c:tx>
      <c:layout/>
      <c:overlay val="0"/>
    </c:title>
    <c:autoTitleDeleted val="0"/>
    <c:plotArea>
      <c:layout>
        <c:manualLayout>
          <c:layoutTarget val="inner"/>
          <c:xMode val="edge"/>
          <c:yMode val="edge"/>
          <c:x val="0.0444444444444445"/>
          <c:y val="0.217227482640619"/>
          <c:w val="0.93888888888889"/>
          <c:h val="0.771533273530683"/>
        </c:manualLayout>
      </c:layout>
      <c:barChart>
        <c:barDir val="col"/>
        <c:grouping val="clustered"/>
        <c:varyColors val="0"/>
        <c:ser>
          <c:idx val="0"/>
          <c:order val="0"/>
          <c:tx>
            <c:strRef>
              <c:f>一般公共预算财政拨款支出!$A$2</c:f>
              <c:strCache>
                <c:ptCount val="1"/>
                <c:pt idx="0">
                  <c:v>一般公共预算财政拨款支出</c:v>
                </c:pt>
              </c:strCache>
            </c:strRef>
          </c:tx>
          <c:invertIfNegative val="0"/>
          <c:dLbls>
            <c:dLbl>
              <c:idx val="0"/>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08333333333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6089238845137"/>
                  <c:y val="-0.0548516562012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一般公共预算财政拨款支出!$B$1:$E$1</c:f>
              <c:strCache>
                <c:ptCount val="4"/>
                <c:pt idx="0">
                  <c:v>2023年</c:v>
                </c:pt>
                <c:pt idx="1">
                  <c:v>2024年</c:v>
                </c:pt>
                <c:pt idx="2">
                  <c:v>同比减少</c:v>
                </c:pt>
                <c:pt idx="3">
                  <c:v>同比减少</c:v>
                </c:pt>
              </c:strCache>
            </c:strRef>
          </c:cat>
          <c:val>
            <c:numRef>
              <c:f>一般公共预算财政拨款支出!$B$2:$E$2</c:f>
              <c:numCache>
                <c:formatCode>_ * #,##0.00_ ;_ * \-#,##0.00_ ;_ * "-"??_ ;_ @_ </c:formatCode>
                <c:ptCount val="4"/>
                <c:pt idx="0">
                  <c:v>702.6</c:v>
                </c:pt>
                <c:pt idx="1">
                  <c:v>647.44</c:v>
                </c:pt>
                <c:pt idx="2" c:formatCode="0.00_ ">
                  <c:v>-55.16</c:v>
                </c:pt>
                <c:pt idx="3" c:formatCode="0.00%">
                  <c:v>-0.0785083973811557</c:v>
                </c:pt>
              </c:numCache>
            </c:numRef>
          </c:val>
        </c:ser>
        <c:ser>
          <c:idx val="1"/>
          <c:order val="1"/>
          <c:tx>
            <c:strRef>
              <c:f>一般公共预算财政拨款支出!$A$3</c:f>
              <c:strCache>
                <c:ptCount val="1"/>
                <c:pt idx="0">
                  <c:v>全年支出</c:v>
                </c:pt>
              </c:strCache>
            </c:strRef>
          </c:tx>
          <c:invertIfNegative val="0"/>
          <c:dLbls>
            <c:dLbl>
              <c:idx val="0"/>
              <c:layout>
                <c:manualLayout>
                  <c:x val="0.025"/>
                  <c:y val="-0.02531645569620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9166666666667"/>
                  <c:y val="-0.03164556962025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3611111111111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712962962962"/>
                  <c:y val="-0.04957706236087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一般公共预算财政拨款支出!$B$1:$E$1</c:f>
              <c:strCache>
                <c:ptCount val="4"/>
                <c:pt idx="0">
                  <c:v>2023年</c:v>
                </c:pt>
                <c:pt idx="1">
                  <c:v>2024年</c:v>
                </c:pt>
                <c:pt idx="2">
                  <c:v>同比减少</c:v>
                </c:pt>
                <c:pt idx="3">
                  <c:v>同比减少</c:v>
                </c:pt>
              </c:strCache>
            </c:strRef>
          </c:cat>
          <c:val>
            <c:numRef>
              <c:f>一般公共预算财政拨款支出!$B$3:$E$3</c:f>
              <c:numCache>
                <c:formatCode>_ * #,##0.00_ ;_ * \-#,##0.00_ ;_ * "-"??_ ;_ @_ </c:formatCode>
                <c:ptCount val="4"/>
                <c:pt idx="0">
                  <c:v>702.6</c:v>
                </c:pt>
                <c:pt idx="1">
                  <c:v>647.44</c:v>
                </c:pt>
                <c:pt idx="2" c:formatCode="0.00_ ">
                  <c:v>-55.16</c:v>
                </c:pt>
                <c:pt idx="3" c:formatCode="0.00%">
                  <c:v>-0.0785083973811557</c:v>
                </c:pt>
              </c:numCache>
            </c:numRef>
          </c:val>
        </c:ser>
        <c:dLbls>
          <c:showLegendKey val="0"/>
          <c:showVal val="1"/>
          <c:showCatName val="0"/>
          <c:showSerName val="0"/>
          <c:showPercent val="0"/>
          <c:showBubbleSize val="0"/>
        </c:dLbls>
        <c:gapWidth val="150"/>
        <c:overlap val="-25"/>
        <c:axId val="48749184"/>
        <c:axId val="48763264"/>
      </c:barChart>
      <c:catAx>
        <c:axId val="487491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48763264"/>
        <c:crosses val="autoZero"/>
        <c:auto val="1"/>
        <c:lblAlgn val="ctr"/>
        <c:lblOffset val="100"/>
        <c:noMultiLvlLbl val="0"/>
      </c:catAx>
      <c:valAx>
        <c:axId val="48763264"/>
        <c:scaling>
          <c:orientation val="minMax"/>
        </c:scaling>
        <c:delete val="1"/>
        <c:axPos val="l"/>
        <c:numFmt formatCode="_ * #,##0.00_ ;_ * \-#,##0.00_ ;_ * &quot;-&quot;??_ ;_ @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48749184"/>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extLst>
      <c:ext uri="{0b15fc19-7d7d-44ad-8c2d-2c3a37ce22c3}">
        <chartProps xmlns="https://web.wps.cn/et/2018/main" chartId="{48b1af13-9fb8-4228-8521-2c97cf8216d0}"/>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1" i="0" u="none" strike="noStrike" kern="1200" spc="0" baseline="0">
                <a:solidFill>
                  <a:srgbClr val="616161"/>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一般公共预算财政拨款支出决算结构图</a:t>
            </a:r>
          </a:p>
        </c:rich>
      </c:tx>
      <c:layout/>
      <c:overlay val="0"/>
      <c:spPr>
        <a:noFill/>
        <a:ln>
          <a:noFill/>
        </a:ln>
        <a:effectLst/>
      </c:spPr>
    </c:title>
    <c:autoTitleDeleted val="0"/>
    <c:plotArea>
      <c:layout>
        <c:manualLayout>
          <c:layoutTarget val="inner"/>
          <c:xMode val="edge"/>
          <c:yMode val="edge"/>
          <c:x val="0.312124379409459"/>
          <c:y val="0.194928335170893"/>
          <c:w val="0.38359027959237"/>
          <c:h val="0.647409040793826"/>
        </c:manualLayout>
      </c:layout>
      <c:pieChart>
        <c:varyColors val="1"/>
        <c:ser>
          <c:idx val="0"/>
          <c:order val="0"/>
          <c:spPr>
            <a:ln w="12700">
              <a:solidFill>
                <a:srgbClr val="FBFFFF"/>
              </a:solidFill>
            </a:ln>
            <a:sp3d contourW="12700"/>
          </c:spPr>
          <c:explosion val="0"/>
          <c:dPt>
            <c:idx val="0"/>
            <c:bubble3D val="0"/>
            <c:spPr>
              <a:solidFill>
                <a:srgbClr val="26A0FC"/>
              </a:solidFill>
              <a:ln w="12700">
                <a:solidFill>
                  <a:srgbClr val="FBFFFF"/>
                </a:solidFill>
              </a:ln>
              <a:effectLst/>
              <a:sp3d contourW="12700"/>
            </c:spPr>
          </c:dPt>
          <c:dPt>
            <c:idx val="1"/>
            <c:bubble3D val="0"/>
            <c:spPr>
              <a:solidFill>
                <a:srgbClr val="35DB97"/>
              </a:solidFill>
              <a:ln w="12700">
                <a:solidFill>
                  <a:srgbClr val="FBFFFF"/>
                </a:solidFill>
              </a:ln>
              <a:effectLst/>
              <a:sp3d contourW="12700"/>
            </c:spPr>
          </c:dPt>
          <c:dPt>
            <c:idx val="2"/>
            <c:bubble3D val="0"/>
            <c:spPr>
              <a:solidFill>
                <a:srgbClr val="FFBC3F"/>
              </a:solidFill>
              <a:ln w="12700">
                <a:solidFill>
                  <a:srgbClr val="FBFFFF"/>
                </a:solidFill>
              </a:ln>
              <a:effectLst/>
              <a:sp3d contourW="12700"/>
            </c:spPr>
          </c:dPt>
          <c:dPt>
            <c:idx val="3"/>
            <c:bubble3D val="0"/>
            <c:spPr>
              <a:solidFill>
                <a:srgbClr val="8064A2"/>
              </a:solidFill>
              <a:ln w="12700">
                <a:solidFill>
                  <a:srgbClr val="FBFFFF"/>
                </a:solidFill>
              </a:ln>
              <a:effectLst/>
              <a:sp3d contourW="12700"/>
            </c:spPr>
          </c:dPt>
          <c:dPt>
            <c:idx val="4"/>
            <c:bubble3D val="0"/>
            <c:spPr>
              <a:solidFill>
                <a:srgbClr val="4BACC6"/>
              </a:solidFill>
              <a:ln w="12700">
                <a:solidFill>
                  <a:srgbClr val="FBFFFF"/>
                </a:solidFill>
              </a:ln>
              <a:effectLst/>
              <a:sp3d contourW="12700"/>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rgbClr val="FFFFF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eparator> </c:separator>
              <c:extLst>
                <c:ext xmlns:c15="http://schemas.microsoft.com/office/drawing/2012/chart" uri="{CE6537A1-D6FC-4f65-9D91-7224C49458BB}"/>
              </c:extLst>
            </c:dLbl>
            <c:dLbl>
              <c:idx val="1"/>
              <c:layout/>
              <c:dLblPos val="ctr"/>
              <c:showLegendKey val="0"/>
              <c:showVal val="1"/>
              <c:showCatName val="0"/>
              <c:showSerName val="0"/>
              <c:showPercent val="0"/>
              <c:showBubbleSize val="0"/>
              <c:separator> </c:separator>
              <c:extLst>
                <c:ext xmlns:c15="http://schemas.microsoft.com/office/drawing/2012/chart" uri="{CE6537A1-D6FC-4f65-9D91-7224C49458BB}"/>
              </c:extLst>
            </c:dLbl>
            <c:dLbl>
              <c:idx val="2"/>
              <c:layout/>
              <c:dLblPos val="ctr"/>
              <c:showLegendKey val="0"/>
              <c:showVal val="1"/>
              <c:showCatName val="0"/>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rgbClr val="FFFFFF"/>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一般公共预算财政拨款支出决算结构!$A$2:$A$5</c:f>
              <c:strCache>
                <c:ptCount val="4"/>
                <c:pt idx="0">
                  <c:v>教育支出</c:v>
                </c:pt>
                <c:pt idx="1">
                  <c:v>科学技术支出</c:v>
                </c:pt>
                <c:pt idx="2">
                  <c:v>文化旅游体育与传媒支出</c:v>
                </c:pt>
                <c:pt idx="3">
                  <c:v>社会保障和就业支出</c:v>
                </c:pt>
              </c:strCache>
            </c:strRef>
          </c:cat>
          <c:val>
            <c:numRef>
              <c:f>一般公共预算财政拨款支出决算结构!$B$1:$B$5</c:f>
              <c:numCache>
                <c:formatCode>General</c:formatCode>
                <c:ptCount val="5"/>
                <c:pt idx="1" c:formatCode="0.00%">
                  <c:v>0</c:v>
                </c:pt>
                <c:pt idx="2" c:formatCode="0.00%">
                  <c:v>0</c:v>
                </c:pt>
                <c:pt idx="3" c:formatCode="0.00%">
                  <c:v>0.6897</c:v>
                </c:pt>
                <c:pt idx="4" c:formatCode="0.00%">
                  <c:v>0.2014</c:v>
                </c:pt>
              </c:numCache>
            </c:numRef>
          </c:val>
        </c:ser>
        <c:ser>
          <c:idx val="1"/>
          <c:order val="1"/>
          <c:spPr>
            <a:ln w="12700">
              <a:solidFill>
                <a:srgbClr val="FBFFFF"/>
              </a:solidFill>
            </a:ln>
            <a:sp3d contourW="12700"/>
          </c:spPr>
          <c:explosion val="0"/>
          <c:dPt>
            <c:idx val="0"/>
            <c:bubble3D val="0"/>
            <c:spPr>
              <a:solidFill>
                <a:srgbClr val="26A0FC"/>
              </a:solidFill>
              <a:ln w="12700">
                <a:solidFill>
                  <a:srgbClr val="FBFFFF"/>
                </a:solidFill>
              </a:ln>
              <a:effectLst/>
              <a:sp3d contourW="12700"/>
            </c:spPr>
          </c:dPt>
          <c:dPt>
            <c:idx val="1"/>
            <c:bubble3D val="0"/>
            <c:spPr>
              <a:solidFill>
                <a:srgbClr val="35DB97"/>
              </a:solidFill>
              <a:ln w="12700">
                <a:solidFill>
                  <a:srgbClr val="FBFFFF"/>
                </a:solidFill>
              </a:ln>
              <a:effectLst/>
              <a:sp3d contourW="12700"/>
            </c:spPr>
          </c:dPt>
          <c:dPt>
            <c:idx val="2"/>
            <c:bubble3D val="0"/>
            <c:spPr>
              <a:solidFill>
                <a:srgbClr val="FFBC3F"/>
              </a:solidFill>
              <a:ln w="12700">
                <a:solidFill>
                  <a:srgbClr val="FBFFFF"/>
                </a:solidFill>
              </a:ln>
              <a:effectLst/>
              <a:sp3d contourW="12700"/>
            </c:spPr>
          </c:dPt>
          <c:dPt>
            <c:idx val="3"/>
            <c:bubble3D val="0"/>
            <c:spPr>
              <a:solidFill>
                <a:srgbClr val="8064A2"/>
              </a:solidFill>
              <a:ln w="12700">
                <a:solidFill>
                  <a:srgbClr val="FBFFFF"/>
                </a:solidFill>
              </a:ln>
              <a:effectLst/>
              <a:sp3d contourW="12700"/>
            </c:spPr>
          </c:dPt>
          <c:dPt>
            <c:idx val="4"/>
            <c:bubble3D val="0"/>
            <c:spPr>
              <a:solidFill>
                <a:srgbClr val="4BACC6"/>
              </a:solidFill>
              <a:ln w="12700">
                <a:solidFill>
                  <a:srgbClr val="FBFFFF"/>
                </a:solidFill>
              </a:ln>
              <a:effectLst/>
              <a:sp3d contourW="127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一般公共预算财政拨款支出决算结构!$A$2:$A$5</c:f>
              <c:strCache>
                <c:ptCount val="4"/>
                <c:pt idx="0">
                  <c:v>教育支出</c:v>
                </c:pt>
                <c:pt idx="1">
                  <c:v>科学技术支出</c:v>
                </c:pt>
                <c:pt idx="2">
                  <c:v>文化旅游体育与传媒支出</c:v>
                </c:pt>
                <c:pt idx="3">
                  <c:v>社会保障和就业支出</c:v>
                </c:pt>
              </c:strCache>
            </c:strRef>
          </c:cat>
          <c:val>
            <c:numRef>
              <c:f>一般公共预算财政拨款支出决算结构!$C$1:$C$5</c:f>
              <c:numCache>
                <c:formatCode>General</c:formatCode>
                <c:ptCount val="5"/>
                <c:pt idx="1" c:formatCode="0.00_ ">
                  <c:v>0</c:v>
                </c:pt>
                <c:pt idx="2" c:formatCode="0.00_ ">
                  <c:v>0</c:v>
                </c:pt>
                <c:pt idx="3" c:formatCode="_ * #,##0.00_ ;_ * \-#,##0.00_ ;_ * &quot;-&quot;??_ ;_ @_ ">
                  <c:v>446.56</c:v>
                </c:pt>
                <c:pt idx="4" c:formatCode="_ * #,##0.00_ ;_ * \-#,##0.00_ ;_ * &quot;-&quot;??_ ;_ @_ ">
                  <c:v>130.38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1000" b="0" i="0" u="none" strike="noStrike" kern="1200" baseline="0">
              <a:solidFill>
                <a:srgbClr val="808080">
                  <a:lumMod val="50000"/>
                  <a:lumOff val="50000"/>
                </a:srgb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extLst>
      <c:ext uri="{0b15fc19-7d7d-44ad-8c2d-2c3a37ce22c3}">
        <chartProps xmlns="https://web.wps.cn/et/2018/main" chartId="{9f39cffe-00a9-453a-bd18-cae1fe29d538}"/>
      </c:ext>
    </c:extLst>
  </c:chart>
  <c:spPr>
    <a:solidFill>
      <a:sysClr val="window" lastClr="FFFFFF"/>
    </a:solidFill>
    <a:ln w="9525" cap="sq" cmpd="sng" algn="ctr">
      <a:noFill/>
      <a:round/>
    </a:ln>
    <a:effectLst/>
  </c:spPr>
  <c:txPr>
    <a:bodyPr/>
    <a:lstStyle/>
    <a:p>
      <a:pPr>
        <a:defRPr lang="zh-CN">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68888888888889"/>
          <c:y val="0.240166666666667"/>
          <c:w val="0.826222222222222"/>
          <c:h val="0.660407407407407"/>
        </c:manualLayout>
      </c:layout>
      <c:pie3DChart>
        <c:varyColors val="1"/>
        <c:ser>
          <c:idx val="0"/>
          <c:order val="0"/>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公务用车购置及运行维护费支出</a:t>
                    </a:r>
                    <a:r>
                      <a:rPr lang="en-US" altLang="zh-CN"/>
                      <a:t>85.66%</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375"/>
                      <c:h val="0.180555555555556"/>
                    </c:manualLayout>
                  </c15:layout>
                </c:ext>
              </c:extLst>
            </c:dLbl>
            <c:dLbl>
              <c:idx val="1"/>
              <c:layout>
                <c:manualLayout>
                  <c:x val="-0.0842098761475111"/>
                  <c:y val="-0.00092920676582090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公务接待费支出</a:t>
                    </a:r>
                    <a:r>
                      <a:rPr lang="en-US" altLang="zh-CN"/>
                      <a:t>14.34%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625"/>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'[2022年决算图表-本级.xlsx]“三公”经费财政拨款支出结构'!$A$1:$A$2</c:f>
              <c:strCache>
                <c:ptCount val="2"/>
                <c:pt idx="0">
                  <c:v>公务用车购置及运行维护费支出</c:v>
                </c:pt>
                <c:pt idx="1">
                  <c:v>公务接待费支出</c:v>
                </c:pt>
              </c:strCache>
            </c:strRef>
          </c:cat>
          <c:val>
            <c:numRef>
              <c:f>'[2022年决算图表-本级.xlsx]“三公”经费财政拨款支出结构'!$B$1:$B$2</c:f>
              <c:numCache>
                <c:formatCode>0.00%</c:formatCode>
                <c:ptCount val="2"/>
                <c:pt idx="0">
                  <c:v>0.8566</c:v>
                </c:pt>
                <c:pt idx="1">
                  <c:v>0.1434</c:v>
                </c:pt>
              </c:numCache>
            </c:numRef>
          </c:val>
        </c:ser>
        <c:dLbls>
          <c:showLegendKey val="0"/>
          <c:showVal val="0"/>
          <c:showCatName val="1"/>
          <c:showSerName val="0"/>
          <c:showPercent val="1"/>
          <c:showBubbleSize val="0"/>
        </c:dLbls>
      </c:pie3DChart>
    </c:plotArea>
    <c:legend>
      <c:legendPos val="l"/>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caa9502-e9a0-48fd-893a-2695b54010bf}"/>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rgbClr val="808080">
        <a:lumMod val="50000"/>
        <a:lumOff val="50000"/>
      </a:srgbClr>
    </cs:fontRef>
    <cs:defRPr sz="900" kern="1200"/>
  </cs:axisTitle>
  <cs:categoryAxis>
    <cs:lnRef idx="0"/>
    <cs:fillRef idx="0"/>
    <cs:effectRef idx="0"/>
    <cs:fontRef idx="minor">
      <a:srgbClr val="595959">
        <a:lumMod val="65000"/>
        <a:lumOff val="35000"/>
      </a:srgbClr>
    </cs:fontRef>
    <cs:spPr>
      <a:ln w="15875" cap="flat" cmpd="sng" algn="ctr">
        <a:solidFill>
          <a:srgbClr val="BFBFBF">
            <a:lumMod val="25000"/>
            <a:lumOff val="7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styleClr val="auto"/>
    </cs:lnRef>
    <cs:fillRef idx="0"/>
    <cs:effectRef idx="0">
      <cs:styleClr val="auto"/>
    </cs:effectRef>
    <cs:fontRef idx="minor">
      <cs:styleClr val="auto"/>
    </cs:fontRef>
    <cs:spPr>
      <a:solidFill>
        <a:srgbClr val="FFFFFF">
          <a:alpha val="90000"/>
        </a:srgbClr>
      </a:solidFill>
      <a:ln w="12700" cap="flat" cmpd="sng" algn="ctr">
        <a:solidFill>
          <a:srgbClr val="FFFFFF"/>
        </a:solidFill>
        <a:round/>
      </a:ln>
      <a:effectLst>
        <a:outerShdw blurRad="50800" dist="38100" dir="2700000" algn="tl" rotWithShape="0">
          <a:srgbClr val="BFBFBF">
            <a:lumMod val="75000"/>
            <a:alpha val="40000"/>
          </a:srgb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rgbClr val="FFFFFF">
          <a:alpha val="90000"/>
        </a:srgbClr>
      </a:solidFill>
      <a:ln w="12700" cap="flat" cmpd="sng" algn="ctr">
        <a:solidFill>
          <a:srgbClr val="FFFFFF"/>
        </a:solidFill>
        <a:round/>
      </a:ln>
      <a:effectLst>
        <a:outerShdw blurRad="50800" dist="38100" dir="2700000" algn="tl" rotWithShape="0">
          <a:srgbClr val="BFBFBF">
            <a:lumMod val="75000"/>
            <a:alpha val="40000"/>
          </a:srgb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alpha val="70000"/>
        </a:srgbClr>
      </a:solidFill>
    </cs:spPr>
  </cs:dataPoint>
  <cs:dataPoint3D>
    <cs:lnRef idx="0">
      <cs:styleClr val="auto"/>
    </cs:lnRef>
    <cs:fillRef idx="0">
      <cs:styleClr val="auto"/>
    </cs:fillRef>
    <cs:effectRef idx="0">
      <cs:styleClr val="auto"/>
    </cs:effectRef>
    <cs:fontRef idx="minor">
      <a:srgbClr val="000000"/>
    </cs:fontRef>
    <cs:spPr>
      <a:solidFill>
        <a:srgbClr val="FFFFFF">
          <a:alpha val="90000"/>
        </a:srgbClr>
      </a:solidFill>
      <a:ln w="19050">
        <a:solidFill>
          <a:srgbClr val="BFBFBF">
            <a:lumMod val="75000"/>
          </a:srgbClr>
        </a:solidFill>
      </a:ln>
      <a:effectLst>
        <a:innerShdw blurRad="114300">
          <a:srgbClr val="BFBFBF">
            <a:lumMod val="75000"/>
          </a:srgbClr>
        </a:innerShdw>
      </a:effectLst>
      <a:scene3d>
        <a:camera prst="orthographicFront"/>
        <a:lightRig rig="threePt" dir="t"/>
      </a:scene3d>
      <a:sp3d contourW="19050" prstMaterial="flat">
        <a:contourClr>
          <a:srgbClr val="604A7B">
            <a:lumMod val="75000"/>
          </a:srgbClr>
        </a:contourClr>
      </a:sp3d>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ln w="9525">
        <a:solidFill>
          <a:srgbClr val="D9D9D9">
            <a:lumMod val="15000"/>
            <a:lumOff val="85000"/>
          </a:srgbClr>
        </a:solidFill>
      </a:ln>
    </cs:spPr>
    <cs:defRPr sz="900" kern="1200"/>
  </cs:dataTable>
  <cs:downBar>
    <cs:lnRef idx="0"/>
    <cs:fillRef idx="0"/>
    <cs:effectRef idx="0"/>
    <cs:fontRef idx="minor">
      <a:srgbClr val="000000"/>
    </cs:fontRef>
    <cs:spPr>
      <a:solidFill>
        <a:srgbClr val="404040">
          <a:lumMod val="75000"/>
          <a:lumOff val="25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round/>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solidFill>
          <a:srgbClr val="F2F2F2">
            <a:lumMod val="5000"/>
            <a:lumOff val="95000"/>
          </a:srgbClr>
        </a:solidFill>
        <a:round/>
      </a:ln>
    </cs:spPr>
  </cs:gridlineMajor>
  <cs:gridlineMinor>
    <cs:lnRef idx="0"/>
    <cs:fillRef idx="0"/>
    <cs:effectRef idx="0"/>
    <cs:fontRef idx="minor">
      <a:srgbClr val="000000"/>
    </cs:fontRef>
    <cs:spPr>
      <a:ln>
        <a:solidFill>
          <a:srgbClr val="F2F2F2">
            <a:lumMod val="5000"/>
            <a:lumOff val="95000"/>
          </a:srgbClr>
        </a:solidFill>
      </a:ln>
    </cs:spPr>
  </cs:gridlineMinor>
  <cs:hiLoLine>
    <cs:lnRef idx="0"/>
    <cs:fillRef idx="0"/>
    <cs:effectRef idx="0"/>
    <cs:fontRef idx="minor">
      <a:srgbClr val="000000"/>
    </cs:fontRef>
    <cs:spPr>
      <a:ln w="9525">
        <a:solidFill>
          <a:srgbClr val="A6A6A6">
            <a:lumMod val="35000"/>
            <a:lumOff val="65000"/>
          </a:srgbClr>
        </a:solidFill>
        <a:round/>
      </a:ln>
    </cs:spPr>
  </cs:hiLoLine>
  <cs:leaderLine>
    <cs:lnRef idx="0"/>
    <cs:fillRef idx="0"/>
    <cs:effectRef idx="0"/>
    <cs:fontRef idx="minor">
      <a:srgbClr val="000000"/>
    </cs:fontRef>
    <cs:spPr>
      <a:ln w="9525">
        <a:solidFill>
          <a:srgbClr val="A6A6A6">
            <a:lumMod val="35000"/>
            <a:lumOff val="65000"/>
          </a:srgbClr>
        </a:solidFill>
      </a:ln>
    </cs:spPr>
  </cs:leaderLine>
  <cs:legend>
    <cs:lnRef idx="0"/>
    <cs:fillRef idx="0"/>
    <cs:effectRef idx="0"/>
    <cs:fontRef idx="minor">
      <a:srgbClr val="808080">
        <a:lumMod val="50000"/>
        <a:lumOff val="50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a:solidFill>
          <a:srgbClr val="A6A6A6">
            <a:lumMod val="35000"/>
            <a:lumOff val="65000"/>
          </a:srgbClr>
        </a:solidFill>
        <a:round/>
      </a:ln>
    </cs:spPr>
  </cs:seriesLine>
  <cs:title>
    <cs:lnRef idx="0"/>
    <cs:fillRef idx="0"/>
    <cs:effectRef idx="0"/>
    <cs:fontRef idx="minor">
      <a:srgbClr val="595959">
        <a:lumMod val="65000"/>
        <a:lumOff val="35000"/>
      </a:srgbClr>
    </cs:fontRef>
    <cs:defRPr sz="1800" b="1" kern="1200" cap="all" baseline="0"/>
  </cs:title>
  <cs:trendline>
    <cs:lnRef idx="0">
      <cs:styleClr val="auto"/>
    </cs:lnRef>
    <cs:fillRef idx="0"/>
    <cs:effectRef idx="0"/>
    <cs:fontRef idx="minor">
      <a:srgbClr val="000000"/>
    </cs:fontRef>
    <cs:spPr>
      <a:ln w="15875" cap="rnd">
        <a:solidFill>
          <a:srgbClr val="FFFFFF"/>
        </a:solidFill>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595959">
        <a:lumMod val="65000"/>
        <a:lumOff val="35000"/>
      </a:srgbClr>
    </cs:fontRef>
    <cs:defRPr sz="900" kern="1200" spc="20" baseline="0"/>
  </cs:valueAxis>
  <cs:wall>
    <cs:lnRef idx="0"/>
    <cs:fillRef idx="0"/>
    <cs:effectRef idx="0"/>
    <cs:fontRef idx="minor">
      <a:srgbClr val="000000"/>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5089</Words>
  <Characters>5677</Characters>
  <Lines>0</Lines>
  <Paragraphs>0</Paragraphs>
  <TotalTime>2</TotalTime>
  <ScaleCrop>false</ScaleCrop>
  <LinksUpToDate>false</LinksUpToDate>
  <CharactersWithSpaces>5731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2025-09-04T03:59:00Z</dcterms:created>
  <dc:creator>月阙</dc:creator>
  <cp:lastModifiedBy>王国钢</cp:lastModifiedBy>
  <dcterms:modified xsi:type="dcterms:W3CDTF">2025-09-16T08:23:34Z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494D4B3E57C24938B4083648405D001C_11</vt:lpwstr>
  </property>
  <property fmtid="{D5CDD505-2E9C-101B-9397-08002B2CF9AE}" pid="4" name="KSOTemplateDocerSaveRecord">
    <vt:lpwstr>eyJoZGlkIjoiZTQ1YmNjMGEzMDM1ZWY3YjgxM2YyNDJiNzU5YjBmMjQiLCJ1c2VySWQiOiI5MTA0NTU1MzAifQ==</vt:lpwstr>
  </property>
</Properties>
</file>