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9B863">
      <w:pPr>
        <w:adjustRightInd w:val="0"/>
        <w:snapToGrid w:val="0"/>
        <w:spacing w:line="400" w:lineRule="exact"/>
        <w:rPr>
          <w:rFonts w:ascii="黑体" w:hAnsi="黑体" w:eastAsia="黑体" w:cs="黑体"/>
          <w:snapToGrid w:val="0"/>
          <w:kern w:val="0"/>
          <w:sz w:val="32"/>
          <w:szCs w:val="32"/>
        </w:rPr>
      </w:pPr>
      <w:bookmarkStart w:id="0" w:name="_Toc15377193"/>
      <w:bookmarkStart w:id="1" w:name="_Toc15396475"/>
      <w:bookmarkStart w:id="2" w:name="_Toc15377425"/>
      <w:bookmarkStart w:id="3" w:name="_Toc15378441"/>
      <w:bookmarkStart w:id="4" w:name="_Toc15396597"/>
      <w:bookmarkStart w:id="5" w:name="_Toc15306267"/>
      <w:r>
        <w:rPr>
          <w:rFonts w:hint="eastAsia" w:ascii="黑体" w:hAnsi="黑体" w:eastAsia="黑体" w:cs="黑体"/>
          <w:snapToGrid w:val="0"/>
          <w:kern w:val="0"/>
          <w:sz w:val="32"/>
          <w:szCs w:val="32"/>
        </w:rPr>
        <w:t>附件2</w:t>
      </w:r>
    </w:p>
    <w:p w14:paraId="3B7D8C8E">
      <w:pPr>
        <w:pStyle w:val="2"/>
        <w:spacing w:before="93"/>
        <w:rPr>
          <w:rFonts w:hint="eastAsia" w:ascii="Times New Roman" w:eastAsia="方正小标宋简体"/>
          <w:kern w:val="2"/>
          <w:sz w:val="72"/>
          <w:szCs w:val="72"/>
        </w:rPr>
      </w:pPr>
    </w:p>
    <w:p w14:paraId="7990E26F">
      <w:pPr>
        <w:pStyle w:val="2"/>
        <w:spacing w:before="93"/>
        <w:jc w:val="center"/>
        <w:rPr>
          <w:rFonts w:hint="eastAsia" w:ascii="Times New Roman" w:eastAsia="方正小标宋简体"/>
          <w:kern w:val="2"/>
          <w:sz w:val="44"/>
          <w:szCs w:val="44"/>
        </w:rPr>
      </w:pPr>
    </w:p>
    <w:p w14:paraId="20882819">
      <w:pPr>
        <w:pStyle w:val="2"/>
        <w:spacing w:before="93"/>
        <w:jc w:val="center"/>
        <w:rPr>
          <w:rFonts w:hint="eastAsia" w:ascii="Times New Roman" w:eastAsia="方正小标宋简体"/>
          <w:kern w:val="2"/>
          <w:sz w:val="44"/>
          <w:szCs w:val="44"/>
        </w:rPr>
      </w:pPr>
    </w:p>
    <w:p w14:paraId="15F3188C">
      <w:pPr>
        <w:pStyle w:val="2"/>
        <w:spacing w:before="93"/>
        <w:jc w:val="center"/>
        <w:rPr>
          <w:rFonts w:hint="eastAsia" w:ascii="Times New Roman" w:eastAsia="方正小标宋简体"/>
          <w:kern w:val="2"/>
          <w:sz w:val="44"/>
          <w:szCs w:val="44"/>
        </w:rPr>
      </w:pPr>
    </w:p>
    <w:p w14:paraId="2F990399">
      <w:pPr>
        <w:pStyle w:val="2"/>
        <w:spacing w:before="93"/>
        <w:jc w:val="center"/>
        <w:rPr>
          <w:rFonts w:hint="eastAsia" w:ascii="Times New Roman" w:eastAsia="方正小标宋简体"/>
          <w:kern w:val="2"/>
          <w:sz w:val="44"/>
          <w:szCs w:val="44"/>
        </w:rPr>
      </w:pPr>
    </w:p>
    <w:p w14:paraId="7D7CD893">
      <w:pPr>
        <w:pStyle w:val="2"/>
        <w:spacing w:before="93"/>
        <w:jc w:val="center"/>
        <w:rPr>
          <w:rFonts w:hint="eastAsia" w:ascii="Times New Roman" w:eastAsia="方正小标宋简体"/>
          <w:kern w:val="2"/>
          <w:sz w:val="44"/>
          <w:szCs w:val="44"/>
        </w:rPr>
      </w:pPr>
    </w:p>
    <w:p w14:paraId="3D9A8803">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w:t>
      </w:r>
      <w:r>
        <w:rPr>
          <w:rFonts w:hint="eastAsia" w:ascii="Times New Roman" w:eastAsia="方正小标宋简体"/>
          <w:kern w:val="2"/>
          <w:sz w:val="44"/>
          <w:szCs w:val="44"/>
          <w:lang w:eastAsia="zh-CN"/>
        </w:rPr>
        <w:t>攀枝花市图书馆单位</w:t>
      </w:r>
      <w:r>
        <w:rPr>
          <w:rFonts w:hint="eastAsia" w:ascii="Times New Roman" w:eastAsia="方正小标宋简体"/>
          <w:kern w:val="2"/>
          <w:sz w:val="44"/>
          <w:szCs w:val="44"/>
        </w:rPr>
        <w:t>决算</w:t>
      </w:r>
    </w:p>
    <w:p w14:paraId="2F494D9A">
      <w:pPr>
        <w:spacing w:line="600" w:lineRule="exact"/>
        <w:jc w:val="center"/>
        <w:outlineLvl w:val="0"/>
        <w:rPr>
          <w:rFonts w:eastAsia="方正小标宋简体"/>
          <w:sz w:val="72"/>
          <w:szCs w:val="72"/>
        </w:rPr>
      </w:pPr>
    </w:p>
    <w:p w14:paraId="706851CF">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57F8D8FA">
      <w:pPr>
        <w:widowControl/>
        <w:jc w:val="center"/>
        <w:rPr>
          <w:rFonts w:ascii="Times New Roman" w:hAnsi="Times New Roman" w:eastAsia="黑体"/>
          <w:sz w:val="48"/>
          <w:szCs w:val="48"/>
        </w:rPr>
      </w:pPr>
      <w:r>
        <w:rPr>
          <w:rFonts w:ascii="Times New Roman" w:hAnsi="Times New Roman" w:eastAsia="黑体"/>
          <w:sz w:val="48"/>
          <w:szCs w:val="48"/>
        </w:rPr>
        <w:t>目录</w:t>
      </w:r>
    </w:p>
    <w:p w14:paraId="1B4B4B64">
      <w:pPr>
        <w:widowControl/>
        <w:jc w:val="center"/>
        <w:rPr>
          <w:rFonts w:ascii="Times New Roman" w:hAnsi="Times New Roman" w:eastAsia="黑体"/>
          <w:sz w:val="28"/>
          <w:szCs w:val="28"/>
        </w:rPr>
      </w:pPr>
    </w:p>
    <w:p w14:paraId="3374672C">
      <w:pPr>
        <w:pStyle w:val="12"/>
        <w:rPr>
          <w:rFonts w:ascii="Times New Roman" w:hAnsi="Times New Roman"/>
        </w:rPr>
      </w:pPr>
      <w:r>
        <w:rPr>
          <w:rFonts w:ascii="Times New Roman" w:hAnsi="Times New Roman"/>
        </w:rPr>
        <w:t>公开时间：202</w:t>
      </w:r>
      <w:r>
        <w:rPr>
          <w:rFonts w:hint="eastAsia" w:ascii="Times New Roman" w:hAnsi="Times New Roman"/>
          <w:lang w:val="en-US" w:eastAsia="zh-CN"/>
        </w:rPr>
        <w:t>6</w:t>
      </w:r>
      <w:r>
        <w:rPr>
          <w:rFonts w:ascii="Times New Roman" w:hAnsi="Times New Roman"/>
        </w:rPr>
        <w:t>年</w:t>
      </w:r>
      <w:r>
        <w:rPr>
          <w:rFonts w:hint="eastAsia" w:ascii="Times New Roman" w:hAnsi="Times New Roman"/>
          <w:lang w:val="en-US" w:eastAsia="zh-CN"/>
        </w:rPr>
        <w:t>9</w:t>
      </w:r>
      <w:r>
        <w:rPr>
          <w:rFonts w:ascii="Times New Roman" w:hAnsi="Times New Roman"/>
        </w:rPr>
        <w:t>月</w:t>
      </w:r>
      <w:r>
        <w:rPr>
          <w:rFonts w:hint="eastAsia" w:ascii="Times New Roman" w:hAnsi="Times New Roman"/>
          <w:lang w:val="en-US" w:eastAsia="zh-CN"/>
        </w:rPr>
        <w:t>14</w:t>
      </w:r>
      <w:bookmarkStart w:id="116" w:name="_GoBack"/>
      <w:bookmarkEnd w:id="116"/>
      <w:r>
        <w:rPr>
          <w:rFonts w:ascii="Times New Roman" w:hAnsi="Times New Roman"/>
        </w:rPr>
        <w:t>日</w:t>
      </w:r>
    </w:p>
    <w:p w14:paraId="1FDBF63B">
      <w:pPr>
        <w:rPr>
          <w:sz w:val="52"/>
          <w:szCs w:val="52"/>
        </w:rPr>
      </w:pPr>
    </w:p>
    <w:p w14:paraId="51BCC169">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 w:val="52"/>
          <w:szCs w:val="52"/>
        </w:rPr>
        <w:fldChar w:fldCharType="begin"/>
      </w:r>
      <w:r>
        <w:rPr>
          <w:sz w:val="52"/>
          <w:szCs w:val="52"/>
        </w:rPr>
        <w:instrText xml:space="preserve">TOC \o "1-3" \f \h \u </w:instrText>
      </w:r>
      <w:r>
        <w:rPr>
          <w:sz w:val="52"/>
          <w:szCs w:val="52"/>
        </w:rPr>
        <w:fldChar w:fldCharType="separate"/>
      </w:r>
      <w:r>
        <w:rPr>
          <w:szCs w:val="52"/>
        </w:rPr>
        <w:fldChar w:fldCharType="begin"/>
      </w:r>
      <w:r>
        <w:rPr>
          <w:szCs w:val="52"/>
        </w:rPr>
        <w:instrText xml:space="preserve"> HYPERLINK \l _Toc1895729040 </w:instrText>
      </w:r>
      <w:r>
        <w:rPr>
          <w:szCs w:val="52"/>
        </w:rPr>
        <w:fldChar w:fldCharType="separate"/>
      </w:r>
      <w:r>
        <w:rPr>
          <w:rFonts w:hint="eastAsia" w:eastAsia="方正小标宋简体" w:cs="方正小标宋简体"/>
        </w:rPr>
        <w:t xml:space="preserve">第一部分  </w:t>
      </w:r>
      <w:r>
        <w:rPr>
          <w:rFonts w:hint="eastAsia" w:eastAsia="方正小标宋简体" w:cs="方正小标宋简体"/>
          <w:bCs w:val="0"/>
        </w:rPr>
        <w:t>部门概况</w:t>
      </w:r>
      <w:r>
        <w:tab/>
      </w:r>
      <w:r>
        <w:rPr>
          <w:sz w:val="21"/>
          <w:szCs w:val="21"/>
        </w:rPr>
        <w:fldChar w:fldCharType="begin"/>
      </w:r>
      <w:r>
        <w:rPr>
          <w:sz w:val="21"/>
          <w:szCs w:val="21"/>
        </w:rPr>
        <w:instrText xml:space="preserve"> PAGEREF _Toc1895729040 \h </w:instrText>
      </w:r>
      <w:r>
        <w:rPr>
          <w:sz w:val="21"/>
          <w:szCs w:val="21"/>
        </w:rPr>
        <w:fldChar w:fldCharType="separate"/>
      </w:r>
      <w:r>
        <w:rPr>
          <w:sz w:val="21"/>
          <w:szCs w:val="21"/>
        </w:rPr>
        <w:t>1</w:t>
      </w:r>
      <w:r>
        <w:rPr>
          <w:sz w:val="21"/>
          <w:szCs w:val="21"/>
        </w:rPr>
        <w:fldChar w:fldCharType="end"/>
      </w:r>
      <w:r>
        <w:rPr>
          <w:szCs w:val="52"/>
        </w:rPr>
        <w:fldChar w:fldCharType="end"/>
      </w:r>
    </w:p>
    <w:p w14:paraId="063ED0A7">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_Toc2034848137 </w:instrText>
      </w:r>
      <w:r>
        <w:rPr>
          <w:szCs w:val="52"/>
        </w:rPr>
        <w:fldChar w:fldCharType="separate"/>
      </w:r>
      <w:r>
        <w:rPr>
          <w:rFonts w:hint="eastAsia" w:ascii="Times New Roman" w:hAnsi="Times New Roman" w:eastAsia="黑体"/>
        </w:rPr>
        <w:t>一、 部门职责</w:t>
      </w:r>
      <w:r>
        <w:tab/>
      </w:r>
      <w:r>
        <w:fldChar w:fldCharType="begin"/>
      </w:r>
      <w:r>
        <w:instrText xml:space="preserve"> PAGEREF _Toc2034848137 \h </w:instrText>
      </w:r>
      <w:r>
        <w:fldChar w:fldCharType="separate"/>
      </w:r>
      <w:r>
        <w:t>1</w:t>
      </w:r>
      <w:r>
        <w:fldChar w:fldCharType="end"/>
      </w:r>
      <w:r>
        <w:rPr>
          <w:szCs w:val="52"/>
        </w:rPr>
        <w:fldChar w:fldCharType="end"/>
      </w:r>
    </w:p>
    <w:p w14:paraId="3D64B538">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_Toc1555527393 </w:instrText>
      </w:r>
      <w:r>
        <w:rPr>
          <w:szCs w:val="52"/>
        </w:rPr>
        <w:fldChar w:fldCharType="separate"/>
      </w:r>
      <w:r>
        <w:rPr>
          <w:rFonts w:hint="eastAsia" w:ascii="Times New Roman" w:hAnsi="Times New Roman" w:eastAsia="黑体"/>
        </w:rPr>
        <w:t>二、机</w:t>
      </w:r>
      <w:r>
        <w:rPr>
          <w:rFonts w:hint="eastAsia" w:ascii="Times New Roman" w:hAnsi="Times New Roman" w:eastAsia="黑体"/>
          <w:bCs w:val="0"/>
        </w:rPr>
        <w:t>构设置</w:t>
      </w:r>
      <w:r>
        <w:tab/>
      </w:r>
      <w:r>
        <w:fldChar w:fldCharType="begin"/>
      </w:r>
      <w:r>
        <w:instrText xml:space="preserve"> PAGEREF _Toc1555527393 \h </w:instrText>
      </w:r>
      <w:r>
        <w:fldChar w:fldCharType="separate"/>
      </w:r>
      <w:r>
        <w:t>1</w:t>
      </w:r>
      <w:r>
        <w:fldChar w:fldCharType="end"/>
      </w:r>
      <w:r>
        <w:rPr>
          <w:szCs w:val="52"/>
        </w:rPr>
        <w:fldChar w:fldCharType="end"/>
      </w:r>
    </w:p>
    <w:p w14:paraId="5F914B21">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_Toc818944107 </w:instrText>
      </w:r>
      <w:r>
        <w:rPr>
          <w:szCs w:val="52"/>
        </w:rPr>
        <w:fldChar w:fldCharType="separate"/>
      </w:r>
      <w:r>
        <w:rPr>
          <w:rFonts w:hint="eastAsia" w:eastAsia="方正小标宋简体" w:cs="方正小标宋简体"/>
        </w:rPr>
        <w:t>第二部分  2025年度部门决算情况说明</w:t>
      </w:r>
      <w:r>
        <w:tab/>
      </w:r>
      <w:r>
        <w:rPr>
          <w:sz w:val="21"/>
          <w:szCs w:val="21"/>
        </w:rPr>
        <w:fldChar w:fldCharType="begin"/>
      </w:r>
      <w:r>
        <w:rPr>
          <w:sz w:val="21"/>
          <w:szCs w:val="21"/>
        </w:rPr>
        <w:instrText xml:space="preserve"> PAGEREF _Toc818944107 \h </w:instrText>
      </w:r>
      <w:r>
        <w:rPr>
          <w:sz w:val="21"/>
          <w:szCs w:val="21"/>
        </w:rPr>
        <w:fldChar w:fldCharType="separate"/>
      </w:r>
      <w:r>
        <w:rPr>
          <w:sz w:val="21"/>
          <w:szCs w:val="21"/>
        </w:rPr>
        <w:t>2</w:t>
      </w:r>
      <w:r>
        <w:rPr>
          <w:sz w:val="21"/>
          <w:szCs w:val="21"/>
        </w:rPr>
        <w:fldChar w:fldCharType="end"/>
      </w:r>
      <w:r>
        <w:rPr>
          <w:szCs w:val="52"/>
        </w:rPr>
        <w:fldChar w:fldCharType="end"/>
      </w:r>
    </w:p>
    <w:p w14:paraId="1AC8F76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_Toc437121510 </w:instrText>
      </w:r>
      <w:r>
        <w:rPr>
          <w:szCs w:val="52"/>
        </w:rP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_Toc437121510 \h </w:instrText>
      </w:r>
      <w:r>
        <w:fldChar w:fldCharType="separate"/>
      </w:r>
      <w:r>
        <w:t>2</w:t>
      </w:r>
      <w:r>
        <w:fldChar w:fldCharType="end"/>
      </w:r>
      <w:r>
        <w:rPr>
          <w:szCs w:val="52"/>
        </w:rPr>
        <w:fldChar w:fldCharType="end"/>
      </w:r>
    </w:p>
    <w:p w14:paraId="36C92F7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_Toc310142884 </w:instrText>
      </w:r>
      <w:r>
        <w:rPr>
          <w:szCs w:val="52"/>
        </w:rPr>
        <w:fldChar w:fldCharType="separate"/>
      </w:r>
      <w:r>
        <w:rPr>
          <w:rFonts w:hint="eastAsia" w:eastAsia="黑体"/>
          <w:szCs w:val="32"/>
        </w:rPr>
        <w:t>二、收入决算情况说明</w:t>
      </w:r>
      <w:r>
        <w:tab/>
      </w:r>
      <w:r>
        <w:fldChar w:fldCharType="begin"/>
      </w:r>
      <w:r>
        <w:instrText xml:space="preserve"> PAGEREF _Toc310142884 \h </w:instrText>
      </w:r>
      <w:r>
        <w:fldChar w:fldCharType="separate"/>
      </w:r>
      <w:r>
        <w:t>2</w:t>
      </w:r>
      <w:r>
        <w:fldChar w:fldCharType="end"/>
      </w:r>
      <w:r>
        <w:rPr>
          <w:szCs w:val="52"/>
        </w:rPr>
        <w:fldChar w:fldCharType="end"/>
      </w:r>
    </w:p>
    <w:p w14:paraId="1E9E8C6B">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_Toc535682486 </w:instrText>
      </w:r>
      <w:r>
        <w:rPr>
          <w:szCs w:val="52"/>
        </w:rP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_Toc535682486 \h </w:instrText>
      </w:r>
      <w:r>
        <w:fldChar w:fldCharType="separate"/>
      </w:r>
      <w:r>
        <w:t>3</w:t>
      </w:r>
      <w:r>
        <w:fldChar w:fldCharType="end"/>
      </w:r>
      <w:r>
        <w:rPr>
          <w:szCs w:val="52"/>
        </w:rPr>
        <w:fldChar w:fldCharType="end"/>
      </w:r>
    </w:p>
    <w:p w14:paraId="3705C21A">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_Toc2013439900 </w:instrText>
      </w:r>
      <w:r>
        <w:rPr>
          <w:szCs w:val="52"/>
        </w:rP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_Toc2013439900 \h </w:instrText>
      </w:r>
      <w:r>
        <w:fldChar w:fldCharType="separate"/>
      </w:r>
      <w:r>
        <w:t>3</w:t>
      </w:r>
      <w:r>
        <w:fldChar w:fldCharType="end"/>
      </w:r>
      <w:r>
        <w:rPr>
          <w:szCs w:val="52"/>
        </w:rPr>
        <w:fldChar w:fldCharType="end"/>
      </w:r>
    </w:p>
    <w:p w14:paraId="6B591B0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_Toc1919743045 </w:instrText>
      </w:r>
      <w:r>
        <w:rPr>
          <w:szCs w:val="52"/>
        </w:rP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_Toc1919743045 \h </w:instrText>
      </w:r>
      <w:r>
        <w:fldChar w:fldCharType="separate"/>
      </w:r>
      <w:r>
        <w:t>4</w:t>
      </w:r>
      <w:r>
        <w:fldChar w:fldCharType="end"/>
      </w:r>
      <w:r>
        <w:rPr>
          <w:szCs w:val="52"/>
        </w:rPr>
        <w:fldChar w:fldCharType="end"/>
      </w:r>
    </w:p>
    <w:p w14:paraId="7BE09A48">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_Toc2070104756 </w:instrText>
      </w:r>
      <w:r>
        <w:rPr>
          <w:szCs w:val="52"/>
        </w:rP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_Toc2070104756 \h </w:instrText>
      </w:r>
      <w:r>
        <w:fldChar w:fldCharType="separate"/>
      </w:r>
      <w:r>
        <w:t>8</w:t>
      </w:r>
      <w:r>
        <w:fldChar w:fldCharType="end"/>
      </w:r>
      <w:r>
        <w:rPr>
          <w:szCs w:val="52"/>
        </w:rPr>
        <w:fldChar w:fldCharType="end"/>
      </w:r>
    </w:p>
    <w:p w14:paraId="3019E98A">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_Toc1682113124 </w:instrText>
      </w:r>
      <w:r>
        <w:rPr>
          <w:szCs w:val="52"/>
        </w:rP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_Toc1682113124 \h </w:instrText>
      </w:r>
      <w:r>
        <w:fldChar w:fldCharType="separate"/>
      </w:r>
      <w:r>
        <w:t>8</w:t>
      </w:r>
      <w:r>
        <w:fldChar w:fldCharType="end"/>
      </w:r>
      <w:r>
        <w:rPr>
          <w:szCs w:val="52"/>
        </w:rPr>
        <w:fldChar w:fldCharType="end"/>
      </w:r>
    </w:p>
    <w:p w14:paraId="66029B4F">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_Toc2136621704 </w:instrText>
      </w:r>
      <w:r>
        <w:rPr>
          <w:szCs w:val="52"/>
        </w:rP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_Toc2136621704 \h </w:instrText>
      </w:r>
      <w:r>
        <w:fldChar w:fldCharType="separate"/>
      </w:r>
      <w:r>
        <w:t>10</w:t>
      </w:r>
      <w:r>
        <w:fldChar w:fldCharType="end"/>
      </w:r>
      <w:r>
        <w:rPr>
          <w:szCs w:val="52"/>
        </w:rPr>
        <w:fldChar w:fldCharType="end"/>
      </w:r>
    </w:p>
    <w:p w14:paraId="6F8E4911">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_Toc1753152885 </w:instrText>
      </w:r>
      <w:r>
        <w:rPr>
          <w:szCs w:val="52"/>
        </w:rPr>
        <w:fldChar w:fldCharType="separate"/>
      </w:r>
      <w:r>
        <w:rPr>
          <w:rFonts w:hint="eastAsia" w:ascii="Times New Roman" w:hAnsi="Times New Roman" w:eastAsia="黑体"/>
        </w:rPr>
        <w:t>九、国有资本经营预算支出决算情况说明</w:t>
      </w:r>
      <w:r>
        <w:tab/>
      </w:r>
      <w:r>
        <w:fldChar w:fldCharType="begin"/>
      </w:r>
      <w:r>
        <w:instrText xml:space="preserve"> PAGEREF _Toc1753152885 \h </w:instrText>
      </w:r>
      <w:r>
        <w:fldChar w:fldCharType="separate"/>
      </w:r>
      <w:r>
        <w:t>11</w:t>
      </w:r>
      <w:r>
        <w:fldChar w:fldCharType="end"/>
      </w:r>
      <w:r>
        <w:rPr>
          <w:szCs w:val="52"/>
        </w:rPr>
        <w:fldChar w:fldCharType="end"/>
      </w:r>
    </w:p>
    <w:p w14:paraId="745EC6D1">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_Toc167569110 </w:instrText>
      </w:r>
      <w:r>
        <w:rPr>
          <w:szCs w:val="52"/>
        </w:rPr>
        <w:fldChar w:fldCharType="separate"/>
      </w:r>
      <w:r>
        <w:rPr>
          <w:rFonts w:hint="eastAsia" w:ascii="Times New Roman" w:hAnsi="Times New Roman" w:eastAsia="黑体"/>
        </w:rPr>
        <w:t>十、其他重要事项的情况说明</w:t>
      </w:r>
      <w:r>
        <w:tab/>
      </w:r>
      <w:r>
        <w:fldChar w:fldCharType="begin"/>
      </w:r>
      <w:r>
        <w:instrText xml:space="preserve"> PAGEREF _Toc167569110 \h </w:instrText>
      </w:r>
      <w:r>
        <w:fldChar w:fldCharType="separate"/>
      </w:r>
      <w:r>
        <w:t>11</w:t>
      </w:r>
      <w:r>
        <w:fldChar w:fldCharType="end"/>
      </w:r>
      <w:r>
        <w:rPr>
          <w:szCs w:val="52"/>
        </w:rPr>
        <w:fldChar w:fldCharType="end"/>
      </w:r>
    </w:p>
    <w:p w14:paraId="2EE2C103">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240" w:lineRule="atLeast"/>
        <w:textAlignment w:val="auto"/>
      </w:pPr>
      <w:r>
        <w:rPr>
          <w:szCs w:val="52"/>
        </w:rPr>
        <w:fldChar w:fldCharType="begin"/>
      </w:r>
      <w:r>
        <w:rPr>
          <w:szCs w:val="52"/>
        </w:rPr>
        <w:instrText xml:space="preserve"> HYPERLINK \l _Toc1885238299 </w:instrText>
      </w:r>
      <w:r>
        <w:rPr>
          <w:szCs w:val="52"/>
        </w:rPr>
        <w:fldChar w:fldCharType="separate"/>
      </w:r>
      <w:r>
        <w:rPr>
          <w:rFonts w:hint="eastAsia" w:eastAsia="黑体"/>
          <w:szCs w:val="44"/>
        </w:rPr>
        <w:t>第三部分  名词解释</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_Toc1885238299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13</w:t>
      </w:r>
      <w:r>
        <w:rPr>
          <w:rFonts w:ascii="Times New Roman" w:hAnsi="Times New Roman" w:eastAsia="宋体" w:cs="Times New Roman"/>
          <w:kern w:val="2"/>
          <w:sz w:val="21"/>
          <w:szCs w:val="24"/>
          <w:lang w:val="en-US" w:eastAsia="zh-CN" w:bidi="ar-SA"/>
        </w:rPr>
        <w:fldChar w:fldCharType="end"/>
      </w:r>
      <w:r>
        <w:rPr>
          <w:szCs w:val="52"/>
        </w:rPr>
        <w:fldChar w:fldCharType="end"/>
      </w:r>
    </w:p>
    <w:p w14:paraId="43F7FBE7">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240" w:lineRule="atLeast"/>
        <w:textAlignment w:val="auto"/>
        <w:rPr>
          <w:rFonts w:hint="eastAsia" w:eastAsia="仿宋"/>
          <w:lang w:val="en-US" w:eastAsia="zh-CN"/>
        </w:rPr>
      </w:pPr>
      <w:r>
        <w:rPr>
          <w:szCs w:val="52"/>
        </w:rPr>
        <w:fldChar w:fldCharType="end"/>
      </w:r>
      <w:r>
        <w:rPr>
          <w:szCs w:val="52"/>
        </w:rPr>
        <w:fldChar w:fldCharType="begin"/>
      </w:r>
      <w:r>
        <w:rPr>
          <w:szCs w:val="52"/>
        </w:rPr>
        <w:instrText xml:space="preserve"> HYPERLINK \l _Toc1885238299 </w:instrText>
      </w:r>
      <w:r>
        <w:rPr>
          <w:szCs w:val="52"/>
        </w:rPr>
        <w:fldChar w:fldCharType="separate"/>
      </w:r>
      <w:r>
        <w:rPr>
          <w:rFonts w:hint="eastAsia" w:eastAsia="黑体"/>
          <w:szCs w:val="44"/>
        </w:rPr>
        <w:t>第</w:t>
      </w:r>
      <w:r>
        <w:rPr>
          <w:rFonts w:hint="eastAsia" w:eastAsia="黑体"/>
          <w:szCs w:val="44"/>
          <w:lang w:eastAsia="zh-CN"/>
        </w:rPr>
        <w:t>四</w:t>
      </w:r>
      <w:r>
        <w:rPr>
          <w:rFonts w:hint="eastAsia" w:eastAsia="黑体"/>
          <w:szCs w:val="44"/>
        </w:rPr>
        <w:t xml:space="preserve">部分  </w:t>
      </w:r>
      <w:r>
        <w:rPr>
          <w:rFonts w:hint="eastAsia" w:eastAsia="黑体"/>
          <w:szCs w:val="44"/>
          <w:lang w:eastAsia="zh-CN"/>
        </w:rPr>
        <w:t>附件</w:t>
      </w:r>
      <w:r>
        <w:tab/>
      </w:r>
      <w:r>
        <w:rPr>
          <w:rFonts w:hint="eastAsia" w:ascii="Times New Roman" w:hAnsi="Times New Roman" w:eastAsia="宋体" w:cs="Times New Roman"/>
          <w:kern w:val="2"/>
          <w:sz w:val="21"/>
          <w:szCs w:val="24"/>
          <w:lang w:val="en-US" w:eastAsia="zh-CN" w:bidi="ar-SA"/>
        </w:rPr>
        <w:t>1</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宋体" w:cs="Times New Roman"/>
          <w:kern w:val="2"/>
          <w:sz w:val="21"/>
          <w:szCs w:val="24"/>
          <w:lang w:val="en-US" w:eastAsia="zh-CN" w:bidi="ar-SA"/>
        </w:rPr>
        <w:t>6</w:t>
      </w:r>
    </w:p>
    <w:p w14:paraId="7AE37A3D">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240" w:lineRule="atLeast"/>
        <w:textAlignment w:val="auto"/>
      </w:pPr>
      <w:r>
        <w:rPr>
          <w:szCs w:val="52"/>
        </w:rPr>
        <w:fldChar w:fldCharType="begin"/>
      </w:r>
      <w:r>
        <w:rPr>
          <w:szCs w:val="52"/>
        </w:rPr>
        <w:instrText xml:space="preserve"> HYPERLINK \l _Toc1885238299 </w:instrText>
      </w:r>
      <w:r>
        <w:rPr>
          <w:szCs w:val="52"/>
        </w:rPr>
        <w:fldChar w:fldCharType="separate"/>
      </w:r>
      <w:r>
        <w:rPr>
          <w:rFonts w:hint="eastAsia" w:eastAsia="黑体"/>
          <w:szCs w:val="44"/>
        </w:rPr>
        <w:t>第</w:t>
      </w:r>
      <w:r>
        <w:rPr>
          <w:rFonts w:hint="eastAsia" w:eastAsia="黑体"/>
          <w:szCs w:val="44"/>
          <w:lang w:eastAsia="zh-CN"/>
        </w:rPr>
        <w:t>五</w:t>
      </w:r>
      <w:r>
        <w:rPr>
          <w:rFonts w:hint="eastAsia" w:eastAsia="黑体"/>
          <w:szCs w:val="44"/>
        </w:rPr>
        <w:t xml:space="preserve">部分 </w:t>
      </w:r>
      <w:r>
        <w:rPr>
          <w:rFonts w:hint="eastAsia" w:eastAsia="黑体"/>
          <w:szCs w:val="44"/>
          <w:lang w:eastAsia="zh-CN"/>
        </w:rPr>
        <w:t>附表</w:t>
      </w:r>
      <w:r>
        <w:tab/>
      </w:r>
      <w:r>
        <w:rPr>
          <w:sz w:val="21"/>
          <w:szCs w:val="21"/>
        </w:rPr>
        <w:fldChar w:fldCharType="begin"/>
      </w:r>
      <w:r>
        <w:rPr>
          <w:sz w:val="21"/>
          <w:szCs w:val="21"/>
        </w:rPr>
        <w:instrText xml:space="preserve"> PAGEREF _Toc1885238299 \h </w:instrText>
      </w:r>
      <w:r>
        <w:rPr>
          <w:sz w:val="21"/>
          <w:szCs w:val="21"/>
        </w:rPr>
        <w:fldChar w:fldCharType="separate"/>
      </w:r>
      <w:r>
        <w:rPr>
          <w:sz w:val="21"/>
          <w:szCs w:val="21"/>
        </w:rPr>
        <w:t>17</w:t>
      </w:r>
      <w:r>
        <w:rPr>
          <w:sz w:val="21"/>
          <w:szCs w:val="21"/>
        </w:rPr>
        <w:fldChar w:fldCharType="end"/>
      </w:r>
      <w:r>
        <w:rPr>
          <w:szCs w:val="52"/>
        </w:rPr>
        <w:fldChar w:fldCharType="end"/>
      </w:r>
    </w:p>
    <w:p w14:paraId="027C3DDD">
      <w:pPr>
        <w:pStyle w:val="14"/>
        <w:numPr>
          <w:ilvl w:val="0"/>
          <w:numId w:val="1"/>
        </w:numPr>
        <w:tabs>
          <w:tab w:val="right" w:leader="dot" w:pos="8306"/>
          <w:tab w:val="clear" w:pos="8296"/>
        </w:tabs>
      </w:pPr>
      <w:r>
        <w:rPr>
          <w:rFonts w:hint="eastAsia" w:ascii="黑体" w:hAnsi="黑体" w:eastAsia="黑体" w:cs="黑体"/>
          <w:szCs w:val="52"/>
        </w:rPr>
        <w:t>收入支出决算总表</w:t>
      </w:r>
      <w:r>
        <w:tab/>
      </w:r>
      <w:r>
        <w:rPr>
          <w:rFonts w:hint="eastAsia"/>
          <w:lang w:val="en-US" w:eastAsia="zh-CN"/>
        </w:rPr>
        <w:t>17</w:t>
      </w:r>
    </w:p>
    <w:p w14:paraId="2E1469A6">
      <w:pPr>
        <w:pStyle w:val="14"/>
        <w:numPr>
          <w:ilvl w:val="0"/>
          <w:numId w:val="1"/>
        </w:numPr>
        <w:tabs>
          <w:tab w:val="right" w:leader="dot" w:pos="8306"/>
          <w:tab w:val="clear" w:pos="8296"/>
        </w:tabs>
        <w:rPr>
          <w:rFonts w:hint="eastAsia" w:ascii="黑体" w:hAnsi="黑体" w:eastAsia="黑体" w:cs="黑体"/>
          <w:szCs w:val="52"/>
        </w:rPr>
      </w:pPr>
      <w:r>
        <w:rPr>
          <w:rFonts w:hint="eastAsia" w:ascii="黑体" w:hAnsi="黑体" w:eastAsia="黑体" w:cs="黑体"/>
          <w:szCs w:val="52"/>
        </w:rPr>
        <w:t>二、收入决算表</w:t>
      </w:r>
      <w:r>
        <w:tab/>
      </w:r>
      <w:r>
        <w:rPr>
          <w:rFonts w:hint="eastAsia"/>
          <w:lang w:val="en-US" w:eastAsia="zh-CN"/>
        </w:rPr>
        <w:t>17</w:t>
      </w:r>
    </w:p>
    <w:p w14:paraId="3F3AEC96">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三、支出决算表</w:t>
      </w:r>
      <w:r>
        <w:tab/>
      </w:r>
      <w:r>
        <w:rPr>
          <w:rFonts w:hint="eastAsia"/>
          <w:lang w:val="en-US" w:eastAsia="zh-CN"/>
        </w:rPr>
        <w:t>17</w:t>
      </w:r>
    </w:p>
    <w:p w14:paraId="1BC16CF0">
      <w:pPr>
        <w:pStyle w:val="14"/>
        <w:tabs>
          <w:tab w:val="right" w:leader="dot" w:pos="8306"/>
          <w:tab w:val="clear" w:pos="8296"/>
        </w:tabs>
        <w:rPr>
          <w:rFonts w:hint="default" w:eastAsia="宋体"/>
          <w:lang w:val="en-US" w:eastAsia="zh-CN"/>
        </w:rPr>
      </w:pPr>
      <w:r>
        <w:rPr>
          <w:rFonts w:hint="eastAsia" w:ascii="黑体" w:hAnsi="黑体" w:eastAsia="黑体" w:cs="黑体"/>
          <w:szCs w:val="52"/>
        </w:rPr>
        <w:t>四、财政拨款收入支出决算总表</w:t>
      </w:r>
      <w:r>
        <w:tab/>
      </w:r>
      <w:r>
        <w:rPr>
          <w:rFonts w:hint="eastAsia"/>
          <w:lang w:val="en-US" w:eastAsia="zh-CN"/>
        </w:rPr>
        <w:t>17</w:t>
      </w:r>
    </w:p>
    <w:p w14:paraId="4D0363FC">
      <w:pPr>
        <w:pStyle w:val="14"/>
        <w:tabs>
          <w:tab w:val="right" w:leader="dot" w:pos="8306"/>
          <w:tab w:val="clear" w:pos="8296"/>
        </w:tabs>
        <w:rPr>
          <w:rFonts w:hint="eastAsia" w:ascii="黑体" w:hAnsi="黑体" w:eastAsia="宋体" w:cs="黑体"/>
          <w:szCs w:val="52"/>
          <w:lang w:val="en-US" w:eastAsia="zh-CN"/>
        </w:rPr>
      </w:pPr>
      <w:r>
        <w:rPr>
          <w:rFonts w:hint="eastAsia" w:ascii="黑体" w:hAnsi="黑体" w:eastAsia="黑体" w:cs="黑体"/>
          <w:szCs w:val="52"/>
        </w:rPr>
        <w:t>五、财政拨款支出决算明细表</w:t>
      </w:r>
      <w:r>
        <w:tab/>
      </w:r>
      <w:r>
        <w:rPr>
          <w:rFonts w:hint="eastAsia"/>
          <w:lang w:val="en-US" w:eastAsia="zh-CN"/>
        </w:rPr>
        <w:t>17</w:t>
      </w:r>
    </w:p>
    <w:p w14:paraId="297504F9">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六、一般公共预算财政拨款支出决算表</w:t>
      </w:r>
      <w:r>
        <w:tab/>
      </w:r>
      <w:r>
        <w:rPr>
          <w:rFonts w:hint="eastAsia"/>
          <w:lang w:val="en-US" w:eastAsia="zh-CN"/>
        </w:rPr>
        <w:t>17</w:t>
      </w:r>
    </w:p>
    <w:p w14:paraId="24AB9570">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七、一般公共预算财政拨款支出决算明细表</w:t>
      </w:r>
      <w:r>
        <w:tab/>
      </w:r>
      <w:r>
        <w:rPr>
          <w:rFonts w:hint="eastAsia"/>
          <w:lang w:val="en-US" w:eastAsia="zh-CN"/>
        </w:rPr>
        <w:t>17</w:t>
      </w:r>
    </w:p>
    <w:p w14:paraId="1A4DCAB6">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八、一般公共预算财政拨款基本支出决算表</w:t>
      </w:r>
      <w:r>
        <w:tab/>
      </w:r>
      <w:r>
        <w:rPr>
          <w:rFonts w:hint="eastAsia"/>
          <w:lang w:val="en-US" w:eastAsia="zh-CN"/>
        </w:rPr>
        <w:t>17</w:t>
      </w:r>
    </w:p>
    <w:p w14:paraId="36EEF0D9">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九、一般公共预算财政拨款项目支出决算表</w:t>
      </w:r>
      <w:r>
        <w:tab/>
      </w:r>
      <w:r>
        <w:rPr>
          <w:rFonts w:hint="eastAsia"/>
          <w:lang w:val="en-US" w:eastAsia="zh-CN"/>
        </w:rPr>
        <w:t>17</w:t>
      </w:r>
    </w:p>
    <w:p w14:paraId="54D91F40">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十、政府性基金预算财政拨款收入支出决算表</w:t>
      </w:r>
      <w:r>
        <w:tab/>
      </w:r>
      <w:r>
        <w:rPr>
          <w:rFonts w:hint="eastAsia"/>
          <w:lang w:val="en-US" w:eastAsia="zh-CN"/>
        </w:rPr>
        <w:t>17</w:t>
      </w:r>
    </w:p>
    <w:p w14:paraId="0516CC12">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十一、国有资本经营预算财政拨款收入支出决算表</w:t>
      </w:r>
      <w:r>
        <w:tab/>
      </w:r>
      <w:r>
        <w:rPr>
          <w:rFonts w:hint="eastAsia"/>
          <w:lang w:val="en-US" w:eastAsia="zh-CN"/>
        </w:rPr>
        <w:t>17</w:t>
      </w:r>
    </w:p>
    <w:p w14:paraId="2BEC990C">
      <w:pPr>
        <w:pStyle w:val="14"/>
        <w:tabs>
          <w:tab w:val="right" w:leader="dot" w:pos="8306"/>
          <w:tab w:val="clear" w:pos="8296"/>
        </w:tabs>
        <w:rPr>
          <w:rFonts w:hint="default" w:ascii="黑体" w:hAnsi="黑体" w:eastAsia="宋体" w:cs="黑体"/>
          <w:szCs w:val="52"/>
          <w:lang w:val="en-US" w:eastAsia="zh-CN"/>
        </w:rPr>
      </w:pPr>
      <w:r>
        <w:rPr>
          <w:rFonts w:hint="eastAsia" w:ascii="黑体" w:hAnsi="黑体" w:eastAsia="黑体" w:cs="黑体"/>
          <w:szCs w:val="52"/>
        </w:rPr>
        <w:t>十二、国有资本经营预算财政拨款支出决算表</w:t>
      </w:r>
      <w:r>
        <w:tab/>
      </w:r>
      <w:r>
        <w:rPr>
          <w:rFonts w:hint="eastAsia"/>
          <w:lang w:val="en-US" w:eastAsia="zh-CN"/>
        </w:rPr>
        <w:t>17</w:t>
      </w:r>
    </w:p>
    <w:p w14:paraId="109E4058">
      <w:pPr>
        <w:pStyle w:val="14"/>
        <w:tabs>
          <w:tab w:val="right" w:leader="dot" w:pos="8306"/>
          <w:tab w:val="clear" w:pos="8296"/>
        </w:tabs>
        <w:jc w:val="left"/>
        <w:rPr>
          <w:sz w:val="52"/>
          <w:szCs w:val="5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黑体" w:hAnsi="黑体" w:eastAsia="黑体" w:cs="黑体"/>
          <w:szCs w:val="52"/>
        </w:rPr>
        <w:t>十三、财政拨款“三公”经费支出决算表</w:t>
      </w:r>
    </w:p>
    <w:bookmarkEnd w:id="0"/>
    <w:bookmarkEnd w:id="1"/>
    <w:bookmarkEnd w:id="2"/>
    <w:bookmarkEnd w:id="3"/>
    <w:bookmarkEnd w:id="4"/>
    <w:bookmarkEnd w:id="5"/>
    <w:p w14:paraId="0CAF0453">
      <w:pPr>
        <w:pStyle w:val="3"/>
        <w:keepNext/>
        <w:keepLines/>
        <w:pageBreakBefore w:val="0"/>
        <w:widowControl w:val="0"/>
        <w:kinsoku/>
        <w:wordWrap/>
        <w:overflowPunct/>
        <w:topLinePunct w:val="0"/>
        <w:autoSpaceDE/>
        <w:autoSpaceDN/>
        <w:bidi w:val="0"/>
        <w:adjustRightInd/>
        <w:snapToGrid/>
        <w:spacing w:line="579" w:lineRule="auto"/>
        <w:jc w:val="center"/>
        <w:textAlignment w:val="auto"/>
        <w:rPr>
          <w:rFonts w:eastAsia="黑体"/>
          <w:sz w:val="32"/>
          <w:szCs w:val="32"/>
        </w:rPr>
      </w:pPr>
      <w:bookmarkStart w:id="6" w:name="_Toc15396599"/>
      <w:bookmarkStart w:id="7" w:name="_Toc199157512"/>
      <w:bookmarkStart w:id="8" w:name="_Toc1895729040"/>
      <w:bookmarkStart w:id="9" w:name="_Toc15377196"/>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6"/>
      <w:bookmarkEnd w:id="7"/>
      <w:bookmarkEnd w:id="8"/>
      <w:bookmarkEnd w:id="9"/>
    </w:p>
    <w:p w14:paraId="1D827335">
      <w:pPr>
        <w:pStyle w:val="4"/>
        <w:keepNext/>
        <w:keepLines/>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Times New Roman" w:hAnsi="Times New Roman" w:eastAsia="黑体"/>
          <w:b w:val="0"/>
        </w:rPr>
      </w:pPr>
      <w:bookmarkStart w:id="10" w:name="_Toc2034848137"/>
      <w:bookmarkStart w:id="11" w:name="_Toc416251681"/>
      <w:r>
        <w:rPr>
          <w:rFonts w:hint="eastAsia" w:ascii="Times New Roman" w:hAnsi="Times New Roman" w:eastAsia="黑体"/>
          <w:b w:val="0"/>
          <w:lang w:eastAsia="zh-CN"/>
        </w:rPr>
        <w:t>一、</w:t>
      </w:r>
      <w:r>
        <w:rPr>
          <w:rFonts w:hint="eastAsia" w:ascii="Times New Roman" w:hAnsi="Times New Roman" w:eastAsia="黑体"/>
          <w:b w:val="0"/>
        </w:rPr>
        <w:t>部门职责</w:t>
      </w:r>
      <w:bookmarkEnd w:id="10"/>
      <w:bookmarkEnd w:id="11"/>
    </w:p>
    <w:p w14:paraId="5C29BB0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left"/>
        <w:textAlignment w:val="auto"/>
        <w:outlineLvl w:val="1"/>
      </w:pPr>
      <w:r>
        <w:rPr>
          <w:rFonts w:hint="eastAsia" w:ascii="微软雅黑" w:hAnsi="微软雅黑" w:eastAsia="微软雅黑" w:cs="微软雅黑"/>
          <w:i w:val="0"/>
          <w:iCs w:val="0"/>
          <w:caps w:val="0"/>
          <w:color w:val="555559"/>
          <w:spacing w:val="0"/>
          <w:sz w:val="30"/>
          <w:szCs w:val="30"/>
          <w:lang w:eastAsia="zh-CN"/>
        </w:rPr>
        <w:t>　</w:t>
      </w:r>
      <w:r>
        <w:rPr>
          <w:rFonts w:hint="eastAsia" w:ascii="Times New Roman" w:hAnsi="Times New Roman" w:eastAsia="仿宋_GB2312" w:cs="仿宋_GB2312"/>
          <w:kern w:val="2"/>
          <w:sz w:val="32"/>
          <w:szCs w:val="32"/>
          <w:lang w:val="en-US" w:eastAsia="zh-CN" w:bidi="ar-SA"/>
        </w:rPr>
        <w:t>　</w:t>
      </w:r>
      <w:bookmarkStart w:id="12" w:name="_Toc1897156819"/>
      <w:bookmarkStart w:id="13" w:name="_Toc1206872640"/>
      <w:r>
        <w:rPr>
          <w:rFonts w:hint="default" w:ascii="Times New Roman" w:hAnsi="Times New Roman" w:eastAsia="仿宋_GB2312" w:cs="仿宋_GB2312"/>
          <w:kern w:val="2"/>
          <w:sz w:val="32"/>
          <w:szCs w:val="32"/>
          <w:lang w:val="en-US" w:eastAsia="zh-CN" w:bidi="ar-SA"/>
        </w:rPr>
        <w:t>攀枝花市图书馆主要职责：服务于广大人民群众，并承担图书、报刊资料和电子出版物的收集、加工、外借、阅览等工作；承办文献、信息开发、咨询服务工作，为促进文化事业大繁荣、大发展提供有力保障；指导基层公共图书馆业务，开展有关业务联系与协作等相关职责和任务；承担文化和旅游部文化共享工程的基层工作；承担攀枝花市少数民族文献的保护和整理工作。</w:t>
      </w:r>
      <w:bookmarkEnd w:id="12"/>
      <w:bookmarkEnd w:id="13"/>
    </w:p>
    <w:p w14:paraId="4069175F">
      <w:pPr>
        <w:pStyle w:val="4"/>
        <w:keepNext/>
        <w:keepLines/>
        <w:pageBreakBefore w:val="0"/>
        <w:widowControl w:val="0"/>
        <w:kinsoku/>
        <w:wordWrap/>
        <w:overflowPunct/>
        <w:topLinePunct w:val="0"/>
        <w:autoSpaceDE/>
        <w:autoSpaceDN/>
        <w:bidi w:val="0"/>
        <w:adjustRightInd/>
        <w:snapToGrid/>
        <w:spacing w:line="580" w:lineRule="exact"/>
        <w:ind w:firstLine="640" w:firstLineChars="200"/>
        <w:jc w:val="left"/>
        <w:textAlignment w:val="auto"/>
        <w:rPr>
          <w:rStyle w:val="30"/>
          <w:rFonts w:ascii="Times New Roman" w:hAnsi="Times New Roman"/>
          <w:b w:val="0"/>
          <w:bCs w:val="0"/>
        </w:rPr>
      </w:pPr>
      <w:bookmarkStart w:id="14" w:name="_Toc15377200"/>
      <w:bookmarkStart w:id="15" w:name="_Toc15396601"/>
      <w:bookmarkStart w:id="16" w:name="_Toc1555527393"/>
      <w:bookmarkStart w:id="17" w:name="_Toc1001004566"/>
      <w:r>
        <w:rPr>
          <w:rFonts w:hint="eastAsia" w:ascii="Times New Roman" w:hAnsi="Times New Roman" w:eastAsia="黑体"/>
          <w:b w:val="0"/>
          <w:lang w:eastAsia="zh-CN"/>
        </w:rPr>
        <w:t>二、</w:t>
      </w:r>
      <w:r>
        <w:rPr>
          <w:rFonts w:hint="eastAsia" w:ascii="Times New Roman" w:hAnsi="Times New Roman" w:eastAsia="黑体"/>
          <w:b w:val="0"/>
        </w:rPr>
        <w:t>机</w:t>
      </w:r>
      <w:r>
        <w:rPr>
          <w:rStyle w:val="30"/>
          <w:rFonts w:hint="eastAsia" w:ascii="Times New Roman" w:hAnsi="Times New Roman" w:eastAsia="黑体"/>
          <w:b w:val="0"/>
          <w:bCs w:val="0"/>
        </w:rPr>
        <w:t>构设置</w:t>
      </w:r>
      <w:bookmarkEnd w:id="14"/>
      <w:bookmarkEnd w:id="15"/>
      <w:bookmarkEnd w:id="16"/>
      <w:bookmarkEnd w:id="17"/>
    </w:p>
    <w:p w14:paraId="788DA0D9">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left"/>
        <w:textAlignment w:val="auto"/>
        <w:rPr>
          <w:rFonts w:hint="default" w:ascii="Times New Roman" w:hAnsi="Times New Roman" w:eastAsia="仿宋_GB2312" w:cs="仿宋_GB2312"/>
          <w:kern w:val="2"/>
          <w:sz w:val="32"/>
          <w:szCs w:val="32"/>
          <w:lang w:val="en-US" w:eastAsia="zh-CN" w:bidi="ar-SA"/>
        </w:rPr>
      </w:pPr>
      <w:r>
        <w:rPr>
          <w:rFonts w:hint="default" w:ascii="微软雅黑" w:hAnsi="微软雅黑" w:eastAsia="微软雅黑" w:cs="微软雅黑"/>
          <w:i w:val="0"/>
          <w:iCs w:val="0"/>
          <w:caps w:val="0"/>
          <w:color w:val="555559"/>
          <w:spacing w:val="0"/>
          <w:sz w:val="30"/>
          <w:szCs w:val="30"/>
        </w:rPr>
        <w:t>   </w:t>
      </w:r>
      <w:r>
        <w:rPr>
          <w:rFonts w:hint="eastAsia" w:ascii="微软雅黑" w:hAnsi="微软雅黑" w:eastAsia="微软雅黑" w:cs="微软雅黑"/>
          <w:i w:val="0"/>
          <w:iCs w:val="0"/>
          <w:caps w:val="0"/>
          <w:color w:val="555559"/>
          <w:spacing w:val="0"/>
          <w:sz w:val="30"/>
          <w:szCs w:val="30"/>
          <w:lang w:eastAsia="zh-CN"/>
        </w:rPr>
        <w:t>　</w:t>
      </w:r>
      <w:r>
        <w:rPr>
          <w:rFonts w:hint="default" w:ascii="Times New Roman" w:hAnsi="Times New Roman" w:eastAsia="仿宋_GB2312" w:cs="仿宋_GB2312"/>
          <w:kern w:val="2"/>
          <w:sz w:val="32"/>
          <w:szCs w:val="32"/>
          <w:lang w:val="en-US" w:eastAsia="zh-CN" w:bidi="ar-SA"/>
        </w:rPr>
        <w:t>攀枝花市图书馆是攀枝花市文化广播和旅游局下属二级预算单位，属于独立核算的财政全额拨款事业单位</w:t>
      </w:r>
      <w:r>
        <w:rPr>
          <w:rFonts w:hint="default" w:ascii="Times New Roman" w:hAnsi="Times New Roman" w:eastAsia="仿宋_GB2312" w:cs="Times New Roman"/>
          <w:kern w:val="2"/>
          <w:sz w:val="32"/>
          <w:szCs w:val="32"/>
          <w:lang w:val="en-US" w:eastAsia="zh-CN" w:bidi="ar-SA"/>
        </w:rPr>
        <w:t>。截至202</w:t>
      </w:r>
      <w:r>
        <w:rPr>
          <w:rFonts w:hint="eastAsia"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年底，攀枝花市图书馆从业人员29人，退休人员31人。</w:t>
      </w:r>
    </w:p>
    <w:p w14:paraId="3E3AECC8">
      <w:pPr>
        <w:pageBreakBefore w:val="0"/>
        <w:widowControl/>
        <w:kinsoku/>
        <w:wordWrap/>
        <w:overflowPunct/>
        <w:topLinePunct w:val="0"/>
        <w:autoSpaceDE/>
        <w:autoSpaceDN/>
        <w:bidi w:val="0"/>
        <w:adjustRightInd/>
        <w:snapToGrid/>
        <w:spacing w:line="580" w:lineRule="exact"/>
        <w:jc w:val="left"/>
        <w:textAlignment w:val="auto"/>
        <w:rPr>
          <w:rFonts w:eastAsia="仿宋"/>
          <w:kern w:val="0"/>
          <w:sz w:val="32"/>
          <w:szCs w:val="32"/>
        </w:rPr>
      </w:pPr>
      <w:r>
        <w:rPr>
          <w:rFonts w:eastAsia="仿宋"/>
          <w:sz w:val="32"/>
          <w:szCs w:val="32"/>
        </w:rPr>
        <w:br w:type="page"/>
      </w:r>
    </w:p>
    <w:p w14:paraId="71231E86">
      <w:pPr>
        <w:pStyle w:val="3"/>
        <w:keepNext/>
        <w:keepLines/>
        <w:pageBreakBefore w:val="0"/>
        <w:widowControl w:val="0"/>
        <w:kinsoku/>
        <w:wordWrap/>
        <w:overflowPunct/>
        <w:topLinePunct w:val="0"/>
        <w:autoSpaceDE/>
        <w:autoSpaceDN/>
        <w:bidi w:val="0"/>
        <w:adjustRightInd/>
        <w:snapToGrid/>
        <w:spacing w:line="579" w:lineRule="auto"/>
        <w:jc w:val="center"/>
        <w:textAlignment w:val="auto"/>
      </w:pPr>
      <w:bookmarkStart w:id="18" w:name="_Toc818944107"/>
      <w:bookmarkStart w:id="19" w:name="_Toc15377204"/>
      <w:bookmarkStart w:id="20" w:name="_Toc104480605"/>
      <w:bookmarkStart w:id="21" w:name="_Toc15396602"/>
      <w:r>
        <w:rPr>
          <w:rFonts w:hint="eastAsia" w:eastAsia="方正小标宋简体" w:cs="方正小标宋简体"/>
          <w:b w:val="0"/>
        </w:rPr>
        <w:t>第二部分  2025年度部门决算情况说明</w:t>
      </w:r>
      <w:bookmarkEnd w:id="18"/>
      <w:bookmarkEnd w:id="19"/>
      <w:bookmarkEnd w:id="20"/>
      <w:bookmarkEnd w:id="21"/>
    </w:p>
    <w:p w14:paraId="59B0110F">
      <w:pPr>
        <w:pStyle w:val="28"/>
        <w:spacing w:line="600" w:lineRule="exact"/>
        <w:ind w:firstLine="640"/>
        <w:outlineLvl w:val="1"/>
        <w:rPr>
          <w:rStyle w:val="30"/>
          <w:rFonts w:ascii="Times New Roman" w:hAnsi="Times New Roman" w:eastAsia="黑体"/>
          <w:b w:val="0"/>
        </w:rPr>
      </w:pPr>
      <w:bookmarkStart w:id="22" w:name="_Toc362470448"/>
      <w:bookmarkStart w:id="23" w:name="_Toc15396603"/>
      <w:bookmarkStart w:id="24" w:name="_Toc15377205"/>
      <w:bookmarkStart w:id="25" w:name="_Toc437121510"/>
      <w:r>
        <w:rPr>
          <w:rFonts w:hint="eastAsia" w:eastAsia="黑体"/>
          <w:sz w:val="32"/>
          <w:szCs w:val="32"/>
        </w:rPr>
        <w:t>一、收</w:t>
      </w:r>
      <w:r>
        <w:rPr>
          <w:rStyle w:val="30"/>
          <w:rFonts w:hint="eastAsia" w:ascii="Times New Roman" w:hAnsi="Times New Roman" w:eastAsia="黑体"/>
          <w:b w:val="0"/>
        </w:rPr>
        <w:t>入支出决算总体情况说明</w:t>
      </w:r>
      <w:bookmarkEnd w:id="22"/>
      <w:bookmarkEnd w:id="23"/>
      <w:bookmarkEnd w:id="24"/>
      <w:bookmarkEnd w:id="25"/>
    </w:p>
    <w:p w14:paraId="42007C0E">
      <w:pPr>
        <w:pStyle w:val="28"/>
        <w:spacing w:line="600" w:lineRule="exact"/>
        <w:ind w:firstLine="640"/>
        <w:outlineLvl w:val="1"/>
        <w:rPr>
          <w:rFonts w:hint="eastAsia" w:eastAsia="仿宋_GB2312" w:cs="仿宋_GB2312"/>
          <w:sz w:val="32"/>
          <w:szCs w:val="32"/>
          <w:lang w:val="en-US" w:eastAsia="zh-CN"/>
        </w:rPr>
      </w:pPr>
      <w:bookmarkStart w:id="26" w:name="_Toc211335575"/>
      <w:bookmarkStart w:id="27" w:name="_Toc130128972"/>
      <w:r>
        <w:rPr>
          <w:rFonts w:hint="eastAsia" w:eastAsia="仿宋_GB2312" w:cs="仿宋_GB2312"/>
          <w:sz w:val="32"/>
          <w:szCs w:val="32"/>
        </w:rPr>
        <w:t>2025年度收入、支出总计均为</w:t>
      </w:r>
      <w:r>
        <w:rPr>
          <w:rFonts w:hint="eastAsia" w:eastAsia="仿宋_GB2312" w:cs="仿宋_GB2312"/>
          <w:sz w:val="32"/>
          <w:szCs w:val="32"/>
          <w:lang w:val="en-US" w:eastAsia="zh-CN"/>
        </w:rPr>
        <w:t>793.01</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22.82</w:t>
      </w:r>
      <w:r>
        <w:rPr>
          <w:rFonts w:hint="eastAsia" w:eastAsia="仿宋_GB2312" w:cs="仿宋_GB2312"/>
          <w:sz w:val="32"/>
          <w:szCs w:val="32"/>
        </w:rPr>
        <w:t>万元，下降</w:t>
      </w:r>
      <w:r>
        <w:rPr>
          <w:rFonts w:hint="eastAsia" w:eastAsia="仿宋_GB2312" w:cs="仿宋_GB2312"/>
          <w:sz w:val="32"/>
          <w:szCs w:val="32"/>
          <w:lang w:val="en-US" w:eastAsia="zh-CN"/>
        </w:rPr>
        <w:t>2.8</w:t>
      </w:r>
      <w:r>
        <w:rPr>
          <w:rFonts w:hint="eastAsia" w:eastAsia="仿宋_GB2312" w:cs="仿宋_GB2312"/>
          <w:sz w:val="32"/>
          <w:szCs w:val="32"/>
        </w:rPr>
        <w:t>%。主要变动原因是</w:t>
      </w:r>
      <w:r>
        <w:rPr>
          <w:rFonts w:hint="default" w:eastAsia="仿宋_GB2312" w:cs="仿宋_GB2312"/>
          <w:sz w:val="32"/>
          <w:szCs w:val="32"/>
        </w:rPr>
        <w:t>202</w:t>
      </w:r>
      <w:r>
        <w:rPr>
          <w:rFonts w:hint="eastAsia" w:eastAsia="仿宋_GB2312" w:cs="仿宋_GB2312"/>
          <w:sz w:val="32"/>
          <w:szCs w:val="32"/>
          <w:lang w:val="en-US" w:eastAsia="zh-CN"/>
        </w:rPr>
        <w:t>5</w:t>
      </w:r>
      <w:r>
        <w:rPr>
          <w:rFonts w:hint="default" w:eastAsia="仿宋_GB2312" w:cs="仿宋_GB2312"/>
          <w:sz w:val="32"/>
          <w:szCs w:val="32"/>
        </w:rPr>
        <w:t>年度项目经费有</w:t>
      </w:r>
      <w:r>
        <w:rPr>
          <w:rFonts w:hint="eastAsia" w:eastAsia="仿宋_GB2312" w:cs="仿宋_GB2312"/>
          <w:sz w:val="32"/>
          <w:szCs w:val="32"/>
          <w:lang w:eastAsia="zh-CN"/>
        </w:rPr>
        <w:t>减少</w:t>
      </w:r>
      <w:r>
        <w:rPr>
          <w:rFonts w:hint="default" w:eastAsia="仿宋_GB2312" w:cs="仿宋_GB2312"/>
          <w:sz w:val="32"/>
          <w:szCs w:val="32"/>
        </w:rPr>
        <w:t>，2024年度项目经费185.81万元，202</w:t>
      </w:r>
      <w:r>
        <w:rPr>
          <w:rFonts w:hint="eastAsia" w:eastAsia="仿宋_GB2312" w:cs="仿宋_GB2312"/>
          <w:sz w:val="32"/>
          <w:szCs w:val="32"/>
          <w:lang w:val="en-US" w:eastAsia="zh-CN"/>
        </w:rPr>
        <w:t>5</w:t>
      </w:r>
      <w:r>
        <w:rPr>
          <w:rFonts w:hint="default" w:eastAsia="仿宋_GB2312" w:cs="仿宋_GB2312"/>
          <w:sz w:val="32"/>
          <w:szCs w:val="32"/>
        </w:rPr>
        <w:t>年度项目经费</w:t>
      </w:r>
      <w:r>
        <w:rPr>
          <w:rFonts w:hint="eastAsia" w:eastAsia="仿宋_GB2312" w:cs="仿宋_GB2312"/>
          <w:sz w:val="32"/>
          <w:szCs w:val="32"/>
          <w:lang w:val="en-US" w:eastAsia="zh-CN"/>
        </w:rPr>
        <w:t>99.99</w:t>
      </w:r>
      <w:r>
        <w:rPr>
          <w:rFonts w:hint="default"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lang w:val="en-US" w:eastAsia="zh-CN"/>
        </w:rPr>
        <w:t>2024年度调资在2025年度预算中体现，导致基本支出增加。</w:t>
      </w:r>
      <w:bookmarkEnd w:id="26"/>
      <w:bookmarkEnd w:id="27"/>
    </w:p>
    <w:p w14:paraId="5A161976">
      <w:pPr>
        <w:pStyle w:val="28"/>
        <w:spacing w:line="600" w:lineRule="exact"/>
        <w:ind w:left="0" w:leftChars="0" w:firstLine="0" w:firstLineChars="0"/>
        <w:outlineLvl w:val="1"/>
        <w:rPr>
          <w:rFonts w:hint="eastAsia" w:eastAsia="仿宋_GB2312" w:cs="仿宋_GB2312"/>
          <w:sz w:val="32"/>
          <w:szCs w:val="32"/>
          <w:lang w:eastAsia="zh-CN"/>
        </w:rPr>
      </w:pPr>
      <w:bookmarkStart w:id="28" w:name="_Toc1339428468"/>
      <w:bookmarkStart w:id="29" w:name="_Toc1974886741"/>
      <w:r>
        <w:rPr>
          <w:rFonts w:hint="eastAsia" w:eastAsia="仿宋_GB2312" w:cs="仿宋_GB2312"/>
          <w:sz w:val="32"/>
          <w:szCs w:val="32"/>
          <w:lang w:val="en-US" w:eastAsia="zh-CN"/>
        </w:rPr>
        <w:drawing>
          <wp:anchor distT="0" distB="0" distL="114300" distR="114300" simplePos="0" relativeHeight="251659264" behindDoc="1" locked="0" layoutInCell="1" allowOverlap="1">
            <wp:simplePos x="0" y="0"/>
            <wp:positionH relativeFrom="column">
              <wp:posOffset>163830</wp:posOffset>
            </wp:positionH>
            <wp:positionV relativeFrom="paragraph">
              <wp:posOffset>187325</wp:posOffset>
            </wp:positionV>
            <wp:extent cx="5638165" cy="3482340"/>
            <wp:effectExtent l="4445" t="4445" r="15240" b="18415"/>
            <wp:wrapTight wrapText="bothSides">
              <wp:wrapPolygon>
                <wp:start x="-17" y="-28"/>
                <wp:lineTo x="-17" y="21478"/>
                <wp:lineTo x="21512" y="21478"/>
                <wp:lineTo x="21512" y="-28"/>
                <wp:lineTo x="-17" y="-28"/>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sz w:val="32"/>
          <w:szCs w:val="32"/>
          <w:lang w:val="en-US" w:eastAsia="zh-CN"/>
        </w:rPr>
        <w:t>　　　</w:t>
      </w:r>
      <w:r>
        <w:rPr>
          <w:rFonts w:hint="eastAsia" w:eastAsia="仿宋_GB2312" w:cs="仿宋_GB2312"/>
          <w:sz w:val="32"/>
          <w:szCs w:val="32"/>
        </w:rPr>
        <w:t>（图1：收入、支出决算总计变动情况图）（柱状图）</w:t>
      </w:r>
      <w:bookmarkEnd w:id="28"/>
      <w:bookmarkEnd w:id="29"/>
    </w:p>
    <w:p w14:paraId="2B081618">
      <w:pPr>
        <w:pStyle w:val="28"/>
        <w:spacing w:line="600" w:lineRule="exact"/>
        <w:ind w:firstLine="640"/>
        <w:outlineLvl w:val="1"/>
        <w:rPr>
          <w:rFonts w:eastAsia="黑体"/>
          <w:sz w:val="32"/>
          <w:szCs w:val="32"/>
        </w:rPr>
      </w:pPr>
      <w:bookmarkStart w:id="30" w:name="_Toc15396604"/>
      <w:bookmarkStart w:id="31" w:name="_Toc1383119448"/>
      <w:bookmarkStart w:id="32" w:name="_Toc310142884"/>
      <w:bookmarkStart w:id="33" w:name="_Toc15377206"/>
      <w:r>
        <w:rPr>
          <w:rFonts w:hint="eastAsia" w:eastAsia="黑体"/>
          <w:sz w:val="32"/>
          <w:szCs w:val="32"/>
        </w:rPr>
        <w:t>二、收入决算情况说明</w:t>
      </w:r>
      <w:bookmarkEnd w:id="30"/>
      <w:bookmarkEnd w:id="31"/>
      <w:bookmarkEnd w:id="32"/>
      <w:bookmarkEnd w:id="33"/>
    </w:p>
    <w:p w14:paraId="60F56A2E">
      <w:pPr>
        <w:pStyle w:val="28"/>
        <w:spacing w:line="600" w:lineRule="exact"/>
        <w:ind w:firstLine="640"/>
        <w:outlineLvl w:val="1"/>
        <w:rPr>
          <w:rFonts w:hint="eastAsia" w:eastAsia="仿宋_GB2312" w:cs="仿宋_GB2312"/>
          <w:sz w:val="32"/>
          <w:szCs w:val="32"/>
        </w:rPr>
      </w:pPr>
      <w:bookmarkStart w:id="34" w:name="_Toc1958393658"/>
      <w:bookmarkStart w:id="35" w:name="_Toc1341377313"/>
      <w:r>
        <w:rPr>
          <w:rFonts w:hint="eastAsia" w:eastAsia="仿宋_GB2312" w:cs="仿宋_GB2312"/>
          <w:sz w:val="32"/>
          <w:szCs w:val="32"/>
        </w:rPr>
        <w:t>2025年度本年收入合计</w:t>
      </w:r>
      <w:r>
        <w:rPr>
          <w:rFonts w:hint="eastAsia" w:eastAsia="仿宋_GB2312" w:cs="仿宋_GB2312"/>
          <w:sz w:val="32"/>
          <w:szCs w:val="32"/>
          <w:lang w:val="en-US" w:eastAsia="zh-CN"/>
        </w:rPr>
        <w:t>793.01</w:t>
      </w:r>
      <w:r>
        <w:rPr>
          <w:rFonts w:hint="eastAsia" w:eastAsia="仿宋_GB2312" w:cs="仿宋_GB2312"/>
          <w:sz w:val="32"/>
          <w:szCs w:val="32"/>
        </w:rPr>
        <w:t>万元，其中：一般公共</w:t>
      </w:r>
      <w:r>
        <w:rPr>
          <w:rFonts w:hint="eastAsia" w:eastAsia="仿宋_GB2312" w:cs="仿宋_GB2312"/>
          <w:sz w:val="32"/>
          <w:szCs w:val="32"/>
          <w:lang w:eastAsia="zh-CN"/>
        </w:rPr>
        <w:drawing>
          <wp:anchor distT="0" distB="0" distL="114300" distR="114300" simplePos="0" relativeHeight="251660288" behindDoc="1" locked="0" layoutInCell="1" allowOverlap="1">
            <wp:simplePos x="0" y="0"/>
            <wp:positionH relativeFrom="column">
              <wp:posOffset>249555</wp:posOffset>
            </wp:positionH>
            <wp:positionV relativeFrom="paragraph">
              <wp:posOffset>1004570</wp:posOffset>
            </wp:positionV>
            <wp:extent cx="5256530" cy="2673985"/>
            <wp:effectExtent l="4445" t="4445" r="15875" b="45720"/>
            <wp:wrapTight wrapText="bothSides">
              <wp:wrapPolygon>
                <wp:start x="-18" y="-36"/>
                <wp:lineTo x="-18" y="21508"/>
                <wp:lineTo x="21509" y="21508"/>
                <wp:lineTo x="21509" y="-36"/>
                <wp:lineTo x="-18" y="-36"/>
              </wp:wrapPolygon>
            </wp:wrapTight>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sz w:val="32"/>
          <w:szCs w:val="32"/>
        </w:rPr>
        <w:t>预算财政拨款收入</w:t>
      </w:r>
      <w:r>
        <w:rPr>
          <w:rFonts w:hint="eastAsia" w:eastAsia="仿宋_GB2312" w:cs="仿宋_GB2312"/>
          <w:sz w:val="32"/>
          <w:szCs w:val="32"/>
          <w:lang w:val="en-US" w:eastAsia="zh-CN"/>
        </w:rPr>
        <w:t>793.01</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w:t>
      </w:r>
      <w:bookmarkEnd w:id="34"/>
      <w:bookmarkEnd w:id="35"/>
    </w:p>
    <w:p w14:paraId="1A000FAE">
      <w:pPr>
        <w:pStyle w:val="28"/>
        <w:spacing w:line="600" w:lineRule="exact"/>
        <w:ind w:left="0" w:leftChars="0" w:firstLine="0" w:firstLineChars="0"/>
        <w:outlineLvl w:val="1"/>
        <w:rPr>
          <w:rFonts w:hint="eastAsia" w:eastAsia="仿宋_GB2312" w:cs="仿宋_GB2312"/>
          <w:sz w:val="32"/>
          <w:szCs w:val="32"/>
        </w:rPr>
      </w:pPr>
    </w:p>
    <w:p w14:paraId="3FEC547E">
      <w:pPr>
        <w:pStyle w:val="28"/>
        <w:spacing w:line="600" w:lineRule="exact"/>
        <w:ind w:firstLine="640"/>
        <w:outlineLvl w:val="1"/>
        <w:rPr>
          <w:rFonts w:eastAsia="仿宋_GB2312" w:cs="仿宋_GB2312"/>
          <w:sz w:val="32"/>
          <w:szCs w:val="32"/>
        </w:rPr>
      </w:pPr>
      <w:r>
        <w:rPr>
          <w:rFonts w:hint="eastAsia" w:eastAsia="仿宋_GB2312" w:cs="仿宋_GB2312"/>
          <w:sz w:val="32"/>
          <w:szCs w:val="32"/>
          <w:lang w:eastAsia="zh-CN"/>
        </w:rPr>
        <w:t>　　　　　</w:t>
      </w:r>
      <w:bookmarkStart w:id="36" w:name="_Toc518711311"/>
      <w:bookmarkStart w:id="37" w:name="_Toc1803664712"/>
      <w:r>
        <w:rPr>
          <w:rFonts w:hint="eastAsia" w:eastAsia="仿宋_GB2312" w:cs="仿宋_GB2312"/>
          <w:sz w:val="32"/>
          <w:szCs w:val="32"/>
        </w:rPr>
        <w:t>（图2：收入决算结构图）</w:t>
      </w:r>
      <w:bookmarkEnd w:id="36"/>
      <w:bookmarkEnd w:id="37"/>
    </w:p>
    <w:p w14:paraId="505A2BF8">
      <w:pPr>
        <w:pStyle w:val="28"/>
        <w:spacing w:line="600" w:lineRule="exact"/>
        <w:ind w:firstLine="640"/>
        <w:outlineLvl w:val="1"/>
        <w:rPr>
          <w:rStyle w:val="30"/>
          <w:rFonts w:ascii="Times New Roman" w:hAnsi="Times New Roman" w:eastAsia="黑体"/>
          <w:b w:val="0"/>
        </w:rPr>
      </w:pPr>
      <w:bookmarkStart w:id="38" w:name="_Toc15377207"/>
      <w:bookmarkStart w:id="39" w:name="_Toc513189759"/>
      <w:bookmarkStart w:id="40" w:name="_Toc15396605"/>
      <w:bookmarkStart w:id="41" w:name="_Toc535682486"/>
      <w:r>
        <w:rPr>
          <w:rFonts w:hint="eastAsia" w:eastAsia="黑体"/>
          <w:sz w:val="32"/>
          <w:szCs w:val="32"/>
        </w:rPr>
        <w:t>三、支</w:t>
      </w:r>
      <w:r>
        <w:rPr>
          <w:rStyle w:val="30"/>
          <w:rFonts w:hint="eastAsia" w:ascii="Times New Roman" w:hAnsi="Times New Roman" w:eastAsia="黑体"/>
          <w:b w:val="0"/>
        </w:rPr>
        <w:t>出决算情况说明</w:t>
      </w:r>
      <w:bookmarkEnd w:id="38"/>
      <w:bookmarkEnd w:id="39"/>
      <w:bookmarkEnd w:id="40"/>
      <w:bookmarkEnd w:id="41"/>
    </w:p>
    <w:p w14:paraId="61ED89B3">
      <w:pPr>
        <w:pStyle w:val="28"/>
        <w:spacing w:line="600" w:lineRule="exact"/>
        <w:ind w:firstLine="640"/>
        <w:outlineLvl w:val="1"/>
        <w:rPr>
          <w:rFonts w:hint="eastAsia" w:eastAsia="仿宋_GB2312" w:cs="仿宋_GB2312"/>
          <w:sz w:val="32"/>
          <w:szCs w:val="32"/>
        </w:rPr>
      </w:pPr>
      <w:bookmarkStart w:id="42" w:name="_Toc428095829"/>
      <w:bookmarkStart w:id="43" w:name="_Toc479139926"/>
      <w:r>
        <w:rPr>
          <w:rFonts w:hint="eastAsia" w:eastAsia="仿宋_GB2312" w:cs="仿宋_GB2312"/>
          <w:sz w:val="32"/>
          <w:szCs w:val="32"/>
          <w:lang w:eastAsia="zh-CN"/>
        </w:rPr>
        <w:drawing>
          <wp:anchor distT="0" distB="0" distL="114300" distR="114300" simplePos="0" relativeHeight="251661312" behindDoc="1" locked="0" layoutInCell="1" allowOverlap="1">
            <wp:simplePos x="0" y="0"/>
            <wp:positionH relativeFrom="column">
              <wp:posOffset>259080</wp:posOffset>
            </wp:positionH>
            <wp:positionV relativeFrom="paragraph">
              <wp:posOffset>362585</wp:posOffset>
            </wp:positionV>
            <wp:extent cx="5199380" cy="2331720"/>
            <wp:effectExtent l="4445" t="4445" r="73025" b="45085"/>
            <wp:wrapTight wrapText="bothSides">
              <wp:wrapPolygon>
                <wp:start x="-18" y="-41"/>
                <wp:lineTo x="-18" y="21488"/>
                <wp:lineTo x="21508" y="21488"/>
                <wp:lineTo x="21508" y="-41"/>
                <wp:lineTo x="-18" y="-41"/>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sz w:val="32"/>
          <w:szCs w:val="32"/>
        </w:rPr>
        <w:t>2025年度本年支出合计</w:t>
      </w:r>
      <w:r>
        <w:rPr>
          <w:rFonts w:hint="eastAsia" w:eastAsia="仿宋_GB2312" w:cs="仿宋_GB2312"/>
          <w:sz w:val="32"/>
          <w:szCs w:val="32"/>
          <w:lang w:val="en-US" w:eastAsia="zh-CN"/>
        </w:rPr>
        <w:t>793.01</w:t>
      </w:r>
      <w:r>
        <w:rPr>
          <w:rFonts w:hint="eastAsia" w:eastAsia="仿宋_GB2312" w:cs="仿宋_GB2312"/>
          <w:sz w:val="32"/>
          <w:szCs w:val="32"/>
        </w:rPr>
        <w:t>万元，其中：基本支出</w:t>
      </w:r>
      <w:r>
        <w:rPr>
          <w:rFonts w:hint="eastAsia" w:eastAsia="仿宋_GB2312" w:cs="仿宋_GB2312"/>
          <w:sz w:val="32"/>
          <w:szCs w:val="32"/>
          <w:lang w:val="en-US" w:eastAsia="zh-CN"/>
        </w:rPr>
        <w:t>693.02万</w:t>
      </w:r>
      <w:r>
        <w:rPr>
          <w:rFonts w:hint="eastAsia" w:eastAsia="仿宋_GB2312" w:cs="仿宋_GB2312"/>
          <w:sz w:val="32"/>
          <w:szCs w:val="32"/>
        </w:rPr>
        <w:t>元，占</w:t>
      </w:r>
      <w:r>
        <w:rPr>
          <w:rFonts w:hint="eastAsia" w:eastAsia="仿宋_GB2312" w:cs="仿宋_GB2312"/>
          <w:sz w:val="32"/>
          <w:szCs w:val="32"/>
          <w:lang w:val="en-US" w:eastAsia="zh-CN"/>
        </w:rPr>
        <w:t>87.4</w:t>
      </w:r>
      <w:r>
        <w:rPr>
          <w:rFonts w:hint="eastAsia" w:eastAsia="仿宋_GB2312" w:cs="仿宋_GB2312"/>
          <w:sz w:val="32"/>
          <w:szCs w:val="32"/>
        </w:rPr>
        <w:t>%；项目支出</w:t>
      </w:r>
      <w:r>
        <w:rPr>
          <w:rFonts w:hint="eastAsia" w:eastAsia="仿宋_GB2312" w:cs="仿宋_GB2312"/>
          <w:sz w:val="32"/>
          <w:szCs w:val="32"/>
          <w:lang w:val="en-US" w:eastAsia="zh-CN"/>
        </w:rPr>
        <w:t>99.99</w:t>
      </w:r>
      <w:r>
        <w:rPr>
          <w:rFonts w:hint="eastAsia" w:eastAsia="仿宋_GB2312" w:cs="仿宋_GB2312"/>
          <w:sz w:val="32"/>
          <w:szCs w:val="32"/>
        </w:rPr>
        <w:t>万元，占</w:t>
      </w:r>
      <w:r>
        <w:rPr>
          <w:rFonts w:hint="eastAsia" w:eastAsia="仿宋_GB2312" w:cs="仿宋_GB2312"/>
          <w:sz w:val="32"/>
          <w:szCs w:val="32"/>
          <w:lang w:val="en-US" w:eastAsia="zh-CN"/>
        </w:rPr>
        <w:t>12.6</w:t>
      </w:r>
      <w:r>
        <w:rPr>
          <w:rFonts w:hint="eastAsia" w:eastAsia="仿宋_GB2312" w:cs="仿宋_GB2312"/>
          <w:sz w:val="32"/>
          <w:szCs w:val="32"/>
        </w:rPr>
        <w:t>%。</w:t>
      </w:r>
      <w:bookmarkEnd w:id="42"/>
      <w:bookmarkEnd w:id="43"/>
    </w:p>
    <w:p w14:paraId="7B299223">
      <w:pPr>
        <w:pStyle w:val="28"/>
        <w:spacing w:line="600" w:lineRule="exact"/>
        <w:ind w:left="0" w:leftChars="0" w:firstLine="0" w:firstLineChars="0"/>
        <w:outlineLvl w:val="1"/>
        <w:rPr>
          <w:rFonts w:eastAsia="仿宋_GB2312" w:cs="仿宋_GB2312"/>
          <w:sz w:val="32"/>
          <w:szCs w:val="32"/>
        </w:rPr>
      </w:pPr>
      <w:r>
        <w:rPr>
          <w:rFonts w:hint="eastAsia" w:eastAsia="仿宋_GB2312" w:cs="仿宋_GB2312"/>
          <w:sz w:val="32"/>
          <w:szCs w:val="32"/>
          <w:lang w:eastAsia="zh-CN"/>
        </w:rPr>
        <w:t>　　　　　　</w:t>
      </w:r>
      <w:bookmarkStart w:id="44" w:name="_Toc646448077"/>
      <w:bookmarkStart w:id="45" w:name="_Toc2016288616"/>
      <w:r>
        <w:rPr>
          <w:rFonts w:hint="eastAsia" w:eastAsia="仿宋_GB2312" w:cs="仿宋_GB2312"/>
          <w:sz w:val="32"/>
          <w:szCs w:val="32"/>
        </w:rPr>
        <w:t>（图3：支出决算结构图）</w:t>
      </w:r>
      <w:bookmarkEnd w:id="44"/>
      <w:bookmarkEnd w:id="45"/>
    </w:p>
    <w:p w14:paraId="14ED3415">
      <w:pPr>
        <w:spacing w:line="600" w:lineRule="exact"/>
        <w:ind w:firstLine="640" w:firstLineChars="200"/>
        <w:outlineLvl w:val="1"/>
        <w:rPr>
          <w:rStyle w:val="30"/>
          <w:rFonts w:ascii="Times New Roman" w:hAnsi="Times New Roman" w:eastAsia="黑体"/>
          <w:b w:val="0"/>
        </w:rPr>
      </w:pPr>
      <w:bookmarkStart w:id="46" w:name="_Toc634516952"/>
      <w:bookmarkStart w:id="47" w:name="_Toc15396606"/>
      <w:bookmarkStart w:id="48" w:name="_Toc2013439900"/>
      <w:bookmarkStart w:id="49" w:name="_Toc15377208"/>
      <w:r>
        <w:rPr>
          <w:rFonts w:hint="eastAsia" w:eastAsia="黑体"/>
          <w:sz w:val="32"/>
          <w:szCs w:val="32"/>
        </w:rPr>
        <w:t>四、财</w:t>
      </w:r>
      <w:r>
        <w:rPr>
          <w:rStyle w:val="30"/>
          <w:rFonts w:hint="eastAsia" w:ascii="Times New Roman" w:hAnsi="Times New Roman" w:eastAsia="黑体"/>
          <w:b w:val="0"/>
        </w:rPr>
        <w:t>政拨款收入支出决算总体情况说明</w:t>
      </w:r>
      <w:bookmarkEnd w:id="46"/>
      <w:bookmarkEnd w:id="47"/>
      <w:bookmarkEnd w:id="48"/>
      <w:bookmarkEnd w:id="49"/>
    </w:p>
    <w:p w14:paraId="3463AB8E">
      <w:pPr>
        <w:pStyle w:val="28"/>
        <w:spacing w:line="600" w:lineRule="exact"/>
        <w:ind w:firstLine="640"/>
        <w:outlineLvl w:val="1"/>
        <w:rPr>
          <w:rFonts w:hint="eastAsia" w:eastAsia="仿宋_GB2312" w:cs="仿宋_GB2312"/>
          <w:sz w:val="32"/>
          <w:szCs w:val="32"/>
          <w:lang w:val="en-US" w:eastAsia="zh-CN"/>
        </w:rPr>
      </w:pPr>
      <w:bookmarkStart w:id="50" w:name="_Toc1809128104"/>
      <w:bookmarkStart w:id="51" w:name="_Toc733836308"/>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793.01</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22.82</w:t>
      </w:r>
      <w:r>
        <w:rPr>
          <w:rFonts w:hint="eastAsia" w:eastAsia="仿宋_GB2312" w:cs="仿宋_GB2312"/>
          <w:sz w:val="32"/>
          <w:szCs w:val="32"/>
        </w:rPr>
        <w:t>万元，下降</w:t>
      </w:r>
      <w:r>
        <w:rPr>
          <w:rFonts w:hint="eastAsia" w:eastAsia="仿宋_GB2312" w:cs="仿宋_GB2312"/>
          <w:sz w:val="32"/>
          <w:szCs w:val="32"/>
          <w:lang w:val="en-US" w:eastAsia="zh-CN"/>
        </w:rPr>
        <w:t>2.8</w:t>
      </w:r>
      <w:r>
        <w:rPr>
          <w:rFonts w:hint="eastAsia" w:eastAsia="仿宋_GB2312" w:cs="仿宋_GB2312"/>
          <w:sz w:val="32"/>
          <w:szCs w:val="32"/>
        </w:rPr>
        <w:t>%。主要变动原因是</w:t>
      </w:r>
      <w:r>
        <w:rPr>
          <w:rFonts w:hint="default" w:eastAsia="仿宋_GB2312" w:cs="仿宋_GB2312"/>
          <w:sz w:val="32"/>
          <w:szCs w:val="32"/>
        </w:rPr>
        <w:t>202</w:t>
      </w:r>
      <w:r>
        <w:rPr>
          <w:rFonts w:hint="eastAsia" w:eastAsia="仿宋_GB2312" w:cs="仿宋_GB2312"/>
          <w:sz w:val="32"/>
          <w:szCs w:val="32"/>
          <w:lang w:val="en-US" w:eastAsia="zh-CN"/>
        </w:rPr>
        <w:t>5</w:t>
      </w:r>
      <w:r>
        <w:rPr>
          <w:rFonts w:hint="default" w:eastAsia="仿宋_GB2312" w:cs="仿宋_GB2312"/>
          <w:sz w:val="32"/>
          <w:szCs w:val="32"/>
        </w:rPr>
        <w:t>年度项目经费有</w:t>
      </w:r>
      <w:r>
        <w:rPr>
          <w:rFonts w:hint="eastAsia" w:eastAsia="仿宋_GB2312" w:cs="仿宋_GB2312"/>
          <w:sz w:val="32"/>
          <w:szCs w:val="32"/>
          <w:lang w:eastAsia="zh-CN"/>
        </w:rPr>
        <w:t>减少</w:t>
      </w:r>
      <w:r>
        <w:rPr>
          <w:rFonts w:hint="default" w:eastAsia="仿宋_GB2312" w:cs="仿宋_GB2312"/>
          <w:sz w:val="32"/>
          <w:szCs w:val="32"/>
        </w:rPr>
        <w:t>，2024年度项目经费185.81万元，202</w:t>
      </w:r>
      <w:r>
        <w:rPr>
          <w:rFonts w:hint="eastAsia" w:eastAsia="仿宋_GB2312" w:cs="仿宋_GB2312"/>
          <w:sz w:val="32"/>
          <w:szCs w:val="32"/>
          <w:lang w:val="en-US" w:eastAsia="zh-CN"/>
        </w:rPr>
        <w:t>5</w:t>
      </w:r>
      <w:r>
        <w:rPr>
          <w:rFonts w:hint="default" w:eastAsia="仿宋_GB2312" w:cs="仿宋_GB2312"/>
          <w:sz w:val="32"/>
          <w:szCs w:val="32"/>
        </w:rPr>
        <w:t>年度项目经费</w:t>
      </w:r>
      <w:r>
        <w:rPr>
          <w:rFonts w:hint="eastAsia" w:eastAsia="仿宋_GB2312" w:cs="仿宋_GB2312"/>
          <w:sz w:val="32"/>
          <w:szCs w:val="32"/>
          <w:lang w:val="en-US" w:eastAsia="zh-CN"/>
        </w:rPr>
        <w:t>99.99</w:t>
      </w:r>
      <w:r>
        <w:rPr>
          <w:rFonts w:hint="default"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lang w:val="en-US" w:eastAsia="zh-CN"/>
        </w:rPr>
        <w:t>2024年度调资在2025年度预算中体现，导致基本支出增加。</w:t>
      </w:r>
      <w:bookmarkEnd w:id="50"/>
      <w:bookmarkEnd w:id="51"/>
    </w:p>
    <w:p w14:paraId="4154F13E">
      <w:pPr>
        <w:spacing w:line="600" w:lineRule="exact"/>
        <w:ind w:firstLine="640"/>
        <w:rPr>
          <w:rFonts w:eastAsia="仿宋_GB2312" w:cs="仿宋_GB2312"/>
          <w:sz w:val="32"/>
          <w:szCs w:val="32"/>
        </w:rPr>
      </w:pPr>
      <w:r>
        <w:rPr>
          <w:rFonts w:hint="eastAsia" w:eastAsia="仿宋_GB2312" w:cs="仿宋_GB2312"/>
          <w:sz w:val="32"/>
          <w:szCs w:val="32"/>
          <w:lang w:val="en-US" w:eastAsia="zh-CN"/>
        </w:rPr>
        <w:drawing>
          <wp:anchor distT="0" distB="0" distL="114300" distR="114300" simplePos="0" relativeHeight="251662336" behindDoc="1" locked="0" layoutInCell="1" allowOverlap="1">
            <wp:simplePos x="0" y="0"/>
            <wp:positionH relativeFrom="column">
              <wp:posOffset>-490220</wp:posOffset>
            </wp:positionH>
            <wp:positionV relativeFrom="paragraph">
              <wp:posOffset>436880</wp:posOffset>
            </wp:positionV>
            <wp:extent cx="6379845" cy="3758565"/>
            <wp:effectExtent l="4445" t="4445" r="16510" b="8890"/>
            <wp:wrapTight wrapText="bothSides">
              <wp:wrapPolygon>
                <wp:start x="-15" y="-26"/>
                <wp:lineTo x="-15" y="21542"/>
                <wp:lineTo x="21527" y="21542"/>
                <wp:lineTo x="21527" y="-26"/>
                <wp:lineTo x="-15" y="-26"/>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D048DB2">
      <w:pPr>
        <w:spacing w:line="600" w:lineRule="exact"/>
        <w:ind w:firstLine="640" w:firstLineChars="200"/>
      </w:pPr>
      <w:r>
        <w:rPr>
          <w:rFonts w:hint="eastAsia" w:eastAsia="仿宋_GB2312" w:cs="仿宋_GB2312"/>
          <w:sz w:val="32"/>
          <w:szCs w:val="32"/>
        </w:rPr>
        <w:t>（图4：财政拨款收、支决算总计变动情况）</w:t>
      </w:r>
    </w:p>
    <w:p w14:paraId="2C178014">
      <w:pPr>
        <w:spacing w:line="600" w:lineRule="exact"/>
        <w:ind w:firstLine="640" w:firstLineChars="200"/>
        <w:outlineLvl w:val="1"/>
        <w:rPr>
          <w:rStyle w:val="30"/>
          <w:rFonts w:ascii="Times New Roman" w:hAnsi="Times New Roman" w:eastAsia="黑体"/>
          <w:b w:val="0"/>
        </w:rPr>
      </w:pPr>
      <w:bookmarkStart w:id="52" w:name="_Toc814938701"/>
      <w:bookmarkStart w:id="53" w:name="_Toc1919743045"/>
      <w:bookmarkStart w:id="54" w:name="_Toc15377209"/>
      <w:bookmarkStart w:id="55" w:name="_Toc15396607"/>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52"/>
      <w:bookmarkEnd w:id="53"/>
      <w:bookmarkEnd w:id="54"/>
      <w:bookmarkEnd w:id="55"/>
    </w:p>
    <w:p w14:paraId="2CAEB650">
      <w:pPr>
        <w:spacing w:line="600" w:lineRule="exact"/>
        <w:ind w:firstLine="643" w:firstLineChars="200"/>
        <w:outlineLvl w:val="2"/>
        <w:rPr>
          <w:rFonts w:eastAsia="楷体_GB2312" w:cs="楷体_GB2312"/>
          <w:b/>
          <w:sz w:val="32"/>
          <w:szCs w:val="32"/>
        </w:rPr>
      </w:pPr>
      <w:bookmarkStart w:id="56" w:name="_Toc993165453"/>
      <w:bookmarkStart w:id="57" w:name="_Toc15377210"/>
      <w:r>
        <w:rPr>
          <w:rFonts w:hint="eastAsia" w:eastAsia="楷体_GB2312" w:cs="楷体_GB2312"/>
          <w:b/>
          <w:sz w:val="32"/>
          <w:szCs w:val="32"/>
        </w:rPr>
        <w:t>（一）一般公共预算财政拨款支出决算总体情况</w:t>
      </w:r>
      <w:bookmarkEnd w:id="56"/>
      <w:bookmarkEnd w:id="57"/>
    </w:p>
    <w:p w14:paraId="14E1A04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793.01</w:t>
      </w:r>
      <w:r>
        <w:rPr>
          <w:rFonts w:hint="eastAsia" w:eastAsia="仿宋_GB2312" w:cs="仿宋_GB2312"/>
          <w:sz w:val="32"/>
          <w:szCs w:val="32"/>
        </w:rPr>
        <w:t>万元，占本年</w:t>
      </w:r>
      <w:r>
        <w:rPr>
          <w:rFonts w:hint="eastAsia" w:eastAsia="仿宋_GB2312" w:cs="仿宋_GB2312"/>
          <w:sz w:val="32"/>
          <w:szCs w:val="32"/>
          <w:lang w:eastAsia="zh-CN"/>
        </w:rPr>
        <w:t>度</w:t>
      </w:r>
      <w:r>
        <w:rPr>
          <w:rFonts w:hint="eastAsia" w:eastAsia="仿宋_GB2312" w:cs="仿宋_GB2312"/>
          <w:sz w:val="32"/>
          <w:szCs w:val="32"/>
        </w:rPr>
        <w:t>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22.82</w:t>
      </w:r>
      <w:r>
        <w:rPr>
          <w:rFonts w:hint="eastAsia" w:eastAsia="仿宋_GB2312" w:cs="仿宋_GB2312"/>
          <w:sz w:val="32"/>
          <w:szCs w:val="32"/>
        </w:rPr>
        <w:t>万元，下降</w:t>
      </w:r>
      <w:r>
        <w:rPr>
          <w:rFonts w:hint="eastAsia" w:eastAsia="仿宋_GB2312" w:cs="仿宋_GB2312"/>
          <w:sz w:val="32"/>
          <w:szCs w:val="32"/>
          <w:lang w:val="en-US" w:eastAsia="zh-CN"/>
        </w:rPr>
        <w:t>2.8</w:t>
      </w:r>
      <w:r>
        <w:rPr>
          <w:rFonts w:hint="eastAsia" w:eastAsia="仿宋_GB2312" w:cs="仿宋_GB2312"/>
          <w:sz w:val="32"/>
          <w:szCs w:val="32"/>
        </w:rPr>
        <w:t>%。主要变动原因是</w:t>
      </w:r>
      <w:r>
        <w:rPr>
          <w:rFonts w:hint="default" w:eastAsia="仿宋_GB2312" w:cs="仿宋_GB2312"/>
          <w:sz w:val="32"/>
          <w:szCs w:val="32"/>
        </w:rPr>
        <w:t>202</w:t>
      </w:r>
      <w:r>
        <w:rPr>
          <w:rFonts w:hint="eastAsia" w:eastAsia="仿宋_GB2312" w:cs="仿宋_GB2312"/>
          <w:sz w:val="32"/>
          <w:szCs w:val="32"/>
          <w:lang w:val="en-US" w:eastAsia="zh-CN"/>
        </w:rPr>
        <w:t>5</w:t>
      </w:r>
      <w:r>
        <w:rPr>
          <w:rFonts w:hint="default" w:eastAsia="仿宋_GB2312" w:cs="仿宋_GB2312"/>
          <w:sz w:val="32"/>
          <w:szCs w:val="32"/>
        </w:rPr>
        <w:t>年度项目经费有</w:t>
      </w:r>
      <w:r>
        <w:rPr>
          <w:rFonts w:hint="eastAsia" w:eastAsia="仿宋_GB2312" w:cs="仿宋_GB2312"/>
          <w:sz w:val="32"/>
          <w:szCs w:val="32"/>
          <w:lang w:eastAsia="zh-CN"/>
        </w:rPr>
        <w:t>减少</w:t>
      </w:r>
      <w:r>
        <w:rPr>
          <w:rFonts w:hint="default" w:eastAsia="仿宋_GB2312" w:cs="仿宋_GB2312"/>
          <w:sz w:val="32"/>
          <w:szCs w:val="32"/>
        </w:rPr>
        <w:t>，2024年度项目经费185.81万元，202</w:t>
      </w:r>
      <w:r>
        <w:rPr>
          <w:rFonts w:hint="eastAsia" w:eastAsia="仿宋_GB2312" w:cs="仿宋_GB2312"/>
          <w:sz w:val="32"/>
          <w:szCs w:val="32"/>
          <w:lang w:val="en-US" w:eastAsia="zh-CN"/>
        </w:rPr>
        <w:t>5</w:t>
      </w:r>
      <w:r>
        <w:rPr>
          <w:rFonts w:hint="default" w:eastAsia="仿宋_GB2312" w:cs="仿宋_GB2312"/>
          <w:sz w:val="32"/>
          <w:szCs w:val="32"/>
        </w:rPr>
        <w:t>年度项目经费</w:t>
      </w:r>
      <w:r>
        <w:rPr>
          <w:rFonts w:hint="eastAsia" w:eastAsia="仿宋_GB2312" w:cs="仿宋_GB2312"/>
          <w:sz w:val="32"/>
          <w:szCs w:val="32"/>
          <w:lang w:val="en-US" w:eastAsia="zh-CN"/>
        </w:rPr>
        <w:t>99.99</w:t>
      </w:r>
      <w:r>
        <w:rPr>
          <w:rFonts w:hint="default"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lang w:val="en-US" w:eastAsia="zh-CN"/>
        </w:rPr>
        <w:t>2024年度调资在2025年度预算中体现，导致基本支出增加。</w:t>
      </w:r>
    </w:p>
    <w:p w14:paraId="5F209A08">
      <w:pPr>
        <w:spacing w:line="600" w:lineRule="exact"/>
        <w:jc w:val="center"/>
        <w:rPr>
          <w:rFonts w:hint="eastAsia" w:eastAsia="仿宋_GB2312" w:cs="仿宋_GB2312"/>
          <w:sz w:val="32"/>
          <w:szCs w:val="32"/>
        </w:rPr>
      </w:pPr>
    </w:p>
    <w:p w14:paraId="7A06955C">
      <w:pPr>
        <w:keepNext w:val="0"/>
        <w:keepLines w:val="0"/>
        <w:pageBreakBefore w:val="0"/>
        <w:widowControl w:val="0"/>
        <w:kinsoku/>
        <w:wordWrap/>
        <w:overflowPunct/>
        <w:topLinePunct w:val="0"/>
        <w:autoSpaceDE w:val="0"/>
        <w:autoSpaceDN w:val="0"/>
        <w:bidi w:val="0"/>
        <w:spacing w:line="600" w:lineRule="exact"/>
        <w:jc w:val="center"/>
        <w:textAlignment w:val="auto"/>
        <w:rPr>
          <w:rFonts w:hint="eastAsia" w:eastAsia="楷体_GB2312" w:cs="楷体_GB2312"/>
          <w:b/>
          <w:sz w:val="32"/>
          <w:szCs w:val="32"/>
        </w:rPr>
      </w:pPr>
      <w:r>
        <w:rPr>
          <w:rFonts w:hint="eastAsia" w:eastAsia="仿宋_GB2312" w:cs="仿宋_GB2312"/>
          <w:sz w:val="32"/>
          <w:szCs w:val="32"/>
          <w:lang w:val="en-US" w:eastAsia="zh-CN"/>
        </w:rPr>
        <w:drawing>
          <wp:anchor distT="0" distB="0" distL="114300" distR="114300" simplePos="0" relativeHeight="251663360" behindDoc="1" locked="0" layoutInCell="1" allowOverlap="1">
            <wp:simplePos x="0" y="0"/>
            <wp:positionH relativeFrom="column">
              <wp:posOffset>-350520</wp:posOffset>
            </wp:positionH>
            <wp:positionV relativeFrom="paragraph">
              <wp:posOffset>109220</wp:posOffset>
            </wp:positionV>
            <wp:extent cx="6170930" cy="6022975"/>
            <wp:effectExtent l="4445" t="4445" r="15875" b="11430"/>
            <wp:wrapTight wrapText="bothSides">
              <wp:wrapPolygon>
                <wp:start x="-16" y="-16"/>
                <wp:lineTo x="-16" y="21573"/>
                <wp:lineTo x="21522" y="21573"/>
                <wp:lineTo x="21522" y="-16"/>
                <wp:lineTo x="-16" y="-16"/>
              </wp:wrapPolygon>
            </wp:wrapTight>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sz w:val="32"/>
          <w:szCs w:val="32"/>
        </w:rPr>
        <w:t>（图5：一般公共预算财政拨款支出决算变动情况）</w:t>
      </w:r>
      <w:bookmarkStart w:id="58" w:name="_Toc1597551669"/>
      <w:bookmarkStart w:id="59" w:name="_Toc15377211"/>
    </w:p>
    <w:p w14:paraId="3AC5B647">
      <w:pPr>
        <w:keepNext w:val="0"/>
        <w:keepLines w:val="0"/>
        <w:pageBreakBefore w:val="0"/>
        <w:widowControl w:val="0"/>
        <w:numPr>
          <w:ilvl w:val="0"/>
          <w:numId w:val="2"/>
        </w:numPr>
        <w:kinsoku/>
        <w:wordWrap/>
        <w:overflowPunct/>
        <w:topLinePunct w:val="0"/>
        <w:autoSpaceDE w:val="0"/>
        <w:autoSpaceDN w:val="0"/>
        <w:bidi w:val="0"/>
        <w:spacing w:line="600" w:lineRule="exact"/>
        <w:ind w:firstLine="643" w:firstLineChars="200"/>
        <w:textAlignment w:val="auto"/>
        <w:outlineLvl w:val="2"/>
        <w:rPr>
          <w:rFonts w:hint="eastAsia" w:eastAsia="楷体_GB2312" w:cs="楷体_GB2312"/>
          <w:b/>
          <w:sz w:val="32"/>
          <w:szCs w:val="32"/>
        </w:rPr>
      </w:pPr>
      <w:r>
        <w:rPr>
          <w:rFonts w:hint="eastAsia" w:eastAsia="楷体_GB2312" w:cs="楷体_GB2312"/>
          <w:b/>
          <w:sz w:val="32"/>
          <w:szCs w:val="32"/>
        </w:rPr>
        <w:t>一般公共预算财政拨款支出决算结构情况</w:t>
      </w:r>
      <w:bookmarkEnd w:id="58"/>
      <w:bookmarkEnd w:id="59"/>
    </w:p>
    <w:p w14:paraId="5BBCD89B">
      <w:pPr>
        <w:keepNext w:val="0"/>
        <w:keepLines w:val="0"/>
        <w:pageBreakBefore w:val="0"/>
        <w:widowControl w:val="0"/>
        <w:numPr>
          <w:ilvl w:val="0"/>
          <w:numId w:val="0"/>
        </w:numPr>
        <w:kinsoku/>
        <w:wordWrap/>
        <w:overflowPunct/>
        <w:topLinePunct w:val="0"/>
        <w:autoSpaceDE w:val="0"/>
        <w:autoSpaceDN w:val="0"/>
        <w:bidi w:val="0"/>
        <w:spacing w:line="600" w:lineRule="exact"/>
        <w:textAlignment w:val="auto"/>
        <w:outlineLvl w:val="2"/>
        <w:rPr>
          <w:rFonts w:hint="eastAsia" w:eastAsia="仿宋_GB2312" w:cs="仿宋_GB2312"/>
          <w:sz w:val="32"/>
          <w:szCs w:val="32"/>
        </w:rPr>
      </w:pPr>
      <w:r>
        <w:rPr>
          <w:rFonts w:hint="eastAsia" w:eastAsia="仿宋_GB2312" w:cs="仿宋_GB2312"/>
          <w:sz w:val="32"/>
          <w:szCs w:val="32"/>
          <w:lang w:eastAsia="zh-CN"/>
        </w:rPr>
        <w:t>　　</w:t>
      </w: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793.01</w:t>
      </w:r>
      <w:r>
        <w:rPr>
          <w:rFonts w:hint="eastAsia" w:eastAsia="仿宋_GB2312" w:cs="仿宋_GB2312"/>
          <w:sz w:val="32"/>
          <w:szCs w:val="32"/>
        </w:rPr>
        <w:t>万元，主</w:t>
      </w:r>
      <w:r>
        <w:rPr>
          <w:rFonts w:hint="eastAsia" w:eastAsia="仿宋_GB2312" w:cs="仿宋_GB2312"/>
          <w:sz w:val="32"/>
          <w:szCs w:val="32"/>
          <w:lang w:eastAsia="zh-CN"/>
        </w:rPr>
        <w:drawing>
          <wp:anchor distT="0" distB="0" distL="114300" distR="114300" simplePos="0" relativeHeight="251666432" behindDoc="1" locked="0" layoutInCell="1" allowOverlap="1">
            <wp:simplePos x="0" y="0"/>
            <wp:positionH relativeFrom="column">
              <wp:posOffset>-83820</wp:posOffset>
            </wp:positionH>
            <wp:positionV relativeFrom="paragraph">
              <wp:posOffset>1528445</wp:posOffset>
            </wp:positionV>
            <wp:extent cx="5256530" cy="4129405"/>
            <wp:effectExtent l="4445" t="4445" r="15875" b="57150"/>
            <wp:wrapTight wrapText="bothSides">
              <wp:wrapPolygon>
                <wp:start x="-18" y="-23"/>
                <wp:lineTo x="-18" y="21500"/>
                <wp:lineTo x="21509" y="21500"/>
                <wp:lineTo x="21509" y="-23"/>
                <wp:lineTo x="-18" y="-23"/>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2"/>
          <w:szCs w:val="32"/>
        </w:rPr>
        <w:t>要用于以下方面：文化旅游体育与传媒支出</w:t>
      </w:r>
      <w:r>
        <w:rPr>
          <w:rFonts w:hint="eastAsia" w:eastAsia="仿宋_GB2312" w:cs="仿宋_GB2312"/>
          <w:sz w:val="32"/>
          <w:szCs w:val="32"/>
          <w:lang w:val="en-US" w:eastAsia="zh-CN"/>
        </w:rPr>
        <w:t>532.19</w:t>
      </w:r>
      <w:r>
        <w:rPr>
          <w:rFonts w:hint="eastAsia" w:eastAsia="仿宋_GB2312" w:cs="仿宋_GB2312"/>
          <w:sz w:val="32"/>
          <w:szCs w:val="32"/>
        </w:rPr>
        <w:t>万元，占</w:t>
      </w:r>
      <w:r>
        <w:rPr>
          <w:rFonts w:hint="eastAsia" w:eastAsia="仿宋_GB2312" w:cs="仿宋_GB2312"/>
          <w:sz w:val="32"/>
          <w:szCs w:val="32"/>
          <w:lang w:val="en-US" w:eastAsia="zh-CN"/>
        </w:rPr>
        <w:t>67.1</w:t>
      </w:r>
      <w:r>
        <w:rPr>
          <w:rFonts w:hint="eastAsia" w:eastAsia="仿宋_GB2312" w:cs="仿宋_GB2312"/>
          <w:sz w:val="32"/>
          <w:szCs w:val="32"/>
        </w:rPr>
        <w:t>%；社会保障和就业支出</w:t>
      </w:r>
      <w:r>
        <w:rPr>
          <w:rFonts w:hint="eastAsia" w:eastAsia="仿宋_GB2312" w:cs="仿宋_GB2312"/>
          <w:sz w:val="32"/>
          <w:szCs w:val="32"/>
          <w:lang w:val="en-US" w:eastAsia="zh-CN"/>
        </w:rPr>
        <w:t>180.84</w:t>
      </w:r>
      <w:r>
        <w:rPr>
          <w:rFonts w:hint="eastAsia" w:eastAsia="仿宋_GB2312" w:cs="仿宋_GB2312"/>
          <w:sz w:val="32"/>
          <w:szCs w:val="32"/>
        </w:rPr>
        <w:t>万元，占</w:t>
      </w:r>
      <w:r>
        <w:rPr>
          <w:rFonts w:hint="eastAsia" w:eastAsia="仿宋_GB2312" w:cs="仿宋_GB2312"/>
          <w:sz w:val="32"/>
          <w:szCs w:val="32"/>
          <w:lang w:val="en-US" w:eastAsia="zh-CN"/>
        </w:rPr>
        <w:t>22.8</w:t>
      </w:r>
      <w:r>
        <w:rPr>
          <w:rFonts w:hint="eastAsia" w:eastAsia="仿宋_GB2312" w:cs="仿宋_GB2312"/>
          <w:sz w:val="32"/>
          <w:szCs w:val="32"/>
        </w:rPr>
        <w:t>%；卫生健康支出</w:t>
      </w:r>
      <w:r>
        <w:rPr>
          <w:rFonts w:hint="eastAsia" w:eastAsia="仿宋_GB2312" w:cs="仿宋_GB2312"/>
          <w:sz w:val="32"/>
          <w:szCs w:val="32"/>
          <w:lang w:val="en-US" w:eastAsia="zh-CN"/>
        </w:rPr>
        <w:t>36.23</w:t>
      </w:r>
      <w:r>
        <w:rPr>
          <w:rFonts w:hint="eastAsia" w:eastAsia="仿宋_GB2312" w:cs="仿宋_GB2312"/>
          <w:sz w:val="32"/>
          <w:szCs w:val="32"/>
        </w:rPr>
        <w:t>万元，占</w:t>
      </w:r>
      <w:r>
        <w:rPr>
          <w:rFonts w:hint="eastAsia" w:eastAsia="仿宋_GB2312" w:cs="仿宋_GB2312"/>
          <w:sz w:val="32"/>
          <w:szCs w:val="32"/>
          <w:lang w:val="en-US" w:eastAsia="zh-CN"/>
        </w:rPr>
        <w:t>4.6</w:t>
      </w:r>
      <w:r>
        <w:rPr>
          <w:rFonts w:hint="eastAsia" w:eastAsia="仿宋_GB2312" w:cs="仿宋_GB2312"/>
          <w:sz w:val="32"/>
          <w:szCs w:val="32"/>
        </w:rPr>
        <w:t>%；住房保障支出</w:t>
      </w:r>
      <w:r>
        <w:rPr>
          <w:rFonts w:hint="eastAsia" w:eastAsia="仿宋_GB2312" w:cs="仿宋_GB2312"/>
          <w:sz w:val="32"/>
          <w:szCs w:val="32"/>
          <w:lang w:val="en-US" w:eastAsia="zh-CN"/>
        </w:rPr>
        <w:t>43.75</w:t>
      </w:r>
      <w:r>
        <w:rPr>
          <w:rFonts w:hint="eastAsia" w:eastAsia="仿宋_GB2312" w:cs="仿宋_GB2312"/>
          <w:sz w:val="32"/>
          <w:szCs w:val="32"/>
        </w:rPr>
        <w:t>万元，</w:t>
      </w:r>
    </w:p>
    <w:p w14:paraId="2699A594">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793.01</w:t>
      </w:r>
      <w:r>
        <w:rPr>
          <w:rFonts w:hint="eastAsia" w:eastAsia="仿宋_GB2312" w:cs="仿宋_GB2312"/>
          <w:sz w:val="32"/>
          <w:szCs w:val="32"/>
        </w:rPr>
        <w:t>万元，主要用于以下方面：文化旅游体育与传媒支出</w:t>
      </w:r>
      <w:r>
        <w:rPr>
          <w:rFonts w:hint="eastAsia" w:eastAsia="仿宋_GB2312" w:cs="仿宋_GB2312"/>
          <w:sz w:val="32"/>
          <w:szCs w:val="32"/>
          <w:lang w:val="en-US" w:eastAsia="zh-CN"/>
        </w:rPr>
        <w:t>532.19</w:t>
      </w:r>
      <w:r>
        <w:rPr>
          <w:rFonts w:hint="eastAsia" w:eastAsia="仿宋_GB2312" w:cs="仿宋_GB2312"/>
          <w:sz w:val="32"/>
          <w:szCs w:val="32"/>
        </w:rPr>
        <w:t>万元，占</w:t>
      </w:r>
      <w:r>
        <w:rPr>
          <w:rFonts w:hint="eastAsia" w:eastAsia="仿宋_GB2312" w:cs="仿宋_GB2312"/>
          <w:sz w:val="32"/>
          <w:szCs w:val="32"/>
          <w:lang w:val="en-US" w:eastAsia="zh-CN"/>
        </w:rPr>
        <w:t>67.1</w:t>
      </w:r>
      <w:r>
        <w:rPr>
          <w:rFonts w:hint="eastAsia" w:eastAsia="仿宋_GB2312" w:cs="仿宋_GB2312"/>
          <w:sz w:val="32"/>
          <w:szCs w:val="32"/>
        </w:rPr>
        <w:t>%；社会保障和就业支出</w:t>
      </w:r>
      <w:r>
        <w:rPr>
          <w:rFonts w:hint="eastAsia" w:eastAsia="仿宋_GB2312" w:cs="仿宋_GB2312"/>
          <w:sz w:val="32"/>
          <w:szCs w:val="32"/>
          <w:lang w:val="en-US" w:eastAsia="zh-CN"/>
        </w:rPr>
        <w:t>180.84</w:t>
      </w:r>
      <w:r>
        <w:rPr>
          <w:rFonts w:hint="eastAsia" w:eastAsia="仿宋_GB2312" w:cs="仿宋_GB2312"/>
          <w:sz w:val="32"/>
          <w:szCs w:val="32"/>
        </w:rPr>
        <w:t>万元，占</w:t>
      </w:r>
      <w:r>
        <w:rPr>
          <w:rFonts w:hint="eastAsia" w:eastAsia="仿宋_GB2312" w:cs="仿宋_GB2312"/>
          <w:sz w:val="32"/>
          <w:szCs w:val="32"/>
          <w:lang w:val="en-US" w:eastAsia="zh-CN"/>
        </w:rPr>
        <w:t>22.8</w:t>
      </w:r>
      <w:r>
        <w:rPr>
          <w:rFonts w:hint="eastAsia" w:eastAsia="仿宋_GB2312" w:cs="仿宋_GB2312"/>
          <w:sz w:val="32"/>
          <w:szCs w:val="32"/>
        </w:rPr>
        <w:t>%；卫生健康支出</w:t>
      </w:r>
      <w:r>
        <w:rPr>
          <w:rFonts w:hint="eastAsia" w:eastAsia="仿宋_GB2312" w:cs="仿宋_GB2312"/>
          <w:sz w:val="32"/>
          <w:szCs w:val="32"/>
          <w:lang w:val="en-US" w:eastAsia="zh-CN"/>
        </w:rPr>
        <w:t>36.23</w:t>
      </w:r>
      <w:r>
        <w:rPr>
          <w:rFonts w:hint="eastAsia" w:eastAsia="仿宋_GB2312" w:cs="仿宋_GB2312"/>
          <w:sz w:val="32"/>
          <w:szCs w:val="32"/>
        </w:rPr>
        <w:t>万元，占</w:t>
      </w:r>
      <w:r>
        <w:rPr>
          <w:rFonts w:hint="eastAsia" w:eastAsia="仿宋_GB2312" w:cs="仿宋_GB2312"/>
          <w:sz w:val="32"/>
          <w:szCs w:val="32"/>
          <w:lang w:val="en-US" w:eastAsia="zh-CN"/>
        </w:rPr>
        <w:t>4.6</w:t>
      </w:r>
      <w:r>
        <w:rPr>
          <w:rFonts w:hint="eastAsia" w:eastAsia="仿宋_GB2312" w:cs="仿宋_GB2312"/>
          <w:sz w:val="32"/>
          <w:szCs w:val="32"/>
        </w:rPr>
        <w:t>%；住房保障支出</w:t>
      </w:r>
      <w:r>
        <w:rPr>
          <w:rFonts w:hint="eastAsia" w:eastAsia="仿宋_GB2312" w:cs="仿宋_GB2312"/>
          <w:sz w:val="32"/>
          <w:szCs w:val="32"/>
          <w:lang w:val="en-US" w:eastAsia="zh-CN"/>
        </w:rPr>
        <w:t>43.75</w:t>
      </w:r>
      <w:r>
        <w:rPr>
          <w:rFonts w:hint="eastAsia" w:eastAsia="仿宋_GB2312" w:cs="仿宋_GB2312"/>
          <w:sz w:val="32"/>
          <w:szCs w:val="32"/>
        </w:rPr>
        <w:t>万元，占</w:t>
      </w:r>
      <w:r>
        <w:rPr>
          <w:rFonts w:hint="eastAsia" w:eastAsia="仿宋_GB2312" w:cs="仿宋_GB2312"/>
          <w:sz w:val="32"/>
          <w:szCs w:val="32"/>
          <w:lang w:val="en-US" w:eastAsia="zh-CN"/>
        </w:rPr>
        <w:t>5.5</w:t>
      </w:r>
      <w:r>
        <w:rPr>
          <w:rFonts w:hint="eastAsia" w:eastAsia="仿宋_GB2312" w:cs="仿宋_GB2312"/>
          <w:sz w:val="32"/>
          <w:szCs w:val="32"/>
        </w:rPr>
        <w:t>%</w:t>
      </w:r>
      <w:r>
        <w:rPr>
          <w:rFonts w:hint="eastAsia" w:eastAsia="仿宋_GB2312" w:cs="仿宋_GB2312"/>
          <w:sz w:val="32"/>
          <w:szCs w:val="32"/>
          <w:lang w:eastAsia="zh-CN"/>
        </w:rPr>
        <w:t>。</w:t>
      </w:r>
    </w:p>
    <w:p w14:paraId="7034A9BF">
      <w:pPr>
        <w:spacing w:line="600" w:lineRule="exact"/>
        <w:ind w:firstLine="640"/>
        <w:rPr>
          <w:rFonts w:hint="eastAsia" w:eastAsia="仿宋_GB2312" w:cs="仿宋_GB2312"/>
          <w:sz w:val="32"/>
          <w:szCs w:val="32"/>
        </w:rPr>
      </w:pPr>
      <w:r>
        <w:rPr>
          <w:rFonts w:hint="eastAsia" w:eastAsia="仿宋_GB2312" w:cs="仿宋_GB2312"/>
          <w:sz w:val="32"/>
          <w:szCs w:val="32"/>
        </w:rPr>
        <w:t>（图6：一般公共预算财政拨款支出决算结构）</w:t>
      </w:r>
    </w:p>
    <w:p w14:paraId="1C6DFA75">
      <w:pPr>
        <w:spacing w:line="600" w:lineRule="exact"/>
        <w:outlineLvl w:val="2"/>
        <w:rPr>
          <w:rFonts w:eastAsia="楷体_GB2312" w:cs="楷体_GB2312"/>
          <w:b/>
          <w:sz w:val="32"/>
          <w:szCs w:val="32"/>
        </w:rPr>
      </w:pPr>
      <w:bookmarkStart w:id="60" w:name="_Toc1464923487"/>
      <w:bookmarkStart w:id="61" w:name="_Toc15377212"/>
      <w:r>
        <w:rPr>
          <w:rFonts w:hint="eastAsia" w:eastAsia="楷体_GB2312" w:cs="楷体_GB2312"/>
          <w:b/>
          <w:sz w:val="32"/>
          <w:szCs w:val="32"/>
          <w:lang w:eastAsia="zh-CN"/>
        </w:rPr>
        <w:t>　</w:t>
      </w:r>
      <w:r>
        <w:rPr>
          <w:rFonts w:hint="eastAsia" w:eastAsia="楷体_GB2312" w:cs="楷体_GB2312"/>
          <w:b/>
          <w:sz w:val="32"/>
          <w:szCs w:val="32"/>
        </w:rPr>
        <w:t>（三）一般公共预算财政拨款支出决算具体情况</w:t>
      </w:r>
      <w:bookmarkEnd w:id="60"/>
      <w:bookmarkEnd w:id="61"/>
    </w:p>
    <w:p w14:paraId="2FEB70C9">
      <w:pPr>
        <w:spacing w:line="600" w:lineRule="exact"/>
        <w:ind w:firstLine="640"/>
        <w:rPr>
          <w:rFonts w:hint="eastAsia" w:eastAsia="仿宋_GB2312" w:cs="仿宋_GB2312"/>
          <w:sz w:val="32"/>
          <w:szCs w:val="32"/>
        </w:rPr>
      </w:pPr>
      <w:bookmarkStart w:id="62" w:name="_Toc15377444"/>
      <w:bookmarkStart w:id="63" w:name="_Toc15377213"/>
      <w:bookmarkStart w:id="64" w:name="_Toc15378460"/>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793.01万元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62"/>
      <w:bookmarkEnd w:id="63"/>
      <w:bookmarkEnd w:id="64"/>
    </w:p>
    <w:p w14:paraId="2A7F74F6">
      <w:pPr>
        <w:spacing w:line="600" w:lineRule="exact"/>
        <w:ind w:firstLine="64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1.文化旅游体育与传媒支出（类）文化和旅游（款）图书馆（项）：支出决算为</w:t>
      </w:r>
      <w:r>
        <w:rPr>
          <w:rFonts w:hint="eastAsia" w:eastAsia="仿宋_GB2312" w:cs="仿宋_GB2312"/>
          <w:kern w:val="2"/>
          <w:sz w:val="32"/>
          <w:szCs w:val="32"/>
          <w:lang w:val="en-US" w:eastAsia="zh-CN" w:bidi="ar-SA"/>
        </w:rPr>
        <w:t>452.19</w:t>
      </w:r>
      <w:r>
        <w:rPr>
          <w:rFonts w:hint="default" w:ascii="Times New Roman" w:hAnsi="Times New Roman" w:eastAsia="仿宋_GB2312" w:cs="仿宋_GB2312"/>
          <w:kern w:val="2"/>
          <w:sz w:val="32"/>
          <w:szCs w:val="32"/>
          <w:lang w:val="en-US" w:eastAsia="zh-CN" w:bidi="ar-SA"/>
        </w:rPr>
        <w:t>万元，完成预算100%。</w:t>
      </w:r>
    </w:p>
    <w:p w14:paraId="42DEE5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2.文化旅游体育与传媒支出（类）文化和旅游（款）其他文化和旅游</w:t>
      </w:r>
      <w:r>
        <w:rPr>
          <w:rFonts w:hint="eastAsia" w:eastAsia="仿宋_GB2312" w:cs="仿宋_GB2312"/>
          <w:kern w:val="2"/>
          <w:sz w:val="32"/>
          <w:szCs w:val="32"/>
          <w:lang w:val="en-US" w:eastAsia="zh-CN" w:bidi="ar-SA"/>
        </w:rPr>
        <w:t>支出</w:t>
      </w:r>
      <w:r>
        <w:rPr>
          <w:rFonts w:hint="default" w:ascii="Times New Roman" w:hAnsi="Times New Roman" w:eastAsia="仿宋_GB2312" w:cs="仿宋_GB2312"/>
          <w:kern w:val="2"/>
          <w:sz w:val="32"/>
          <w:szCs w:val="32"/>
          <w:lang w:val="en-US" w:eastAsia="zh-CN" w:bidi="ar-SA"/>
        </w:rPr>
        <w:t>（项）：支出决算为</w:t>
      </w:r>
      <w:r>
        <w:rPr>
          <w:rFonts w:hint="eastAsia" w:eastAsia="仿宋_GB2312" w:cs="仿宋_GB2312"/>
          <w:kern w:val="2"/>
          <w:sz w:val="32"/>
          <w:szCs w:val="32"/>
          <w:lang w:val="en-US" w:eastAsia="zh-CN" w:bidi="ar-SA"/>
        </w:rPr>
        <w:t>34</w:t>
      </w:r>
      <w:r>
        <w:rPr>
          <w:rFonts w:hint="default" w:ascii="Times New Roman" w:hAnsi="Times New Roman" w:eastAsia="仿宋_GB2312" w:cs="仿宋_GB2312"/>
          <w:kern w:val="2"/>
          <w:sz w:val="32"/>
          <w:szCs w:val="32"/>
          <w:lang w:val="en-US" w:eastAsia="zh-CN" w:bidi="ar-SA"/>
        </w:rPr>
        <w:t>万元，完成预算100%。</w:t>
      </w:r>
    </w:p>
    <w:p w14:paraId="2228691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3.</w:t>
      </w:r>
      <w:r>
        <w:rPr>
          <w:rFonts w:hint="default" w:ascii="Times New Roman" w:hAnsi="Times New Roman" w:eastAsia="仿宋_GB2312" w:cs="仿宋_GB2312"/>
          <w:kern w:val="2"/>
          <w:sz w:val="32"/>
          <w:szCs w:val="32"/>
          <w:lang w:val="en-US" w:eastAsia="zh-CN" w:bidi="ar-SA"/>
        </w:rPr>
        <w:t>文化旅游体育与传媒支出（类）其他文化旅游体育与传媒支出（款）其他文化旅游体育与传媒支出（项）</w:t>
      </w:r>
      <w:r>
        <w:rPr>
          <w:rFonts w:hint="eastAsia"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支出决算为</w:t>
      </w:r>
      <w:r>
        <w:rPr>
          <w:rFonts w:hint="eastAsia" w:eastAsia="仿宋_GB2312" w:cs="仿宋_GB2312"/>
          <w:kern w:val="2"/>
          <w:sz w:val="32"/>
          <w:szCs w:val="32"/>
          <w:lang w:val="en-US" w:eastAsia="zh-CN" w:bidi="ar-SA"/>
        </w:rPr>
        <w:t>46</w:t>
      </w:r>
      <w:r>
        <w:rPr>
          <w:rFonts w:hint="default" w:ascii="Times New Roman" w:hAnsi="Times New Roman" w:eastAsia="仿宋_GB2312" w:cs="仿宋_GB2312"/>
          <w:kern w:val="2"/>
          <w:sz w:val="32"/>
          <w:szCs w:val="32"/>
          <w:lang w:val="en-US" w:eastAsia="zh-CN" w:bidi="ar-SA"/>
        </w:rPr>
        <w:t>万元，完成预算100%。</w:t>
      </w:r>
    </w:p>
    <w:p w14:paraId="2354A5B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xml:space="preserve">      </w:t>
      </w:r>
      <w:r>
        <w:rPr>
          <w:rFonts w:hint="eastAsia" w:eastAsia="仿宋_GB2312" w:cs="仿宋_GB2312"/>
          <w:kern w:val="2"/>
          <w:sz w:val="32"/>
          <w:szCs w:val="32"/>
          <w:lang w:val="en-US" w:eastAsia="zh-CN" w:bidi="ar-SA"/>
        </w:rPr>
        <w:t>4</w:t>
      </w:r>
      <w:r>
        <w:rPr>
          <w:rFonts w:hint="default" w:ascii="Times New Roman" w:hAnsi="Times New Roman" w:eastAsia="仿宋_GB2312" w:cs="仿宋_GB2312"/>
          <w:kern w:val="2"/>
          <w:sz w:val="32"/>
          <w:szCs w:val="32"/>
          <w:lang w:val="en-US" w:eastAsia="zh-CN" w:bidi="ar-SA"/>
        </w:rPr>
        <w:t>.社会保障和就业支出（类）行政事业单位养老支出（款）事业单位离退休（项）：支出决算为</w:t>
      </w:r>
      <w:r>
        <w:rPr>
          <w:rFonts w:hint="eastAsia" w:eastAsia="仿宋_GB2312" w:cs="仿宋_GB2312"/>
          <w:kern w:val="2"/>
          <w:sz w:val="32"/>
          <w:szCs w:val="32"/>
          <w:lang w:val="en-US" w:eastAsia="zh-CN" w:bidi="ar-SA"/>
        </w:rPr>
        <w:t>96.38</w:t>
      </w:r>
      <w:r>
        <w:rPr>
          <w:rFonts w:hint="default" w:ascii="Times New Roman" w:hAnsi="Times New Roman" w:eastAsia="仿宋_GB2312" w:cs="仿宋_GB2312"/>
          <w:kern w:val="2"/>
          <w:sz w:val="32"/>
          <w:szCs w:val="32"/>
          <w:lang w:val="en-US" w:eastAsia="zh-CN" w:bidi="ar-SA"/>
        </w:rPr>
        <w:t>万元，完成预算100%。</w:t>
      </w:r>
    </w:p>
    <w:p w14:paraId="49F64C5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xml:space="preserve">      </w:t>
      </w:r>
      <w:r>
        <w:rPr>
          <w:rFonts w:hint="eastAsia" w:eastAsia="仿宋_GB2312" w:cs="仿宋_GB2312"/>
          <w:kern w:val="2"/>
          <w:sz w:val="32"/>
          <w:szCs w:val="32"/>
          <w:lang w:val="en-US" w:eastAsia="zh-CN" w:bidi="ar-SA"/>
        </w:rPr>
        <w:t>5</w:t>
      </w:r>
      <w:r>
        <w:rPr>
          <w:rFonts w:hint="default" w:ascii="Times New Roman" w:hAnsi="Times New Roman" w:eastAsia="仿宋_GB2312" w:cs="仿宋_GB2312"/>
          <w:kern w:val="2"/>
          <w:sz w:val="32"/>
          <w:szCs w:val="32"/>
          <w:lang w:val="en-US" w:eastAsia="zh-CN" w:bidi="ar-SA"/>
        </w:rPr>
        <w:t>.社会保障和就业支出（类）行政事业单位养老支出（款）机关事业单位基本养老保险缴费支出（项）：支出决算为</w:t>
      </w:r>
      <w:r>
        <w:rPr>
          <w:rFonts w:hint="eastAsia" w:eastAsia="仿宋_GB2312" w:cs="仿宋_GB2312"/>
          <w:kern w:val="2"/>
          <w:sz w:val="32"/>
          <w:szCs w:val="32"/>
          <w:lang w:val="en-US" w:eastAsia="zh-CN" w:bidi="ar-SA"/>
        </w:rPr>
        <w:t>59.08</w:t>
      </w:r>
      <w:r>
        <w:rPr>
          <w:rFonts w:hint="default" w:ascii="Times New Roman" w:hAnsi="Times New Roman" w:eastAsia="仿宋_GB2312" w:cs="仿宋_GB2312"/>
          <w:kern w:val="2"/>
          <w:sz w:val="32"/>
          <w:szCs w:val="32"/>
          <w:lang w:val="en-US" w:eastAsia="zh-CN" w:bidi="ar-SA"/>
        </w:rPr>
        <w:t>万元，完成预算100%。</w:t>
      </w:r>
    </w:p>
    <w:p w14:paraId="6C9DCA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w:t>
      </w:r>
      <w:r>
        <w:rPr>
          <w:rFonts w:hint="eastAsia" w:eastAsia="仿宋_GB2312" w:cs="仿宋_GB2312"/>
          <w:kern w:val="2"/>
          <w:sz w:val="32"/>
          <w:szCs w:val="32"/>
          <w:lang w:val="en-US" w:eastAsia="zh-CN" w:bidi="ar-SA"/>
        </w:rPr>
        <w:t xml:space="preserve">    6</w:t>
      </w:r>
      <w:r>
        <w:rPr>
          <w:rFonts w:hint="default" w:ascii="Times New Roman" w:hAnsi="Times New Roman" w:eastAsia="仿宋_GB2312" w:cs="仿宋_GB2312"/>
          <w:kern w:val="2"/>
          <w:sz w:val="32"/>
          <w:szCs w:val="32"/>
          <w:lang w:val="en-US" w:eastAsia="zh-CN" w:bidi="ar-SA"/>
        </w:rPr>
        <w:t>.社会保障和就业支出（类）行政事业单位养老支出（款）机关事业单位职业年金缴费支出（项）：支出决算为</w:t>
      </w:r>
      <w:r>
        <w:rPr>
          <w:rFonts w:hint="eastAsia" w:eastAsia="仿宋_GB2312" w:cs="仿宋_GB2312"/>
          <w:kern w:val="2"/>
          <w:sz w:val="32"/>
          <w:szCs w:val="32"/>
          <w:lang w:val="en-US" w:eastAsia="zh-CN" w:bidi="ar-SA"/>
        </w:rPr>
        <w:t>15.07</w:t>
      </w:r>
      <w:r>
        <w:rPr>
          <w:rFonts w:hint="default" w:ascii="Times New Roman" w:hAnsi="Times New Roman" w:eastAsia="仿宋_GB2312" w:cs="仿宋_GB2312"/>
          <w:kern w:val="2"/>
          <w:sz w:val="32"/>
          <w:szCs w:val="32"/>
          <w:lang w:val="en-US" w:eastAsia="zh-CN" w:bidi="ar-SA"/>
        </w:rPr>
        <w:t>万元，完成预算100%。</w:t>
      </w:r>
    </w:p>
    <w:p w14:paraId="305EEDB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w:t>
      </w:r>
      <w:r>
        <w:rPr>
          <w:rFonts w:hint="eastAsia" w:eastAsia="仿宋_GB2312" w:cs="仿宋_GB2312"/>
          <w:kern w:val="2"/>
          <w:sz w:val="32"/>
          <w:szCs w:val="32"/>
          <w:lang w:val="en-US" w:eastAsia="zh-CN" w:bidi="ar-SA"/>
        </w:rPr>
        <w:t>7</w:t>
      </w:r>
      <w:r>
        <w:rPr>
          <w:rFonts w:hint="default" w:ascii="Times New Roman" w:hAnsi="Times New Roman" w:eastAsia="仿宋_GB2312" w:cs="仿宋_GB2312"/>
          <w:kern w:val="2"/>
          <w:sz w:val="32"/>
          <w:szCs w:val="32"/>
          <w:lang w:val="en-US" w:eastAsia="zh-CN" w:bidi="ar-SA"/>
        </w:rPr>
        <w:t>.社会保障和就业支出（类）抚恤（款）死亡抚恤（项）支出决算为</w:t>
      </w:r>
      <w:r>
        <w:rPr>
          <w:rFonts w:hint="eastAsia" w:eastAsia="仿宋_GB2312" w:cs="仿宋_GB2312"/>
          <w:kern w:val="2"/>
          <w:sz w:val="32"/>
          <w:szCs w:val="32"/>
          <w:lang w:val="en-US" w:eastAsia="zh-CN" w:bidi="ar-SA"/>
        </w:rPr>
        <w:t>10.31</w:t>
      </w:r>
      <w:r>
        <w:rPr>
          <w:rFonts w:hint="default" w:ascii="Times New Roman" w:hAnsi="Times New Roman" w:eastAsia="仿宋_GB2312" w:cs="仿宋_GB2312"/>
          <w:kern w:val="2"/>
          <w:sz w:val="32"/>
          <w:szCs w:val="32"/>
          <w:lang w:val="en-US" w:eastAsia="zh-CN" w:bidi="ar-SA"/>
        </w:rPr>
        <w:t>万元，完成预算100%。</w:t>
      </w:r>
    </w:p>
    <w:p w14:paraId="15F6A4A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xml:space="preserve">      </w:t>
      </w:r>
      <w:r>
        <w:rPr>
          <w:rFonts w:hint="eastAsia" w:eastAsia="仿宋_GB2312" w:cs="仿宋_GB2312"/>
          <w:kern w:val="2"/>
          <w:sz w:val="32"/>
          <w:szCs w:val="32"/>
          <w:lang w:val="en-US" w:eastAsia="zh-CN" w:bidi="ar-SA"/>
        </w:rPr>
        <w:t>8</w:t>
      </w:r>
      <w:r>
        <w:rPr>
          <w:rFonts w:hint="default" w:ascii="Times New Roman" w:hAnsi="Times New Roman" w:eastAsia="仿宋_GB2312" w:cs="仿宋_GB2312"/>
          <w:kern w:val="2"/>
          <w:sz w:val="32"/>
          <w:szCs w:val="32"/>
          <w:lang w:val="en-US" w:eastAsia="zh-CN" w:bidi="ar-SA"/>
        </w:rPr>
        <w:t>.卫生健康（类）行政事业单位医疗（款）事业单位医疗（项）：支出决算为</w:t>
      </w:r>
      <w:r>
        <w:rPr>
          <w:rFonts w:hint="eastAsia" w:eastAsia="仿宋_GB2312" w:cs="仿宋_GB2312"/>
          <w:kern w:val="2"/>
          <w:sz w:val="32"/>
          <w:szCs w:val="32"/>
          <w:lang w:val="en-US" w:eastAsia="zh-CN" w:bidi="ar-SA"/>
        </w:rPr>
        <w:t>29.11</w:t>
      </w:r>
      <w:r>
        <w:rPr>
          <w:rFonts w:hint="default" w:ascii="Times New Roman" w:hAnsi="Times New Roman" w:eastAsia="仿宋_GB2312" w:cs="仿宋_GB2312"/>
          <w:kern w:val="2"/>
          <w:sz w:val="32"/>
          <w:szCs w:val="32"/>
          <w:lang w:val="en-US" w:eastAsia="zh-CN" w:bidi="ar-SA"/>
        </w:rPr>
        <w:t>万元，完成预算100%。</w:t>
      </w:r>
    </w:p>
    <w:p w14:paraId="1F2CC94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 xml:space="preserve">      </w:t>
      </w:r>
      <w:r>
        <w:rPr>
          <w:rFonts w:hint="eastAsia" w:eastAsia="仿宋_GB2312" w:cs="仿宋_GB2312"/>
          <w:kern w:val="2"/>
          <w:sz w:val="32"/>
          <w:szCs w:val="32"/>
          <w:lang w:val="en-US" w:eastAsia="zh-CN" w:bidi="ar-SA"/>
        </w:rPr>
        <w:t>9</w:t>
      </w:r>
      <w:r>
        <w:rPr>
          <w:rFonts w:hint="default" w:ascii="Times New Roman" w:hAnsi="Times New Roman" w:eastAsia="仿宋_GB2312" w:cs="仿宋_GB2312"/>
          <w:kern w:val="2"/>
          <w:sz w:val="32"/>
          <w:szCs w:val="32"/>
          <w:lang w:val="en-US" w:eastAsia="zh-CN" w:bidi="ar-SA"/>
        </w:rPr>
        <w:t>.卫生健康（类）行政事业单位医疗（款）公务员医疗补助（项）：支出决算为7.</w:t>
      </w:r>
      <w:r>
        <w:rPr>
          <w:rFonts w:hint="eastAsia" w:eastAsia="仿宋_GB2312" w:cs="仿宋_GB2312"/>
          <w:kern w:val="2"/>
          <w:sz w:val="32"/>
          <w:szCs w:val="32"/>
          <w:lang w:val="en-US" w:eastAsia="zh-CN" w:bidi="ar-SA"/>
        </w:rPr>
        <w:t>12</w:t>
      </w:r>
      <w:r>
        <w:rPr>
          <w:rFonts w:hint="default" w:ascii="Times New Roman" w:hAnsi="Times New Roman" w:eastAsia="仿宋_GB2312" w:cs="仿宋_GB2312"/>
          <w:kern w:val="2"/>
          <w:sz w:val="32"/>
          <w:szCs w:val="32"/>
          <w:lang w:val="en-US" w:eastAsia="zh-CN" w:bidi="ar-SA"/>
        </w:rPr>
        <w:t>万元，完成预算100%。</w:t>
      </w:r>
    </w:p>
    <w:p w14:paraId="6B2F974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eastAsia="仿宋_GB2312" w:cs="仿宋_GB2312"/>
          <w:sz w:val="32"/>
          <w:szCs w:val="32"/>
        </w:rPr>
      </w:pPr>
      <w:r>
        <w:rPr>
          <w:rFonts w:hint="default" w:ascii="Times New Roman" w:hAnsi="Times New Roman" w:eastAsia="仿宋_GB2312" w:cs="仿宋_GB2312"/>
          <w:kern w:val="2"/>
          <w:sz w:val="32"/>
          <w:szCs w:val="32"/>
          <w:lang w:val="en-US" w:eastAsia="zh-CN" w:bidi="ar-SA"/>
        </w:rPr>
        <w:t>       8.住房保障支出（类）住房改革支出（款）住房公积金（项）：支出决算为43.7</w:t>
      </w:r>
      <w:r>
        <w:rPr>
          <w:rFonts w:hint="eastAsia" w:eastAsia="仿宋_GB2312" w:cs="仿宋_GB2312"/>
          <w:kern w:val="2"/>
          <w:sz w:val="32"/>
          <w:szCs w:val="32"/>
          <w:lang w:val="en-US" w:eastAsia="zh-CN" w:bidi="ar-SA"/>
        </w:rPr>
        <w:t>5</w:t>
      </w:r>
      <w:r>
        <w:rPr>
          <w:rFonts w:hint="default" w:ascii="Times New Roman" w:hAnsi="Times New Roman" w:eastAsia="仿宋_GB2312" w:cs="仿宋_GB2312"/>
          <w:kern w:val="2"/>
          <w:sz w:val="32"/>
          <w:szCs w:val="32"/>
          <w:lang w:val="en-US" w:eastAsia="zh-CN" w:bidi="ar-SA"/>
        </w:rPr>
        <w:t>万元，完成预算100%。</w:t>
      </w:r>
    </w:p>
    <w:p w14:paraId="67C7C5DC">
      <w:pPr>
        <w:tabs>
          <w:tab w:val="right" w:pos="8306"/>
        </w:tabs>
        <w:spacing w:line="600" w:lineRule="exact"/>
        <w:ind w:firstLine="640"/>
        <w:outlineLvl w:val="1"/>
        <w:rPr>
          <w:rStyle w:val="30"/>
          <w:rFonts w:ascii="Times New Roman" w:hAnsi="Times New Roman"/>
        </w:rPr>
      </w:pPr>
      <w:bookmarkStart w:id="65" w:name="_Toc1233826079"/>
      <w:bookmarkStart w:id="66" w:name="_Toc2070104756"/>
      <w:bookmarkStart w:id="67" w:name="_Toc15396608"/>
      <w:bookmarkStart w:id="68" w:name="_Toc15377214"/>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65"/>
      <w:bookmarkEnd w:id="66"/>
      <w:bookmarkEnd w:id="67"/>
      <w:bookmarkEnd w:id="68"/>
      <w:r>
        <w:rPr>
          <w:rStyle w:val="30"/>
          <w:rFonts w:ascii="Times New Roman" w:hAnsi="Times New Roman" w:eastAsia="黑体"/>
          <w:b w:val="0"/>
        </w:rPr>
        <w:tab/>
      </w:r>
    </w:p>
    <w:p w14:paraId="722E58A7">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default" w:eastAsia="仿宋_GB2312" w:cs="仿宋_GB2312"/>
          <w:sz w:val="32"/>
          <w:szCs w:val="32"/>
          <w:lang w:val="en-US"/>
        </w:rPr>
        <w:t>693.02</w:t>
      </w:r>
      <w:r>
        <w:rPr>
          <w:rFonts w:hint="eastAsia" w:eastAsia="仿宋_GB2312" w:cs="仿宋_GB2312"/>
          <w:sz w:val="32"/>
          <w:szCs w:val="32"/>
        </w:rPr>
        <w:t>万元，其中：</w:t>
      </w:r>
    </w:p>
    <w:p w14:paraId="2241B1AD">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default" w:eastAsia="仿宋_GB2312" w:cs="仿宋_GB2312"/>
          <w:sz w:val="32"/>
          <w:szCs w:val="32"/>
          <w:lang w:val="en-US"/>
        </w:rPr>
        <w:t>671.36</w:t>
      </w:r>
      <w:r>
        <w:rPr>
          <w:rFonts w:hint="eastAsia" w:eastAsia="仿宋_GB2312" w:cs="仿宋_GB2312"/>
          <w:sz w:val="32"/>
          <w:szCs w:val="32"/>
        </w:rPr>
        <w:t>万元，主要包括：基本工资</w:t>
      </w:r>
      <w:r>
        <w:rPr>
          <w:rFonts w:hint="default" w:eastAsia="仿宋_GB2312" w:cs="仿宋_GB2312"/>
          <w:sz w:val="32"/>
          <w:szCs w:val="32"/>
          <w:lang w:val="en-US"/>
        </w:rPr>
        <w:t>159.86</w:t>
      </w:r>
      <w:r>
        <w:rPr>
          <w:rFonts w:hint="eastAsia" w:eastAsia="仿宋_GB2312" w:cs="仿宋_GB2312"/>
          <w:sz w:val="32"/>
          <w:szCs w:val="32"/>
          <w:lang w:val="en-US" w:eastAsia="zh-CN"/>
        </w:rPr>
        <w:t>万元</w:t>
      </w:r>
      <w:r>
        <w:rPr>
          <w:rFonts w:hint="eastAsia" w:eastAsia="仿宋_GB2312" w:cs="仿宋_GB2312"/>
          <w:sz w:val="32"/>
          <w:szCs w:val="32"/>
        </w:rPr>
        <w:t>、津贴补贴</w:t>
      </w:r>
      <w:r>
        <w:rPr>
          <w:rFonts w:hint="eastAsia" w:eastAsia="仿宋_GB2312" w:cs="仿宋_GB2312"/>
          <w:sz w:val="32"/>
          <w:szCs w:val="32"/>
          <w:lang w:val="en-US" w:eastAsia="zh-CN"/>
        </w:rPr>
        <w:t>20.3万元</w:t>
      </w:r>
      <w:r>
        <w:rPr>
          <w:rFonts w:hint="eastAsia" w:eastAsia="仿宋_GB2312" w:cs="仿宋_GB2312"/>
          <w:sz w:val="32"/>
          <w:szCs w:val="32"/>
        </w:rPr>
        <w:t>、奖金</w:t>
      </w:r>
      <w:r>
        <w:rPr>
          <w:rFonts w:hint="eastAsia" w:eastAsia="仿宋_GB2312" w:cs="仿宋_GB2312"/>
          <w:sz w:val="32"/>
          <w:szCs w:val="32"/>
          <w:lang w:val="en-US" w:eastAsia="zh-CN"/>
        </w:rPr>
        <w:t>1.05万元</w:t>
      </w:r>
      <w:r>
        <w:rPr>
          <w:rFonts w:hint="eastAsia" w:eastAsia="仿宋_GB2312" w:cs="仿宋_GB2312"/>
          <w:sz w:val="32"/>
          <w:szCs w:val="32"/>
        </w:rPr>
        <w:t>、绩效工资</w:t>
      </w:r>
      <w:r>
        <w:rPr>
          <w:rFonts w:hint="eastAsia" w:eastAsia="仿宋_GB2312" w:cs="仿宋_GB2312"/>
          <w:sz w:val="32"/>
          <w:szCs w:val="32"/>
          <w:lang w:val="en-US" w:eastAsia="zh-CN"/>
        </w:rPr>
        <w:t>215.87万元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59.08万元</w:t>
      </w:r>
      <w:r>
        <w:rPr>
          <w:rFonts w:hint="eastAsia" w:eastAsia="仿宋_GB2312" w:cs="仿宋_GB2312"/>
          <w:sz w:val="32"/>
          <w:szCs w:val="32"/>
        </w:rPr>
        <w:t>、职业年金缴费</w:t>
      </w:r>
      <w:r>
        <w:rPr>
          <w:rFonts w:hint="eastAsia" w:eastAsia="仿宋_GB2312" w:cs="仿宋_GB2312"/>
          <w:sz w:val="32"/>
          <w:szCs w:val="32"/>
          <w:lang w:val="en-US" w:eastAsia="zh-CN"/>
        </w:rPr>
        <w:t>15.07万元</w:t>
      </w:r>
      <w:r>
        <w:rPr>
          <w:rFonts w:hint="eastAsia" w:eastAsia="仿宋_GB2312" w:cs="仿宋_GB2312"/>
          <w:sz w:val="32"/>
          <w:szCs w:val="32"/>
        </w:rPr>
        <w:t>、</w:t>
      </w:r>
      <w:r>
        <w:rPr>
          <w:rFonts w:hint="default" w:eastAsia="仿宋_GB2312" w:cs="仿宋_GB2312"/>
          <w:sz w:val="32"/>
          <w:szCs w:val="32"/>
        </w:rPr>
        <w:t>职工基本医疗保险缴费</w:t>
      </w:r>
      <w:r>
        <w:rPr>
          <w:rFonts w:hint="eastAsia" w:eastAsia="仿宋_GB2312" w:cs="仿宋_GB2312"/>
          <w:sz w:val="32"/>
          <w:szCs w:val="32"/>
          <w:lang w:val="en-US" w:eastAsia="zh-CN"/>
        </w:rPr>
        <w:t>29.11</w:t>
      </w:r>
      <w:r>
        <w:rPr>
          <w:rFonts w:hint="default" w:eastAsia="仿宋_GB2312" w:cs="仿宋_GB2312"/>
          <w:sz w:val="32"/>
          <w:szCs w:val="32"/>
        </w:rPr>
        <w:t>万元、公务员医疗补助缴费</w:t>
      </w:r>
      <w:r>
        <w:rPr>
          <w:rFonts w:hint="eastAsia" w:eastAsia="仿宋_GB2312" w:cs="仿宋_GB2312"/>
          <w:sz w:val="32"/>
          <w:szCs w:val="32"/>
          <w:lang w:val="en-US" w:eastAsia="zh-CN"/>
        </w:rPr>
        <w:t>7.12</w:t>
      </w:r>
      <w:r>
        <w:rPr>
          <w:rFonts w:hint="default" w:eastAsia="仿宋_GB2312" w:cs="仿宋_GB2312"/>
          <w:sz w:val="32"/>
          <w:szCs w:val="32"/>
        </w:rPr>
        <w:t>万元</w:t>
      </w:r>
      <w:r>
        <w:rPr>
          <w:rFonts w:hint="eastAsia" w:eastAsia="仿宋_GB2312" w:cs="仿宋_GB2312"/>
          <w:sz w:val="32"/>
          <w:szCs w:val="32"/>
          <w:lang w:eastAsia="zh-CN"/>
        </w:rPr>
        <w:t>、</w:t>
      </w:r>
      <w:r>
        <w:rPr>
          <w:rFonts w:hint="eastAsia" w:eastAsia="仿宋_GB2312" w:cs="仿宋_GB2312"/>
          <w:sz w:val="32"/>
          <w:szCs w:val="32"/>
        </w:rPr>
        <w:t>其他社会保障缴费</w:t>
      </w:r>
      <w:r>
        <w:rPr>
          <w:rFonts w:hint="eastAsia" w:eastAsia="仿宋_GB2312" w:cs="仿宋_GB2312"/>
          <w:sz w:val="32"/>
          <w:szCs w:val="32"/>
          <w:lang w:val="en-US" w:eastAsia="zh-CN"/>
        </w:rPr>
        <w:t>2.98万元</w:t>
      </w:r>
      <w:r>
        <w:rPr>
          <w:rFonts w:hint="eastAsia" w:eastAsia="仿宋_GB2312" w:cs="仿宋_GB2312"/>
          <w:sz w:val="32"/>
          <w:szCs w:val="32"/>
        </w:rPr>
        <w:t>、其他工资福利支出</w:t>
      </w:r>
      <w:r>
        <w:rPr>
          <w:rFonts w:hint="eastAsia" w:eastAsia="仿宋_GB2312" w:cs="仿宋_GB2312"/>
          <w:sz w:val="32"/>
          <w:szCs w:val="32"/>
          <w:lang w:val="en-US" w:eastAsia="zh-CN"/>
        </w:rPr>
        <w:t>11.76万元</w:t>
      </w:r>
      <w:r>
        <w:rPr>
          <w:rFonts w:hint="eastAsia" w:eastAsia="仿宋_GB2312" w:cs="仿宋_GB2312"/>
          <w:sz w:val="32"/>
          <w:szCs w:val="32"/>
        </w:rPr>
        <w:t>、抚恤金</w:t>
      </w:r>
      <w:r>
        <w:rPr>
          <w:rFonts w:hint="eastAsia" w:eastAsia="仿宋_GB2312" w:cs="仿宋_GB2312"/>
          <w:sz w:val="32"/>
          <w:szCs w:val="32"/>
          <w:lang w:val="en-US" w:eastAsia="zh-CN"/>
        </w:rPr>
        <w:t>10.31万元</w:t>
      </w:r>
      <w:r>
        <w:rPr>
          <w:rFonts w:hint="eastAsia" w:eastAsia="仿宋_GB2312" w:cs="仿宋_GB2312"/>
          <w:sz w:val="32"/>
          <w:szCs w:val="32"/>
        </w:rPr>
        <w:t>、生活补助</w:t>
      </w:r>
      <w:r>
        <w:rPr>
          <w:rFonts w:hint="eastAsia" w:eastAsia="仿宋_GB2312" w:cs="仿宋_GB2312"/>
          <w:sz w:val="32"/>
          <w:szCs w:val="32"/>
          <w:lang w:val="en-US" w:eastAsia="zh-CN"/>
        </w:rPr>
        <w:t>88.02万元</w:t>
      </w:r>
      <w:r>
        <w:rPr>
          <w:rFonts w:hint="eastAsia" w:eastAsia="仿宋_GB2312" w:cs="仿宋_GB2312"/>
          <w:sz w:val="32"/>
          <w:szCs w:val="32"/>
        </w:rPr>
        <w:t>、医疗费补助</w:t>
      </w:r>
      <w:r>
        <w:rPr>
          <w:rFonts w:hint="eastAsia" w:eastAsia="仿宋_GB2312" w:cs="仿宋_GB2312"/>
          <w:sz w:val="32"/>
          <w:szCs w:val="32"/>
          <w:lang w:val="en-US" w:eastAsia="zh-CN"/>
        </w:rPr>
        <w:t>7.06万元</w:t>
      </w:r>
      <w:r>
        <w:rPr>
          <w:rFonts w:hint="eastAsia" w:eastAsia="仿宋_GB2312" w:cs="仿宋_GB2312"/>
          <w:sz w:val="32"/>
          <w:szCs w:val="32"/>
        </w:rPr>
        <w:t>、奖励金</w:t>
      </w:r>
      <w:r>
        <w:rPr>
          <w:rFonts w:hint="eastAsia" w:eastAsia="仿宋_GB2312" w:cs="仿宋_GB2312"/>
          <w:sz w:val="32"/>
          <w:szCs w:val="32"/>
          <w:lang w:val="en-US" w:eastAsia="zh-CN"/>
        </w:rPr>
        <w:t>0.02万元</w:t>
      </w:r>
      <w:r>
        <w:rPr>
          <w:rFonts w:hint="eastAsia" w:eastAsia="仿宋_GB2312" w:cs="仿宋_GB2312"/>
          <w:sz w:val="32"/>
          <w:szCs w:val="32"/>
        </w:rPr>
        <w:t>、住房公积金</w:t>
      </w:r>
      <w:r>
        <w:rPr>
          <w:rFonts w:hint="eastAsia" w:eastAsia="仿宋_GB2312" w:cs="仿宋_GB2312"/>
          <w:sz w:val="32"/>
          <w:szCs w:val="32"/>
          <w:lang w:val="en-US" w:eastAsia="zh-CN"/>
        </w:rPr>
        <w:t>43.75万元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21.66</w:t>
      </w:r>
      <w:r>
        <w:rPr>
          <w:rFonts w:hint="eastAsia" w:eastAsia="仿宋_GB2312" w:cs="仿宋_GB2312"/>
          <w:sz w:val="32"/>
          <w:szCs w:val="32"/>
        </w:rPr>
        <w:t>万元，主要包括：办公费</w:t>
      </w:r>
      <w:r>
        <w:rPr>
          <w:rFonts w:hint="eastAsia" w:eastAsia="仿宋_GB2312" w:cs="仿宋_GB2312"/>
          <w:sz w:val="32"/>
          <w:szCs w:val="32"/>
          <w:lang w:val="en-US" w:eastAsia="zh-CN"/>
        </w:rPr>
        <w:t>1.3万元</w:t>
      </w:r>
      <w:r>
        <w:rPr>
          <w:rFonts w:hint="eastAsia" w:eastAsia="仿宋_GB2312" w:cs="仿宋_GB2312"/>
          <w:sz w:val="32"/>
          <w:szCs w:val="32"/>
        </w:rPr>
        <w:t>、水费</w:t>
      </w:r>
      <w:r>
        <w:rPr>
          <w:rFonts w:hint="eastAsia" w:eastAsia="仿宋_GB2312" w:cs="仿宋_GB2312"/>
          <w:sz w:val="32"/>
          <w:szCs w:val="32"/>
          <w:lang w:val="en-US" w:eastAsia="zh-CN"/>
        </w:rPr>
        <w:t>1.68万元</w:t>
      </w:r>
      <w:r>
        <w:rPr>
          <w:rFonts w:hint="eastAsia" w:eastAsia="仿宋_GB2312" w:cs="仿宋_GB2312"/>
          <w:sz w:val="32"/>
          <w:szCs w:val="32"/>
        </w:rPr>
        <w:t>、邮电费</w:t>
      </w:r>
      <w:r>
        <w:rPr>
          <w:rFonts w:hint="eastAsia" w:eastAsia="仿宋_GB2312" w:cs="仿宋_GB2312"/>
          <w:sz w:val="32"/>
          <w:szCs w:val="32"/>
          <w:lang w:val="en-US" w:eastAsia="zh-CN"/>
        </w:rPr>
        <w:t>0.48万元</w:t>
      </w:r>
      <w:r>
        <w:rPr>
          <w:rFonts w:hint="eastAsia" w:eastAsia="仿宋_GB2312" w:cs="仿宋_GB2312"/>
          <w:sz w:val="32"/>
          <w:szCs w:val="32"/>
        </w:rPr>
        <w:t>、差旅费</w:t>
      </w:r>
      <w:r>
        <w:rPr>
          <w:rFonts w:hint="eastAsia" w:eastAsia="仿宋_GB2312" w:cs="仿宋_GB2312"/>
          <w:sz w:val="32"/>
          <w:szCs w:val="32"/>
          <w:lang w:val="en-US" w:eastAsia="zh-CN"/>
        </w:rPr>
        <w:t>4.37万元</w:t>
      </w:r>
      <w:r>
        <w:rPr>
          <w:rFonts w:hint="eastAsia" w:eastAsia="仿宋_GB2312" w:cs="仿宋_GB2312"/>
          <w:sz w:val="32"/>
          <w:szCs w:val="32"/>
        </w:rPr>
        <w:t>、培训费</w:t>
      </w:r>
      <w:r>
        <w:rPr>
          <w:rFonts w:hint="eastAsia" w:eastAsia="仿宋_GB2312" w:cs="仿宋_GB2312"/>
          <w:sz w:val="32"/>
          <w:szCs w:val="32"/>
          <w:lang w:val="en-US" w:eastAsia="zh-CN"/>
        </w:rPr>
        <w:t>0.18万元</w:t>
      </w:r>
      <w:r>
        <w:rPr>
          <w:rFonts w:hint="eastAsia" w:eastAsia="仿宋_GB2312" w:cs="仿宋_GB2312"/>
          <w:sz w:val="32"/>
          <w:szCs w:val="32"/>
        </w:rPr>
        <w:t>、公务接待费</w:t>
      </w:r>
      <w:r>
        <w:rPr>
          <w:rFonts w:hint="eastAsia" w:eastAsia="仿宋_GB2312" w:cs="仿宋_GB2312"/>
          <w:sz w:val="32"/>
          <w:szCs w:val="32"/>
          <w:lang w:val="en-US" w:eastAsia="zh-CN"/>
        </w:rPr>
        <w:t>0.04万元</w:t>
      </w:r>
      <w:r>
        <w:rPr>
          <w:rFonts w:hint="eastAsia" w:eastAsia="仿宋_GB2312" w:cs="仿宋_GB2312"/>
          <w:sz w:val="32"/>
          <w:szCs w:val="32"/>
        </w:rPr>
        <w:t>、委托业务费</w:t>
      </w:r>
      <w:r>
        <w:rPr>
          <w:rFonts w:hint="eastAsia" w:eastAsia="仿宋_GB2312" w:cs="仿宋_GB2312"/>
          <w:sz w:val="32"/>
          <w:szCs w:val="32"/>
          <w:lang w:val="en-US" w:eastAsia="zh-CN"/>
        </w:rPr>
        <w:t>2.75万元</w:t>
      </w:r>
      <w:r>
        <w:rPr>
          <w:rFonts w:hint="eastAsia" w:eastAsia="仿宋_GB2312" w:cs="仿宋_GB2312"/>
          <w:sz w:val="32"/>
          <w:szCs w:val="32"/>
        </w:rPr>
        <w:t>、工会经费</w:t>
      </w:r>
      <w:r>
        <w:rPr>
          <w:rFonts w:hint="eastAsia" w:eastAsia="仿宋_GB2312" w:cs="仿宋_GB2312"/>
          <w:sz w:val="32"/>
          <w:szCs w:val="32"/>
          <w:lang w:val="en-US" w:eastAsia="zh-CN"/>
        </w:rPr>
        <w:t>4.8万元</w:t>
      </w:r>
      <w:r>
        <w:rPr>
          <w:rFonts w:hint="eastAsia" w:eastAsia="仿宋_GB2312" w:cs="仿宋_GB2312"/>
          <w:sz w:val="32"/>
          <w:szCs w:val="32"/>
        </w:rPr>
        <w:t>、福利费</w:t>
      </w:r>
      <w:r>
        <w:rPr>
          <w:rFonts w:hint="eastAsia" w:eastAsia="仿宋_GB2312" w:cs="仿宋_GB2312"/>
          <w:sz w:val="32"/>
          <w:szCs w:val="32"/>
          <w:lang w:val="en-US" w:eastAsia="zh-CN"/>
        </w:rPr>
        <w:t>5.04万元</w:t>
      </w:r>
      <w:r>
        <w:rPr>
          <w:rFonts w:hint="eastAsia" w:eastAsia="仿宋_GB2312" w:cs="仿宋_GB2312"/>
          <w:sz w:val="32"/>
          <w:szCs w:val="32"/>
        </w:rPr>
        <w:t>、公务用车运行维护费</w:t>
      </w:r>
      <w:r>
        <w:rPr>
          <w:rFonts w:hint="eastAsia" w:eastAsia="仿宋_GB2312" w:cs="仿宋_GB2312"/>
          <w:sz w:val="32"/>
          <w:szCs w:val="32"/>
          <w:lang w:val="en-US" w:eastAsia="zh-CN"/>
        </w:rPr>
        <w:t>0.96万元</w:t>
      </w:r>
      <w:r>
        <w:rPr>
          <w:rFonts w:hint="eastAsia" w:eastAsia="仿宋_GB2312" w:cs="仿宋_GB2312"/>
          <w:sz w:val="32"/>
          <w:szCs w:val="32"/>
        </w:rPr>
        <w:t>、其他商品和服务支出</w:t>
      </w:r>
      <w:r>
        <w:rPr>
          <w:rFonts w:hint="eastAsia" w:eastAsia="仿宋_GB2312" w:cs="仿宋_GB2312"/>
          <w:sz w:val="32"/>
          <w:szCs w:val="32"/>
          <w:lang w:val="en-US" w:eastAsia="zh-CN"/>
        </w:rPr>
        <w:t>0.06万元</w:t>
      </w:r>
      <w:r>
        <w:rPr>
          <w:rFonts w:hint="eastAsia" w:eastAsia="仿宋_GB2312" w:cs="仿宋_GB2312"/>
          <w:sz w:val="32"/>
          <w:szCs w:val="32"/>
        </w:rPr>
        <w:t>。</w:t>
      </w:r>
    </w:p>
    <w:p w14:paraId="3B693D18">
      <w:pPr>
        <w:spacing w:line="600" w:lineRule="exact"/>
        <w:ind w:firstLine="640"/>
        <w:outlineLvl w:val="1"/>
        <w:rPr>
          <w:rStyle w:val="30"/>
          <w:rFonts w:ascii="Times New Roman" w:hAnsi="Times New Roman" w:eastAsia="黑体"/>
          <w:b w:val="0"/>
        </w:rPr>
      </w:pPr>
      <w:bookmarkStart w:id="69" w:name="_Toc1682113124"/>
      <w:bookmarkStart w:id="70" w:name="_Toc15396609"/>
      <w:bookmarkStart w:id="71" w:name="_Toc748675856"/>
      <w:bookmarkStart w:id="72"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69"/>
      <w:bookmarkEnd w:id="70"/>
      <w:bookmarkEnd w:id="71"/>
      <w:bookmarkEnd w:id="72"/>
    </w:p>
    <w:p w14:paraId="0348B926">
      <w:pPr>
        <w:spacing w:line="600" w:lineRule="exact"/>
        <w:ind w:firstLine="643" w:firstLineChars="200"/>
        <w:outlineLvl w:val="2"/>
        <w:rPr>
          <w:rFonts w:eastAsia="楷体_GB2312" w:cs="楷体_GB2312"/>
          <w:b/>
          <w:sz w:val="32"/>
          <w:szCs w:val="32"/>
        </w:rPr>
      </w:pPr>
      <w:bookmarkStart w:id="73" w:name="_Toc932991421"/>
      <w:bookmarkStart w:id="74" w:name="_Toc15377216"/>
      <w:r>
        <w:rPr>
          <w:rFonts w:hint="eastAsia" w:eastAsia="楷体_GB2312" w:cs="楷体_GB2312"/>
          <w:b/>
          <w:sz w:val="32"/>
          <w:szCs w:val="32"/>
        </w:rPr>
        <w:t>（一）财政拨款“三公”经费支出决算总体情况说明</w:t>
      </w:r>
      <w:bookmarkEnd w:id="73"/>
      <w:bookmarkEnd w:id="74"/>
    </w:p>
    <w:p w14:paraId="30C506B9">
      <w:pPr>
        <w:spacing w:line="600" w:lineRule="exact"/>
        <w:ind w:firstLine="640"/>
        <w:rPr>
          <w:rFonts w:hint="eastAsia" w:eastAsia="仿宋_GB2312" w:cs="仿宋_GB2312"/>
          <w:b/>
          <w:bCs/>
          <w:sz w:val="32"/>
          <w:szCs w:val="32"/>
          <w:lang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w:t>
      </w:r>
      <w:r>
        <w:rPr>
          <w:rFonts w:hint="eastAsia" w:eastAsia="仿宋_GB2312" w:cs="仿宋_GB2312"/>
          <w:sz w:val="32"/>
          <w:szCs w:val="32"/>
          <w:lang w:val="en-US" w:eastAsia="zh-CN"/>
        </w:rPr>
        <w:t>0.57</w:t>
      </w:r>
      <w:r>
        <w:rPr>
          <w:rFonts w:hint="eastAsia" w:eastAsia="仿宋_GB2312" w:cs="仿宋_GB2312"/>
          <w:sz w:val="32"/>
          <w:szCs w:val="32"/>
        </w:rPr>
        <w:t>万元，增长</w:t>
      </w:r>
      <w:r>
        <w:rPr>
          <w:rFonts w:hint="eastAsia" w:eastAsia="仿宋_GB2312" w:cs="仿宋_GB2312"/>
          <w:sz w:val="32"/>
          <w:szCs w:val="32"/>
          <w:lang w:val="en-US" w:eastAsia="zh-CN"/>
        </w:rPr>
        <w:t>132.6</w:t>
      </w:r>
      <w:r>
        <w:rPr>
          <w:rFonts w:hint="eastAsia" w:eastAsia="仿宋_GB2312" w:cs="仿宋_GB2312"/>
          <w:sz w:val="32"/>
          <w:szCs w:val="32"/>
        </w:rPr>
        <w:t>%。决算数小于预算数的主要原因是</w:t>
      </w:r>
      <w:r>
        <w:rPr>
          <w:rFonts w:hint="default" w:eastAsia="仿宋_GB2312" w:cs="仿宋_GB2312"/>
          <w:sz w:val="32"/>
          <w:szCs w:val="32"/>
        </w:rPr>
        <w:t>按照要求“三公”经费进一步压缩</w:t>
      </w:r>
      <w:r>
        <w:rPr>
          <w:rFonts w:hint="eastAsia" w:eastAsia="仿宋_GB2312" w:cs="仿宋_GB2312"/>
          <w:sz w:val="32"/>
          <w:szCs w:val="32"/>
          <w:lang w:eastAsia="zh-CN"/>
        </w:rPr>
        <w:t>。</w:t>
      </w:r>
    </w:p>
    <w:p w14:paraId="7B663ECC">
      <w:pPr>
        <w:spacing w:line="600" w:lineRule="exact"/>
        <w:ind w:firstLine="643" w:firstLineChars="200"/>
        <w:outlineLvl w:val="2"/>
        <w:rPr>
          <w:rFonts w:eastAsia="楷体_GB2312" w:cs="楷体_GB2312"/>
          <w:b/>
          <w:sz w:val="32"/>
          <w:szCs w:val="32"/>
        </w:rPr>
      </w:pPr>
      <w:bookmarkStart w:id="75" w:name="_Toc462139557"/>
      <w:bookmarkStart w:id="76" w:name="_Toc15377217"/>
      <w:r>
        <w:rPr>
          <w:rFonts w:hint="eastAsia" w:eastAsia="楷体_GB2312" w:cs="楷体_GB2312"/>
          <w:b/>
          <w:sz w:val="32"/>
          <w:szCs w:val="32"/>
        </w:rPr>
        <w:t>（二）财政拨款“三公”经费支出决算具体情况说明</w:t>
      </w:r>
      <w:bookmarkEnd w:id="75"/>
      <w:bookmarkEnd w:id="76"/>
    </w:p>
    <w:p w14:paraId="3A516DA9">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0.96</w:t>
      </w:r>
      <w:r>
        <w:rPr>
          <w:rFonts w:hint="eastAsia" w:eastAsia="仿宋_GB2312" w:cs="仿宋_GB2312"/>
          <w:sz w:val="32"/>
          <w:szCs w:val="32"/>
        </w:rPr>
        <w:t>万元，占</w:t>
      </w:r>
      <w:r>
        <w:rPr>
          <w:rFonts w:hint="eastAsia" w:eastAsia="仿宋_GB2312" w:cs="仿宋_GB2312"/>
          <w:sz w:val="32"/>
          <w:szCs w:val="32"/>
          <w:lang w:val="en-US" w:eastAsia="zh-CN"/>
        </w:rPr>
        <w:t>96</w:t>
      </w:r>
      <w:r>
        <w:rPr>
          <w:rFonts w:hint="eastAsia" w:eastAsia="仿宋_GB2312" w:cs="仿宋_GB2312"/>
          <w:sz w:val="32"/>
          <w:szCs w:val="32"/>
        </w:rPr>
        <w:t>%；公务接待费支出决算</w:t>
      </w:r>
      <w:r>
        <w:rPr>
          <w:rFonts w:hint="eastAsia" w:eastAsia="仿宋_GB2312" w:cs="仿宋_GB2312"/>
          <w:sz w:val="32"/>
          <w:szCs w:val="32"/>
          <w:lang w:val="en-US" w:eastAsia="zh-CN"/>
        </w:rPr>
        <w:t>0.04</w:t>
      </w:r>
      <w:r>
        <w:rPr>
          <w:rFonts w:hint="eastAsia" w:eastAsia="仿宋_GB2312" w:cs="仿宋_GB2312"/>
          <w:sz w:val="32"/>
          <w:szCs w:val="32"/>
        </w:rPr>
        <w:t>万元，占</w:t>
      </w:r>
      <w:r>
        <w:rPr>
          <w:rFonts w:hint="eastAsia" w:eastAsia="仿宋_GB2312" w:cs="仿宋_GB2312"/>
          <w:sz w:val="32"/>
          <w:szCs w:val="32"/>
          <w:lang w:val="en-US" w:eastAsia="zh-CN"/>
        </w:rPr>
        <w:t>4</w:t>
      </w:r>
      <w:r>
        <w:rPr>
          <w:rFonts w:hint="eastAsia" w:eastAsia="仿宋_GB2312" w:cs="仿宋_GB2312"/>
          <w:sz w:val="32"/>
          <w:szCs w:val="32"/>
        </w:rPr>
        <w:t>%。具体情况如下</w:t>
      </w:r>
      <w:r>
        <w:rPr>
          <w:rFonts w:hint="eastAsia" w:eastAsia="仿宋_GB2312" w:cs="仿宋_GB2312"/>
          <w:sz w:val="32"/>
          <w:szCs w:val="32"/>
          <w:lang w:eastAsia="zh-CN"/>
        </w:rPr>
        <w:t>：</w:t>
      </w:r>
    </w:p>
    <w:p w14:paraId="660CE2DF">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eastAsia="zh-CN"/>
        </w:rPr>
        <w:drawing>
          <wp:anchor distT="0" distB="0" distL="114300" distR="114300" simplePos="0" relativeHeight="251664384" behindDoc="1" locked="0" layoutInCell="1" allowOverlap="1">
            <wp:simplePos x="0" y="0"/>
            <wp:positionH relativeFrom="column">
              <wp:posOffset>166370</wp:posOffset>
            </wp:positionH>
            <wp:positionV relativeFrom="paragraph">
              <wp:posOffset>363220</wp:posOffset>
            </wp:positionV>
            <wp:extent cx="5199380" cy="2331720"/>
            <wp:effectExtent l="4445" t="4445" r="15875" b="6985"/>
            <wp:wrapTight wrapText="bothSides">
              <wp:wrapPolygon>
                <wp:start x="-18" y="-41"/>
                <wp:lineTo x="-18" y="21488"/>
                <wp:lineTo x="21508" y="21488"/>
                <wp:lineTo x="21508" y="-41"/>
                <wp:lineTo x="-18" y="-41"/>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201C328">
      <w:pPr>
        <w:spacing w:line="600" w:lineRule="exact"/>
        <w:rPr>
          <w:rFonts w:hint="eastAsia" w:eastAsia="仿宋_GB2312" w:cs="仿宋_GB2312"/>
          <w:sz w:val="32"/>
          <w:szCs w:val="32"/>
        </w:rPr>
      </w:pPr>
      <w:r>
        <w:rPr>
          <w:rFonts w:hint="eastAsia" w:eastAsia="仿宋_GB2312" w:cs="仿宋_GB2312"/>
          <w:sz w:val="32"/>
          <w:szCs w:val="32"/>
          <w:lang w:eastAsia="zh-CN"/>
        </w:rPr>
        <w:t>　　　</w:t>
      </w:r>
      <w:r>
        <w:rPr>
          <w:rFonts w:hint="eastAsia" w:eastAsia="仿宋_GB2312" w:cs="仿宋_GB2312"/>
          <w:sz w:val="32"/>
          <w:szCs w:val="32"/>
        </w:rPr>
        <w:t>（图7：财政拨款“三公”经费支出结构）</w:t>
      </w:r>
    </w:p>
    <w:p w14:paraId="79651244">
      <w:pPr>
        <w:spacing w:line="600" w:lineRule="exact"/>
        <w:rPr>
          <w:rFonts w:hint="eastAsia" w:eastAsia="仿宋_GB2312" w:cs="仿宋_GB2312"/>
          <w:sz w:val="32"/>
          <w:szCs w:val="32"/>
        </w:rPr>
      </w:pPr>
    </w:p>
    <w:p w14:paraId="3DDE1A0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rPr>
      </w:pPr>
      <w:r>
        <w:rPr>
          <w:rFonts w:hint="eastAsia" w:eastAsia="仿宋_GB2312" w:cs="仿宋_GB2312"/>
          <w:b/>
          <w:bCs/>
          <w:sz w:val="32"/>
          <w:szCs w:val="32"/>
          <w:lang w:eastAsia="zh-CN"/>
        </w:rPr>
        <w:t>　　</w:t>
      </w:r>
      <w:r>
        <w:rPr>
          <w:rFonts w:hint="eastAsia" w:eastAsia="仿宋_GB2312" w:cs="仿宋_GB2312"/>
          <w:b/>
          <w:bCs/>
          <w:sz w:val="32"/>
          <w:szCs w:val="32"/>
        </w:rPr>
        <w:t>1.因公出国（境）经费支出</w:t>
      </w:r>
      <w:r>
        <w:rPr>
          <w:rFonts w:hint="eastAsia" w:eastAsia="仿宋_GB2312" w:cs="仿宋_GB2312"/>
          <w:b/>
          <w:bCs/>
          <w:sz w:val="32"/>
          <w:szCs w:val="32"/>
          <w:lang w:eastAsia="zh-CN"/>
        </w:rPr>
        <w:t>0</w:t>
      </w:r>
      <w:r>
        <w:rPr>
          <w:rFonts w:hint="eastAsia" w:eastAsia="仿宋_GB2312" w:cs="仿宋_GB2312"/>
          <w:b/>
          <w:bCs/>
          <w:sz w:val="32"/>
          <w:szCs w:val="32"/>
        </w:rPr>
        <w:t>万元，完成预算</w:t>
      </w:r>
      <w:r>
        <w:rPr>
          <w:rFonts w:hint="eastAsia" w:eastAsia="仿宋_GB2312" w:cs="仿宋_GB2312"/>
          <w:b/>
          <w:bCs/>
          <w:sz w:val="32"/>
          <w:szCs w:val="32"/>
          <w:lang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r>
        <w:rPr>
          <w:rFonts w:hint="default" w:eastAsia="仿宋_GB2312" w:cs="仿宋_GB2312"/>
          <w:sz w:val="32"/>
          <w:szCs w:val="32"/>
        </w:rPr>
        <w:t>因公出国（境）支出决算与202</w:t>
      </w:r>
      <w:r>
        <w:rPr>
          <w:rFonts w:hint="eastAsia" w:eastAsia="仿宋_GB2312" w:cs="仿宋_GB2312"/>
          <w:sz w:val="32"/>
          <w:szCs w:val="32"/>
          <w:lang w:val="en-US" w:eastAsia="zh-CN"/>
        </w:rPr>
        <w:t>4</w:t>
      </w:r>
      <w:r>
        <w:rPr>
          <w:rFonts w:hint="default" w:eastAsia="仿宋_GB2312" w:cs="仿宋_GB2312"/>
          <w:sz w:val="32"/>
          <w:szCs w:val="32"/>
        </w:rPr>
        <w:t>年</w:t>
      </w:r>
      <w:r>
        <w:rPr>
          <w:rFonts w:hint="eastAsia" w:eastAsia="仿宋_GB2312" w:cs="仿宋_GB2312"/>
          <w:sz w:val="32"/>
          <w:szCs w:val="32"/>
          <w:lang w:eastAsia="zh-CN"/>
        </w:rPr>
        <w:t>度</w:t>
      </w:r>
      <w:r>
        <w:rPr>
          <w:rFonts w:hint="default" w:eastAsia="仿宋_GB2312" w:cs="仿宋_GB2312"/>
          <w:sz w:val="32"/>
          <w:szCs w:val="32"/>
        </w:rPr>
        <w:t>持平。</w:t>
      </w:r>
    </w:p>
    <w:p w14:paraId="1F980905">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开支内容包括：</w:t>
      </w:r>
      <w:r>
        <w:rPr>
          <w:rFonts w:hint="eastAsia" w:eastAsia="仿宋_GB2312" w:cs="仿宋_GB2312"/>
          <w:sz w:val="32"/>
          <w:szCs w:val="32"/>
          <w:lang w:eastAsia="zh-CN"/>
        </w:rPr>
        <w:t>无。</w:t>
      </w:r>
    </w:p>
    <w:p w14:paraId="0897EDD7">
      <w:pPr>
        <w:numPr>
          <w:ilvl w:val="0"/>
          <w:numId w:val="3"/>
        </w:num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公务用车购置及运行维护费支出</w:t>
      </w:r>
      <w:r>
        <w:rPr>
          <w:rFonts w:hint="eastAsia" w:eastAsia="仿宋_GB2312" w:cs="仿宋_GB2312"/>
          <w:b/>
          <w:bCs/>
          <w:sz w:val="32"/>
          <w:szCs w:val="32"/>
          <w:lang w:val="en-US" w:eastAsia="zh-CN"/>
        </w:rPr>
        <w:t>0.96</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w:t>
      </w:r>
      <w:r>
        <w:rPr>
          <w:rFonts w:hint="eastAsia" w:eastAsia="仿宋_GB2312" w:cs="仿宋_GB2312"/>
          <w:sz w:val="32"/>
          <w:szCs w:val="32"/>
          <w:lang w:val="en-US" w:eastAsia="zh-CN"/>
        </w:rPr>
        <w:t>0.53</w:t>
      </w:r>
      <w:r>
        <w:rPr>
          <w:rFonts w:hint="eastAsia" w:eastAsia="仿宋_GB2312" w:cs="仿宋_GB2312"/>
          <w:sz w:val="32"/>
          <w:szCs w:val="32"/>
        </w:rPr>
        <w:t>万元，增长</w:t>
      </w:r>
      <w:r>
        <w:rPr>
          <w:rFonts w:hint="eastAsia" w:eastAsia="仿宋_GB2312" w:cs="仿宋_GB2312"/>
          <w:sz w:val="32"/>
          <w:szCs w:val="32"/>
          <w:lang w:val="en-US" w:eastAsia="zh-CN"/>
        </w:rPr>
        <w:t>123.3</w:t>
      </w:r>
      <w:r>
        <w:rPr>
          <w:rFonts w:hint="eastAsia" w:eastAsia="仿宋_GB2312" w:cs="仿宋_GB2312"/>
          <w:sz w:val="32"/>
          <w:szCs w:val="32"/>
        </w:rPr>
        <w:t>%。主要原因是</w:t>
      </w:r>
      <w:r>
        <w:rPr>
          <w:rFonts w:hint="eastAsia" w:eastAsia="仿宋_GB2312" w:cs="仿宋_GB2312"/>
          <w:sz w:val="32"/>
          <w:szCs w:val="32"/>
          <w:lang w:val="en-US" w:eastAsia="zh-CN"/>
        </w:rPr>
        <w:t>2025年度业务活动增加，下乡业务指导次数增加，导致公务用车运行费增加。</w:t>
      </w:r>
    </w:p>
    <w:p w14:paraId="6E5AB05E">
      <w:pPr>
        <w:numPr>
          <w:ilvl w:val="0"/>
          <w:numId w:val="0"/>
        </w:numPr>
        <w:spacing w:line="600" w:lineRule="exact"/>
        <w:rPr>
          <w:rFonts w:eastAsia="仿宋_GB2312" w:cs="仿宋_GB2312"/>
          <w:sz w:val="32"/>
          <w:szCs w:val="32"/>
        </w:rPr>
      </w:pPr>
      <w:r>
        <w:rPr>
          <w:rFonts w:hint="eastAsia" w:eastAsia="仿宋_GB2312" w:cs="仿宋_GB2312"/>
          <w:sz w:val="32"/>
          <w:szCs w:val="32"/>
          <w:lang w:eastAsia="zh-CN"/>
        </w:rPr>
        <w:t>　　</w:t>
      </w:r>
      <w:r>
        <w:rPr>
          <w:rFonts w:hint="eastAsia" w:eastAsia="仿宋_GB2312" w:cs="仿宋_GB2312"/>
          <w:sz w:val="32"/>
          <w:szCs w:val="32"/>
        </w:rPr>
        <w:t>其中：公务用车购置支出</w:t>
      </w:r>
      <w:r>
        <w:rPr>
          <w:rFonts w:hint="eastAsia" w:eastAsia="仿宋_GB2312" w:cs="仿宋_GB2312"/>
          <w:sz w:val="32"/>
          <w:szCs w:val="32"/>
          <w:lang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eastAsia="zh-CN"/>
        </w:rPr>
        <w:t>0</w:t>
      </w:r>
      <w:r>
        <w:rPr>
          <w:rFonts w:hint="eastAsia" w:eastAsia="仿宋_GB2312" w:cs="仿宋_GB2312"/>
          <w:sz w:val="32"/>
          <w:szCs w:val="32"/>
        </w:rPr>
        <w:t>辆，其中：轿车</w:t>
      </w:r>
      <w:r>
        <w:rPr>
          <w:rFonts w:hint="eastAsia" w:eastAsia="仿宋_GB2312" w:cs="仿宋_GB2312"/>
          <w:sz w:val="32"/>
          <w:szCs w:val="32"/>
          <w:lang w:eastAsia="zh-CN"/>
        </w:rPr>
        <w:t>0</w:t>
      </w:r>
      <w:r>
        <w:rPr>
          <w:rFonts w:hint="eastAsia" w:eastAsia="仿宋_GB2312" w:cs="仿宋_GB2312"/>
          <w:sz w:val="32"/>
          <w:szCs w:val="32"/>
        </w:rPr>
        <w:t>辆、金额</w:t>
      </w:r>
      <w:r>
        <w:rPr>
          <w:rFonts w:hint="eastAsia" w:eastAsia="仿宋_GB2312" w:cs="仿宋_GB2312"/>
          <w:sz w:val="32"/>
          <w:szCs w:val="32"/>
          <w:lang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eastAsia="zh-CN"/>
        </w:rPr>
        <w:t>0</w:t>
      </w:r>
      <w:r>
        <w:rPr>
          <w:rFonts w:hint="eastAsia" w:eastAsia="仿宋_GB2312" w:cs="仿宋_GB2312"/>
          <w:sz w:val="32"/>
          <w:szCs w:val="32"/>
        </w:rPr>
        <w:t>辆、金额</w:t>
      </w:r>
      <w:r>
        <w:rPr>
          <w:rFonts w:hint="eastAsia" w:eastAsia="仿宋_GB2312" w:cs="仿宋_GB2312"/>
          <w:sz w:val="32"/>
          <w:szCs w:val="32"/>
          <w:lang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445DD8BC">
      <w:pPr>
        <w:spacing w:line="600" w:lineRule="exact"/>
        <w:ind w:firstLine="640"/>
        <w:rPr>
          <w:rFonts w:hint="eastAsia"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0.96</w:t>
      </w:r>
      <w:r>
        <w:rPr>
          <w:rFonts w:hint="eastAsia" w:eastAsia="仿宋_GB2312" w:cs="仿宋_GB2312"/>
          <w:sz w:val="32"/>
          <w:szCs w:val="32"/>
        </w:rPr>
        <w:t>万元。主要用于</w:t>
      </w:r>
      <w:r>
        <w:rPr>
          <w:rFonts w:hint="default" w:eastAsia="仿宋_GB2312" w:cs="仿宋_GB2312"/>
          <w:sz w:val="32"/>
          <w:szCs w:val="32"/>
        </w:rPr>
        <w:t>下乡业务指导</w:t>
      </w:r>
      <w:r>
        <w:rPr>
          <w:rFonts w:hint="eastAsia" w:eastAsia="仿宋_GB2312" w:cs="仿宋_GB2312"/>
          <w:sz w:val="32"/>
          <w:szCs w:val="32"/>
          <w:lang w:eastAsia="zh-CN"/>
        </w:rPr>
        <w:t>及业务活动开展</w:t>
      </w:r>
      <w:r>
        <w:rPr>
          <w:rFonts w:hint="default" w:eastAsia="仿宋_GB2312" w:cs="仿宋_GB2312"/>
          <w:sz w:val="32"/>
          <w:szCs w:val="32"/>
        </w:rPr>
        <w:t>等所需的公务用车燃料费、维修费、过路过桥费、保险费等支出</w:t>
      </w:r>
      <w:r>
        <w:rPr>
          <w:rFonts w:hint="eastAsia" w:eastAsia="仿宋_GB2312" w:cs="仿宋_GB2312"/>
          <w:sz w:val="32"/>
          <w:szCs w:val="32"/>
        </w:rPr>
        <w:t>。</w:t>
      </w:r>
    </w:p>
    <w:p w14:paraId="6256498D">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0.04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0.04</w:t>
      </w:r>
      <w:r>
        <w:rPr>
          <w:rFonts w:hint="eastAsia" w:eastAsia="仿宋_GB2312" w:cs="仿宋_GB2312"/>
          <w:sz w:val="32"/>
          <w:szCs w:val="32"/>
        </w:rPr>
        <w:t>万元，增长</w:t>
      </w:r>
      <w:r>
        <w:rPr>
          <w:rFonts w:hint="eastAsia" w:eastAsia="仿宋_GB2312" w:cs="仿宋_GB2312"/>
          <w:sz w:val="32"/>
          <w:szCs w:val="32"/>
          <w:lang w:val="en-US" w:eastAsia="zh-CN"/>
        </w:rPr>
        <w:t>100</w:t>
      </w:r>
      <w:r>
        <w:rPr>
          <w:rFonts w:hint="eastAsia" w:eastAsia="仿宋_GB2312" w:cs="仿宋_GB2312"/>
          <w:sz w:val="32"/>
          <w:szCs w:val="32"/>
        </w:rPr>
        <w:t>%。主要原因是</w:t>
      </w:r>
      <w:r>
        <w:rPr>
          <w:rFonts w:hint="eastAsia" w:eastAsia="仿宋_GB2312" w:cs="仿宋_GB2312"/>
          <w:sz w:val="32"/>
          <w:szCs w:val="32"/>
          <w:lang w:eastAsia="zh-CN"/>
        </w:rPr>
        <w:t>四川广电7人来攀枝花市图书馆调研产生的接待费支出</w:t>
      </w:r>
      <w:r>
        <w:rPr>
          <w:rFonts w:hint="eastAsia" w:eastAsia="仿宋_GB2312" w:cs="仿宋_GB2312"/>
          <w:sz w:val="32"/>
          <w:szCs w:val="32"/>
        </w:rPr>
        <w:t>。其中：</w:t>
      </w:r>
    </w:p>
    <w:p w14:paraId="03D455DD">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0.04</w:t>
      </w:r>
      <w:r>
        <w:rPr>
          <w:rFonts w:hint="eastAsia" w:eastAsia="仿宋_GB2312" w:cs="仿宋_GB2312"/>
          <w:sz w:val="32"/>
          <w:szCs w:val="32"/>
        </w:rPr>
        <w:t>万元，主要用于</w:t>
      </w:r>
      <w:r>
        <w:rPr>
          <w:rFonts w:hint="eastAsia" w:eastAsia="仿宋_GB2312" w:cs="仿宋_GB2312"/>
          <w:sz w:val="32"/>
          <w:szCs w:val="32"/>
          <w:lang w:eastAsia="zh-CN"/>
        </w:rPr>
        <w:t>四川广电7人来攀枝花市图书馆调研产生</w:t>
      </w:r>
      <w:r>
        <w:rPr>
          <w:rFonts w:hint="eastAsia" w:eastAsia="仿宋_GB2312" w:cs="仿宋_GB2312"/>
          <w:sz w:val="32"/>
          <w:szCs w:val="32"/>
        </w:rPr>
        <w:t>的用餐费。国内公务接待</w:t>
      </w:r>
      <w:r>
        <w:rPr>
          <w:rFonts w:hint="eastAsia" w:eastAsia="仿宋_GB2312" w:cs="仿宋_GB2312"/>
          <w:sz w:val="32"/>
          <w:szCs w:val="32"/>
          <w:lang w:val="en-US" w:eastAsia="zh-CN"/>
        </w:rPr>
        <w:t>1</w:t>
      </w:r>
      <w:r>
        <w:rPr>
          <w:rFonts w:hint="eastAsia" w:eastAsia="仿宋_GB2312" w:cs="仿宋_GB2312"/>
          <w:sz w:val="32"/>
          <w:szCs w:val="32"/>
        </w:rPr>
        <w:t>批次，</w:t>
      </w:r>
      <w:r>
        <w:rPr>
          <w:rFonts w:hint="eastAsia" w:eastAsia="仿宋_GB2312" w:cs="仿宋_GB2312"/>
          <w:sz w:val="32"/>
          <w:szCs w:val="32"/>
          <w:lang w:val="en-US" w:eastAsia="zh-CN"/>
        </w:rPr>
        <w:t>7</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0.04</w:t>
      </w:r>
      <w:r>
        <w:rPr>
          <w:rFonts w:hint="eastAsia" w:eastAsia="仿宋_GB2312" w:cs="仿宋_GB2312"/>
          <w:sz w:val="32"/>
          <w:szCs w:val="32"/>
        </w:rPr>
        <w:t>万元，具体内容包括：</w:t>
      </w:r>
      <w:r>
        <w:rPr>
          <w:rFonts w:hint="eastAsia" w:eastAsia="仿宋_GB2312" w:cs="仿宋_GB2312"/>
          <w:sz w:val="32"/>
          <w:szCs w:val="32"/>
          <w:lang w:eastAsia="zh-CN"/>
        </w:rPr>
        <w:t>四川广电7人来攀枝花市图书馆调研产生</w:t>
      </w:r>
      <w:r>
        <w:rPr>
          <w:rFonts w:hint="eastAsia" w:eastAsia="仿宋_GB2312" w:cs="仿宋_GB2312"/>
          <w:sz w:val="32"/>
          <w:szCs w:val="32"/>
        </w:rPr>
        <w:t>的用餐费</w:t>
      </w:r>
      <w:r>
        <w:rPr>
          <w:rFonts w:hint="eastAsia" w:eastAsia="仿宋_GB2312" w:cs="仿宋_GB2312"/>
          <w:sz w:val="32"/>
          <w:szCs w:val="32"/>
          <w:lang w:val="en-US" w:eastAsia="zh-CN"/>
        </w:rPr>
        <w:t>0.04万元</w:t>
      </w:r>
      <w:r>
        <w:rPr>
          <w:rFonts w:hint="eastAsia" w:eastAsia="仿宋_GB2312" w:cs="仿宋_GB2312"/>
          <w:sz w:val="32"/>
          <w:szCs w:val="32"/>
        </w:rPr>
        <w:t>。</w:t>
      </w:r>
    </w:p>
    <w:p w14:paraId="65E43859">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eastAsia="zh-CN"/>
        </w:rPr>
        <w:t>0</w:t>
      </w:r>
      <w:r>
        <w:rPr>
          <w:rFonts w:hint="eastAsia" w:eastAsia="仿宋_GB2312" w:cs="仿宋_GB2312"/>
          <w:sz w:val="32"/>
          <w:szCs w:val="32"/>
        </w:rPr>
        <w:t>万元。外事接待</w:t>
      </w:r>
      <w:r>
        <w:rPr>
          <w:rFonts w:hint="eastAsia" w:eastAsia="仿宋_GB2312" w:cs="仿宋_GB2312"/>
          <w:sz w:val="32"/>
          <w:szCs w:val="32"/>
          <w:lang w:eastAsia="zh-CN"/>
        </w:rPr>
        <w:t>0</w:t>
      </w:r>
      <w:r>
        <w:rPr>
          <w:rFonts w:hint="eastAsia" w:eastAsia="仿宋_GB2312" w:cs="仿宋_GB2312"/>
          <w:sz w:val="32"/>
          <w:szCs w:val="32"/>
        </w:rPr>
        <w:t>批次，</w:t>
      </w:r>
      <w:r>
        <w:rPr>
          <w:rFonts w:hint="eastAsia" w:eastAsia="仿宋_GB2312" w:cs="仿宋_GB2312"/>
          <w:sz w:val="32"/>
          <w:szCs w:val="32"/>
          <w:lang w:eastAsia="zh-CN"/>
        </w:rPr>
        <w:t>0</w:t>
      </w:r>
      <w:r>
        <w:rPr>
          <w:rFonts w:hint="eastAsia" w:eastAsia="仿宋_GB2312" w:cs="仿宋_GB2312"/>
          <w:sz w:val="32"/>
          <w:szCs w:val="32"/>
        </w:rPr>
        <w:t>人次（不包括陪同人员）。</w:t>
      </w:r>
      <w:bookmarkStart w:id="77" w:name="_Toc15396610"/>
      <w:bookmarkStart w:id="78" w:name="_Toc15377218"/>
    </w:p>
    <w:p w14:paraId="08B1B611">
      <w:pPr>
        <w:spacing w:line="600" w:lineRule="exact"/>
        <w:ind w:firstLine="640"/>
        <w:outlineLvl w:val="1"/>
        <w:rPr>
          <w:rStyle w:val="30"/>
          <w:rFonts w:ascii="Times New Roman" w:hAnsi="Times New Roman" w:eastAsia="黑体"/>
        </w:rPr>
      </w:pPr>
      <w:bookmarkStart w:id="79" w:name="_Toc1329935535"/>
      <w:bookmarkStart w:id="80" w:name="_Toc2136621704"/>
      <w:r>
        <w:rPr>
          <w:rFonts w:hint="eastAsia" w:eastAsia="黑体"/>
          <w:sz w:val="32"/>
          <w:szCs w:val="32"/>
        </w:rPr>
        <w:t>八、</w:t>
      </w:r>
      <w:r>
        <w:rPr>
          <w:rStyle w:val="30"/>
          <w:rFonts w:hint="eastAsia" w:ascii="Times New Roman" w:hAnsi="Times New Roman" w:eastAsia="黑体"/>
          <w:b w:val="0"/>
        </w:rPr>
        <w:t>政府性基金预算支出决算情况说明</w:t>
      </w:r>
      <w:bookmarkEnd w:id="77"/>
      <w:bookmarkEnd w:id="78"/>
      <w:bookmarkEnd w:id="79"/>
      <w:bookmarkEnd w:id="80"/>
    </w:p>
    <w:p w14:paraId="5BEF15F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eastAsia="仿宋_GB2312" w:cs="仿宋_GB2312"/>
          <w:sz w:val="32"/>
          <w:szCs w:val="32"/>
        </w:rPr>
      </w:pPr>
      <w:r>
        <w:rPr>
          <w:rFonts w:hint="eastAsia" w:eastAsia="仿宋_GB2312" w:cs="仿宋_GB2312"/>
          <w:kern w:val="2"/>
          <w:sz w:val="32"/>
          <w:szCs w:val="32"/>
          <w:lang w:val="en-US" w:eastAsia="zh-CN" w:bidi="ar-SA"/>
        </w:rPr>
        <w:t>　　</w:t>
      </w:r>
      <w:r>
        <w:rPr>
          <w:rFonts w:hint="default" w:ascii="Times New Roman" w:hAnsi="Times New Roman" w:eastAsia="仿宋_GB2312" w:cs="仿宋_GB2312"/>
          <w:kern w:val="2"/>
          <w:sz w:val="32"/>
          <w:szCs w:val="32"/>
          <w:lang w:val="en-US" w:eastAsia="zh-CN" w:bidi="ar-SA"/>
        </w:rPr>
        <w:t>202</w:t>
      </w:r>
      <w:r>
        <w:rPr>
          <w:rFonts w:hint="eastAsia" w:ascii="Times New Roman" w:hAnsi="Times New Roman" w:eastAsia="仿宋_GB2312" w:cs="仿宋_GB2312"/>
          <w:kern w:val="2"/>
          <w:sz w:val="32"/>
          <w:szCs w:val="32"/>
          <w:lang w:val="en-US" w:eastAsia="zh-CN" w:bidi="ar-SA"/>
        </w:rPr>
        <w:t>5</w:t>
      </w:r>
      <w:r>
        <w:rPr>
          <w:rFonts w:hint="default" w:ascii="Times New Roman" w:hAnsi="Times New Roman" w:eastAsia="仿宋_GB2312" w:cs="仿宋_GB2312"/>
          <w:kern w:val="2"/>
          <w:sz w:val="32"/>
          <w:szCs w:val="32"/>
          <w:lang w:val="en-US" w:eastAsia="zh-CN" w:bidi="ar-SA"/>
        </w:rPr>
        <w:t>年度政府性基金预算财政拨款支出0万元。</w:t>
      </w:r>
    </w:p>
    <w:p w14:paraId="6F843890">
      <w:pPr>
        <w:spacing w:line="600" w:lineRule="exact"/>
        <w:ind w:left="630"/>
        <w:outlineLvl w:val="1"/>
        <w:rPr>
          <w:rStyle w:val="30"/>
          <w:rFonts w:ascii="Times New Roman" w:hAnsi="Times New Roman" w:eastAsia="黑体"/>
          <w:b w:val="0"/>
        </w:rPr>
      </w:pPr>
      <w:bookmarkStart w:id="81" w:name="_Toc15396611"/>
      <w:bookmarkStart w:id="82" w:name="_Toc1753152885"/>
      <w:bookmarkStart w:id="83" w:name="_Toc313058641"/>
      <w:bookmarkStart w:id="84" w:name="_Toc15377219"/>
      <w:r>
        <w:rPr>
          <w:rStyle w:val="30"/>
          <w:rFonts w:hint="eastAsia" w:ascii="Times New Roman" w:hAnsi="Times New Roman" w:eastAsia="黑体"/>
          <w:b w:val="0"/>
        </w:rPr>
        <w:t>九、国有资本经营预算支出决算情况说明</w:t>
      </w:r>
      <w:bookmarkEnd w:id="81"/>
      <w:bookmarkEnd w:id="82"/>
      <w:bookmarkEnd w:id="83"/>
      <w:bookmarkEnd w:id="84"/>
    </w:p>
    <w:p w14:paraId="551DA49E">
      <w:pPr>
        <w:spacing w:line="600" w:lineRule="exact"/>
        <w:rPr>
          <w:rFonts w:hint="default" w:ascii="Times New Roman" w:hAnsi="Times New Roman" w:eastAsia="仿宋_GB2312" w:cs="仿宋_GB2312"/>
          <w:kern w:val="2"/>
          <w:sz w:val="32"/>
          <w:szCs w:val="32"/>
          <w:lang w:val="en-US" w:eastAsia="zh-CN" w:bidi="ar-SA"/>
        </w:rPr>
      </w:pPr>
      <w:r>
        <w:rPr>
          <w:rFonts w:hint="eastAsia" w:ascii="微软雅黑" w:hAnsi="微软雅黑" w:eastAsia="微软雅黑" w:cs="微软雅黑"/>
          <w:i w:val="0"/>
          <w:iCs w:val="0"/>
          <w:caps w:val="0"/>
          <w:color w:val="555559"/>
          <w:spacing w:val="0"/>
          <w:sz w:val="30"/>
          <w:szCs w:val="30"/>
          <w:lang w:eastAsia="zh-CN"/>
        </w:rPr>
        <w:t>　　</w:t>
      </w:r>
      <w:r>
        <w:rPr>
          <w:rFonts w:hint="default" w:ascii="微软雅黑" w:hAnsi="微软雅黑" w:eastAsia="微软雅黑" w:cs="微软雅黑"/>
          <w:i w:val="0"/>
          <w:iCs w:val="0"/>
          <w:caps w:val="0"/>
          <w:color w:val="555559"/>
          <w:spacing w:val="0"/>
          <w:sz w:val="30"/>
          <w:szCs w:val="30"/>
        </w:rPr>
        <w:t> </w:t>
      </w:r>
      <w:r>
        <w:rPr>
          <w:rFonts w:hint="default" w:ascii="Times New Roman" w:hAnsi="Times New Roman" w:eastAsia="仿宋_GB2312" w:cs="仿宋_GB2312"/>
          <w:kern w:val="2"/>
          <w:sz w:val="32"/>
          <w:szCs w:val="32"/>
          <w:lang w:val="en-US" w:eastAsia="zh-CN" w:bidi="ar-SA"/>
        </w:rPr>
        <w:t>202</w:t>
      </w:r>
      <w:r>
        <w:rPr>
          <w:rFonts w:hint="eastAsia" w:eastAsia="仿宋_GB2312" w:cs="仿宋_GB2312"/>
          <w:kern w:val="2"/>
          <w:sz w:val="32"/>
          <w:szCs w:val="32"/>
          <w:lang w:val="en-US" w:eastAsia="zh-CN" w:bidi="ar-SA"/>
        </w:rPr>
        <w:t>5</w:t>
      </w:r>
      <w:r>
        <w:rPr>
          <w:rFonts w:hint="default" w:ascii="Times New Roman" w:hAnsi="Times New Roman" w:eastAsia="仿宋_GB2312" w:cs="仿宋_GB2312"/>
          <w:kern w:val="2"/>
          <w:sz w:val="32"/>
          <w:szCs w:val="32"/>
          <w:lang w:val="en-US" w:eastAsia="zh-CN" w:bidi="ar-SA"/>
        </w:rPr>
        <w:t>年度国有资本经营预算财政拨款支出0万元。</w:t>
      </w:r>
    </w:p>
    <w:p w14:paraId="5840D0DE">
      <w:pPr>
        <w:spacing w:line="600" w:lineRule="exact"/>
        <w:ind w:left="630"/>
        <w:outlineLvl w:val="1"/>
        <w:rPr>
          <w:rStyle w:val="30"/>
          <w:rFonts w:ascii="Times New Roman" w:hAnsi="Times New Roman" w:eastAsia="黑体"/>
          <w:b w:val="0"/>
        </w:rPr>
      </w:pPr>
      <w:bookmarkStart w:id="85" w:name="_Toc1790529692"/>
      <w:bookmarkStart w:id="86" w:name="_Toc15377221"/>
      <w:bookmarkStart w:id="87" w:name="_Toc167569110"/>
      <w:bookmarkStart w:id="88" w:name="_Toc15396612"/>
      <w:r>
        <w:rPr>
          <w:rStyle w:val="30"/>
          <w:rFonts w:hint="eastAsia" w:ascii="Times New Roman" w:hAnsi="Times New Roman" w:eastAsia="黑体"/>
          <w:b w:val="0"/>
        </w:rPr>
        <w:t>十、其他重要事项的情况说明</w:t>
      </w:r>
      <w:bookmarkEnd w:id="85"/>
      <w:bookmarkEnd w:id="86"/>
      <w:bookmarkEnd w:id="87"/>
      <w:bookmarkEnd w:id="88"/>
    </w:p>
    <w:p w14:paraId="578B945A">
      <w:pPr>
        <w:spacing w:line="600" w:lineRule="exact"/>
        <w:ind w:firstLine="643" w:firstLineChars="200"/>
        <w:outlineLvl w:val="2"/>
        <w:rPr>
          <w:rFonts w:eastAsia="楷体_GB2312" w:cs="楷体_GB2312"/>
          <w:b/>
          <w:sz w:val="32"/>
          <w:szCs w:val="32"/>
        </w:rPr>
      </w:pPr>
      <w:bookmarkStart w:id="89" w:name="_Toc137277481"/>
      <w:bookmarkStart w:id="90" w:name="_Toc15377222"/>
      <w:r>
        <w:rPr>
          <w:rFonts w:hint="eastAsia" w:eastAsia="楷体_GB2312" w:cs="楷体_GB2312"/>
          <w:b/>
          <w:sz w:val="32"/>
          <w:szCs w:val="32"/>
        </w:rPr>
        <w:t>（一）机关运行经费支出情况</w:t>
      </w:r>
      <w:bookmarkEnd w:id="89"/>
      <w:bookmarkEnd w:id="90"/>
    </w:p>
    <w:p w14:paraId="2A2CF26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eastAsia="仿宋_GB2312" w:cs="仿宋_GB2312"/>
          <w:sz w:val="32"/>
          <w:szCs w:val="32"/>
        </w:rPr>
      </w:pPr>
      <w:r>
        <w:rPr>
          <w:rFonts w:hint="eastAsia" w:eastAsia="仿宋_GB2312" w:cs="仿宋_GB2312"/>
          <w:sz w:val="32"/>
          <w:szCs w:val="32"/>
          <w:lang w:eastAsia="zh-CN"/>
        </w:rPr>
        <w:t>　　</w:t>
      </w:r>
      <w:r>
        <w:rPr>
          <w:rFonts w:hint="eastAsia" w:eastAsia="仿宋_GB2312" w:cs="仿宋_GB2312"/>
          <w:sz w:val="32"/>
          <w:szCs w:val="32"/>
        </w:rPr>
        <w:t>2025年度，</w:t>
      </w:r>
      <w:r>
        <w:rPr>
          <w:rFonts w:hint="eastAsia" w:eastAsia="仿宋_GB2312" w:cs="仿宋_GB2312"/>
          <w:sz w:val="32"/>
          <w:szCs w:val="32"/>
          <w:lang w:eastAsia="zh-CN"/>
        </w:rPr>
        <w:t>攀枝花市图书馆</w:t>
      </w:r>
      <w:r>
        <w:rPr>
          <w:rFonts w:hint="eastAsia" w:eastAsia="仿宋_GB2312" w:cs="仿宋_GB2312"/>
          <w:sz w:val="32"/>
          <w:szCs w:val="32"/>
        </w:rPr>
        <w:t>机关运行经费支出</w:t>
      </w:r>
      <w:r>
        <w:rPr>
          <w:rFonts w:hint="eastAsia" w:eastAsia="仿宋_GB2312" w:cs="仿宋_GB2312"/>
          <w:sz w:val="32"/>
          <w:szCs w:val="32"/>
          <w:lang w:eastAsia="zh-CN"/>
        </w:rPr>
        <w:t>0</w:t>
      </w:r>
      <w:r>
        <w:rPr>
          <w:rFonts w:hint="eastAsia" w:eastAsia="仿宋_GB2312" w:cs="仿宋_GB2312"/>
          <w:sz w:val="32"/>
          <w:szCs w:val="32"/>
        </w:rPr>
        <w:t>万元，与上年度决算数持平。主要原因是</w:t>
      </w:r>
      <w:r>
        <w:rPr>
          <w:rFonts w:hint="default" w:eastAsia="仿宋_GB2312" w:cs="仿宋_GB2312"/>
          <w:sz w:val="32"/>
          <w:szCs w:val="32"/>
        </w:rPr>
        <w:t>攀枝花市图书馆是事业单位，无机关运行经费。</w:t>
      </w:r>
    </w:p>
    <w:p w14:paraId="4DE18A38">
      <w:pPr>
        <w:spacing w:line="600" w:lineRule="exact"/>
        <w:ind w:firstLine="643" w:firstLineChars="200"/>
        <w:outlineLvl w:val="2"/>
        <w:rPr>
          <w:rFonts w:eastAsia="楷体_GB2312" w:cs="楷体_GB2312"/>
          <w:b/>
          <w:sz w:val="32"/>
          <w:szCs w:val="32"/>
        </w:rPr>
      </w:pPr>
      <w:bookmarkStart w:id="91" w:name="_Toc15377223"/>
      <w:bookmarkStart w:id="92" w:name="_Toc2136992907"/>
      <w:r>
        <w:rPr>
          <w:rFonts w:hint="eastAsia" w:eastAsia="楷体_GB2312" w:cs="楷体_GB2312"/>
          <w:b/>
          <w:sz w:val="32"/>
          <w:szCs w:val="32"/>
        </w:rPr>
        <w:t>（二）政府采购支出情况</w:t>
      </w:r>
      <w:bookmarkEnd w:id="91"/>
      <w:bookmarkEnd w:id="92"/>
    </w:p>
    <w:p w14:paraId="53581030">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攀枝花市图书馆</w:t>
      </w:r>
      <w:r>
        <w:rPr>
          <w:rFonts w:hint="eastAsia" w:eastAsia="仿宋_GB2312" w:cs="仿宋_GB2312"/>
          <w:sz w:val="32"/>
          <w:szCs w:val="32"/>
        </w:rPr>
        <w:t>政府采购支出总额</w:t>
      </w:r>
      <w:r>
        <w:rPr>
          <w:rFonts w:hint="eastAsia" w:eastAsia="仿宋_GB2312" w:cs="仿宋_GB2312"/>
          <w:sz w:val="32"/>
          <w:szCs w:val="32"/>
          <w:lang w:val="en-US" w:eastAsia="zh-CN"/>
        </w:rPr>
        <w:t>1.69</w:t>
      </w:r>
      <w:r>
        <w:rPr>
          <w:rFonts w:hint="eastAsia" w:eastAsia="仿宋_GB2312" w:cs="仿宋_GB2312"/>
          <w:sz w:val="32"/>
          <w:szCs w:val="32"/>
        </w:rPr>
        <w:t>万元，其中：政府采购货物支出</w:t>
      </w:r>
      <w:r>
        <w:rPr>
          <w:rFonts w:hint="eastAsia" w:eastAsia="仿宋_GB2312" w:cs="仿宋_GB2312"/>
          <w:sz w:val="32"/>
          <w:szCs w:val="32"/>
          <w:lang w:val="en-US" w:eastAsia="zh-CN"/>
        </w:rPr>
        <w:t>1.47</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0.22</w:t>
      </w:r>
      <w:r>
        <w:rPr>
          <w:rFonts w:hint="eastAsia" w:eastAsia="仿宋_GB2312" w:cs="仿宋_GB2312"/>
          <w:sz w:val="32"/>
          <w:szCs w:val="32"/>
        </w:rPr>
        <w:t>万元。主要用于</w:t>
      </w:r>
      <w:r>
        <w:rPr>
          <w:rFonts w:hint="eastAsia" w:eastAsia="仿宋_GB2312" w:cs="仿宋_GB2312"/>
          <w:sz w:val="32"/>
          <w:szCs w:val="32"/>
          <w:lang w:eastAsia="zh-CN"/>
        </w:rPr>
        <w:t>采购一体机一台</w:t>
      </w:r>
      <w:r>
        <w:rPr>
          <w:rFonts w:hint="eastAsia" w:eastAsia="仿宋_GB2312" w:cs="仿宋_GB2312"/>
          <w:sz w:val="32"/>
          <w:szCs w:val="32"/>
          <w:lang w:val="en-US" w:eastAsia="zh-CN"/>
        </w:rPr>
        <w:t>1.47万元；</w:t>
      </w:r>
      <w:r>
        <w:rPr>
          <w:rFonts w:hint="default" w:eastAsia="仿宋_GB2312" w:cs="仿宋_GB2312"/>
          <w:sz w:val="32"/>
          <w:szCs w:val="32"/>
        </w:rPr>
        <w:t>公车燃油、保险及维修项目</w:t>
      </w:r>
      <w:r>
        <w:rPr>
          <w:rFonts w:hint="eastAsia" w:eastAsia="仿宋_GB2312" w:cs="仿宋_GB2312"/>
          <w:sz w:val="32"/>
          <w:szCs w:val="32"/>
          <w:lang w:val="en-US" w:eastAsia="zh-CN"/>
        </w:rPr>
        <w:t>0.22万元</w:t>
      </w:r>
      <w:r>
        <w:rPr>
          <w:rFonts w:hint="eastAsia" w:eastAsia="仿宋_GB2312" w:cs="仿宋_GB2312"/>
          <w:sz w:val="32"/>
          <w:szCs w:val="32"/>
        </w:rPr>
        <w:t>。授予中小企业合同金额</w:t>
      </w:r>
      <w:r>
        <w:rPr>
          <w:rFonts w:hint="eastAsia" w:eastAsia="仿宋_GB2312" w:cs="仿宋_GB2312"/>
          <w:sz w:val="32"/>
          <w:szCs w:val="32"/>
          <w:lang w:val="en-US" w:eastAsia="zh-CN"/>
        </w:rPr>
        <w:t>1.69</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100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14:paraId="3F6E90EE">
      <w:pPr>
        <w:spacing w:line="600" w:lineRule="exact"/>
        <w:ind w:firstLine="643" w:firstLineChars="200"/>
        <w:outlineLvl w:val="2"/>
        <w:rPr>
          <w:rFonts w:eastAsia="楷体_GB2312" w:cs="楷体_GB2312"/>
          <w:b/>
          <w:sz w:val="32"/>
          <w:szCs w:val="32"/>
        </w:rPr>
      </w:pPr>
      <w:bookmarkStart w:id="93" w:name="_Toc390895861"/>
      <w:bookmarkStart w:id="94" w:name="_Toc15377224"/>
      <w:r>
        <w:rPr>
          <w:rFonts w:hint="eastAsia" w:eastAsia="楷体_GB2312" w:cs="楷体_GB2312"/>
          <w:b/>
          <w:sz w:val="32"/>
          <w:szCs w:val="32"/>
        </w:rPr>
        <w:t>（三）国有资产占有使用情况</w:t>
      </w:r>
      <w:bookmarkEnd w:id="93"/>
      <w:bookmarkEnd w:id="94"/>
    </w:p>
    <w:p w14:paraId="47268F50">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攀枝花市图书馆</w:t>
      </w:r>
      <w:r>
        <w:rPr>
          <w:rFonts w:hint="eastAsia" w:eastAsia="仿宋_GB2312" w:cs="仿宋_GB2312"/>
          <w:sz w:val="32"/>
          <w:szCs w:val="32"/>
        </w:rPr>
        <w:t>共有车辆</w:t>
      </w:r>
      <w:r>
        <w:rPr>
          <w:rFonts w:hint="eastAsia" w:eastAsia="仿宋_GB2312" w:cs="仿宋_GB2312"/>
          <w:sz w:val="32"/>
          <w:szCs w:val="32"/>
          <w:lang w:eastAsia="zh-CN"/>
        </w:rPr>
        <w:t>1</w:t>
      </w:r>
      <w:r>
        <w:rPr>
          <w:rFonts w:hint="eastAsia" w:eastAsia="仿宋_GB2312" w:cs="仿宋_GB2312"/>
          <w:sz w:val="32"/>
          <w:szCs w:val="32"/>
        </w:rPr>
        <w:t>辆，其中：副部（省）级及以上领导用车</w:t>
      </w:r>
      <w:r>
        <w:rPr>
          <w:rFonts w:hint="eastAsia" w:eastAsia="仿宋_GB2312" w:cs="仿宋_GB2312"/>
          <w:sz w:val="32"/>
          <w:szCs w:val="32"/>
          <w:lang w:eastAsia="zh-CN"/>
        </w:rPr>
        <w:t>0</w:t>
      </w:r>
      <w:r>
        <w:rPr>
          <w:rFonts w:hint="eastAsia" w:eastAsia="仿宋_GB2312" w:cs="仿宋_GB2312"/>
          <w:sz w:val="32"/>
          <w:szCs w:val="32"/>
        </w:rPr>
        <w:t>辆、主要负责人用车</w:t>
      </w:r>
      <w:r>
        <w:rPr>
          <w:rFonts w:hint="eastAsia" w:eastAsia="仿宋_GB2312" w:cs="仿宋_GB2312"/>
          <w:sz w:val="32"/>
          <w:szCs w:val="32"/>
          <w:lang w:eastAsia="zh-CN"/>
        </w:rPr>
        <w:t>0</w:t>
      </w:r>
      <w:r>
        <w:rPr>
          <w:rFonts w:hint="eastAsia" w:eastAsia="仿宋_GB2312" w:cs="仿宋_GB2312"/>
          <w:sz w:val="32"/>
          <w:szCs w:val="32"/>
        </w:rPr>
        <w:t>辆、机要通信用车</w:t>
      </w:r>
      <w:r>
        <w:rPr>
          <w:rFonts w:hint="eastAsia" w:eastAsia="仿宋_GB2312" w:cs="仿宋_GB2312"/>
          <w:sz w:val="32"/>
          <w:szCs w:val="32"/>
          <w:lang w:eastAsia="zh-CN"/>
        </w:rPr>
        <w:t>0</w:t>
      </w:r>
      <w:r>
        <w:rPr>
          <w:rFonts w:hint="eastAsia" w:eastAsia="仿宋_GB2312" w:cs="仿宋_GB2312"/>
          <w:sz w:val="32"/>
          <w:szCs w:val="32"/>
        </w:rPr>
        <w:t>辆、应急保障用车</w:t>
      </w:r>
      <w:r>
        <w:rPr>
          <w:rFonts w:hint="eastAsia" w:eastAsia="仿宋_GB2312" w:cs="仿宋_GB2312"/>
          <w:sz w:val="32"/>
          <w:szCs w:val="32"/>
          <w:lang w:eastAsia="zh-CN"/>
        </w:rPr>
        <w:t>0</w:t>
      </w:r>
      <w:r>
        <w:rPr>
          <w:rFonts w:hint="eastAsia" w:eastAsia="仿宋_GB2312" w:cs="仿宋_GB2312"/>
          <w:sz w:val="32"/>
          <w:szCs w:val="32"/>
        </w:rPr>
        <w:t>辆、执法执勤用车</w:t>
      </w:r>
      <w:r>
        <w:rPr>
          <w:rFonts w:hint="eastAsia" w:eastAsia="仿宋_GB2312" w:cs="仿宋_GB2312"/>
          <w:sz w:val="32"/>
          <w:szCs w:val="32"/>
          <w:lang w:eastAsia="zh-CN"/>
        </w:rPr>
        <w:t>0</w:t>
      </w:r>
      <w:r>
        <w:rPr>
          <w:rFonts w:hint="eastAsia" w:eastAsia="仿宋_GB2312" w:cs="仿宋_GB2312"/>
          <w:sz w:val="32"/>
          <w:szCs w:val="32"/>
        </w:rPr>
        <w:t>辆、特种专业技术用车</w:t>
      </w:r>
      <w:r>
        <w:rPr>
          <w:rFonts w:hint="eastAsia" w:eastAsia="仿宋_GB2312" w:cs="仿宋_GB2312"/>
          <w:sz w:val="32"/>
          <w:szCs w:val="32"/>
          <w:lang w:eastAsia="zh-CN"/>
        </w:rPr>
        <w:t>0</w:t>
      </w:r>
      <w:r>
        <w:rPr>
          <w:rFonts w:hint="eastAsia" w:eastAsia="仿宋_GB2312" w:cs="仿宋_GB2312"/>
          <w:sz w:val="32"/>
          <w:szCs w:val="32"/>
        </w:rPr>
        <w:t>辆、离退休干部服务用车</w:t>
      </w:r>
      <w:r>
        <w:rPr>
          <w:rFonts w:hint="eastAsia" w:eastAsia="仿宋_GB2312" w:cs="仿宋_GB2312"/>
          <w:sz w:val="32"/>
          <w:szCs w:val="32"/>
          <w:lang w:eastAsia="zh-CN"/>
        </w:rPr>
        <w:t>0</w:t>
      </w:r>
      <w:r>
        <w:rPr>
          <w:rFonts w:hint="eastAsia" w:eastAsia="仿宋_GB2312" w:cs="仿宋_GB2312"/>
          <w:sz w:val="32"/>
          <w:szCs w:val="32"/>
        </w:rPr>
        <w:t>辆、其他用车</w:t>
      </w:r>
      <w:r>
        <w:rPr>
          <w:rFonts w:hint="eastAsia" w:eastAsia="仿宋_GB2312" w:cs="仿宋_GB2312"/>
          <w:sz w:val="32"/>
          <w:szCs w:val="32"/>
          <w:lang w:eastAsia="zh-CN"/>
        </w:rPr>
        <w:t>1</w:t>
      </w:r>
      <w:r>
        <w:rPr>
          <w:rFonts w:hint="eastAsia" w:eastAsia="仿宋_GB2312" w:cs="仿宋_GB2312"/>
          <w:sz w:val="32"/>
          <w:szCs w:val="32"/>
        </w:rPr>
        <w:t>辆，其他用车主要是用于</w:t>
      </w:r>
      <w:r>
        <w:rPr>
          <w:rFonts w:hint="eastAsia" w:eastAsia="仿宋_GB2312" w:cs="仿宋_GB2312"/>
          <w:sz w:val="32"/>
          <w:szCs w:val="32"/>
          <w:lang w:eastAsia="zh-CN"/>
        </w:rPr>
        <w:t>单位的日常公务使用</w:t>
      </w:r>
      <w:r>
        <w:rPr>
          <w:rFonts w:hint="eastAsia" w:eastAsia="仿宋_GB2312" w:cs="仿宋_GB2312"/>
          <w:sz w:val="32"/>
          <w:szCs w:val="32"/>
        </w:rPr>
        <w:t>。单价100万元（含）以上设备（不含车辆）</w:t>
      </w:r>
      <w:r>
        <w:rPr>
          <w:rFonts w:hint="eastAsia" w:eastAsia="仿宋_GB2312" w:cs="仿宋_GB2312"/>
          <w:sz w:val="32"/>
          <w:szCs w:val="32"/>
          <w:lang w:eastAsia="zh-CN"/>
        </w:rPr>
        <w:t>0</w:t>
      </w:r>
      <w:r>
        <w:rPr>
          <w:rFonts w:hint="eastAsia" w:eastAsia="仿宋_GB2312" w:cs="仿宋_GB2312"/>
          <w:sz w:val="32"/>
          <w:szCs w:val="32"/>
        </w:rPr>
        <w:t>台（套）。</w:t>
      </w:r>
    </w:p>
    <w:p w14:paraId="1900058E">
      <w:pPr>
        <w:spacing w:line="600" w:lineRule="exact"/>
        <w:ind w:firstLine="643" w:firstLineChars="200"/>
        <w:outlineLvl w:val="2"/>
        <w:rPr>
          <w:rFonts w:eastAsia="楷体_GB2312" w:cs="楷体_GB2312"/>
          <w:b/>
          <w:sz w:val="32"/>
          <w:szCs w:val="32"/>
        </w:rPr>
      </w:pPr>
      <w:bookmarkStart w:id="95" w:name="_Toc759736480"/>
      <w:r>
        <w:rPr>
          <w:rFonts w:hint="eastAsia" w:eastAsia="楷体_GB2312" w:cs="楷体_GB2312"/>
          <w:b/>
          <w:sz w:val="32"/>
          <w:szCs w:val="32"/>
        </w:rPr>
        <w:t>（四）预算绩效管理情况</w:t>
      </w:r>
      <w:bookmarkEnd w:id="95"/>
    </w:p>
    <w:p w14:paraId="54F1648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rPr>
      </w:pPr>
      <w:r>
        <w:rPr>
          <w:rFonts w:hint="eastAsia" w:eastAsia="仿宋_GB2312" w:cs="仿宋_GB2312"/>
          <w:sz w:val="32"/>
          <w:szCs w:val="32"/>
          <w:lang w:eastAsia="zh-CN"/>
        </w:rPr>
        <w:t>　　</w:t>
      </w:r>
      <w:r>
        <w:rPr>
          <w:rFonts w:hint="eastAsia" w:eastAsia="仿宋_GB2312" w:cs="仿宋_GB2312"/>
          <w:sz w:val="32"/>
          <w:szCs w:val="32"/>
        </w:rPr>
        <w:t>根据预算绩效管理要求，</w:t>
      </w:r>
      <w:r>
        <w:rPr>
          <w:rFonts w:hint="eastAsia" w:eastAsia="仿宋_GB2312" w:cs="仿宋_GB2312"/>
          <w:sz w:val="32"/>
          <w:szCs w:val="32"/>
          <w:lang w:eastAsia="zh-CN"/>
        </w:rPr>
        <w:t>攀枝花市图书馆</w:t>
      </w:r>
      <w:r>
        <w:rPr>
          <w:rFonts w:hint="eastAsia" w:eastAsia="仿宋_GB2312" w:cs="仿宋_GB2312"/>
          <w:sz w:val="32"/>
          <w:szCs w:val="32"/>
        </w:rPr>
        <w:t>在2025年组织对</w:t>
      </w:r>
      <w:r>
        <w:rPr>
          <w:rFonts w:hint="eastAsia" w:eastAsia="仿宋_GB2312" w:cs="仿宋_GB2312"/>
          <w:sz w:val="32"/>
          <w:szCs w:val="32"/>
          <w:lang w:eastAsia="zh-CN"/>
        </w:rPr>
        <w:t>“国家公共文化服务体系示范区资金”“攀枝花市图书馆少儿室及多功能报告厅打造项目”“博物馆、纪念馆免费开放补助和公共美术馆、图书馆、文化馆免费开放补助（中央）”“博物馆、纪念馆免费开放补助和公共美术馆、图书馆、文化馆免费开放补助（省级）”“免费开放市级配套资金”5</w:t>
      </w:r>
      <w:r>
        <w:rPr>
          <w:rFonts w:hint="eastAsia" w:eastAsia="仿宋_GB2312" w:cs="仿宋_GB2312"/>
          <w:sz w:val="32"/>
          <w:szCs w:val="32"/>
        </w:rPr>
        <w:t>个项目涉及金额</w:t>
      </w:r>
      <w:r>
        <w:rPr>
          <w:rFonts w:hint="eastAsia" w:eastAsia="仿宋_GB2312" w:cs="仿宋_GB2312"/>
          <w:sz w:val="32"/>
          <w:szCs w:val="32"/>
          <w:lang w:val="en-US" w:eastAsia="zh-CN"/>
        </w:rPr>
        <w:t>99.99</w:t>
      </w:r>
      <w:r>
        <w:rPr>
          <w:rFonts w:hint="eastAsia" w:eastAsia="仿宋_GB2312" w:cs="仿宋_GB2312"/>
          <w:sz w:val="32"/>
          <w:szCs w:val="32"/>
        </w:rPr>
        <w:t>万元开展了事前绩效评估，对</w:t>
      </w:r>
      <w:r>
        <w:rPr>
          <w:rFonts w:hint="eastAsia" w:eastAsia="仿宋_GB2312" w:cs="仿宋_GB2312"/>
          <w:sz w:val="32"/>
          <w:szCs w:val="32"/>
          <w:lang w:val="en-US" w:eastAsia="zh-CN"/>
        </w:rPr>
        <w:t>5</w:t>
      </w:r>
      <w:r>
        <w:rPr>
          <w:rFonts w:hint="eastAsia" w:eastAsia="仿宋_GB2312" w:cs="仿宋_GB2312"/>
          <w:sz w:val="32"/>
          <w:szCs w:val="32"/>
        </w:rPr>
        <w:t>个项目编制了绩效目标</w:t>
      </w:r>
      <w:r>
        <w:rPr>
          <w:rFonts w:hint="eastAsia" w:eastAsia="仿宋_GB2312" w:cs="仿宋_GB2312"/>
          <w:sz w:val="32"/>
          <w:szCs w:val="32"/>
          <w:lang w:eastAsia="zh-CN"/>
        </w:rPr>
        <w:t>。</w:t>
      </w:r>
      <w:r>
        <w:rPr>
          <w:rFonts w:hint="eastAsia" w:eastAsia="仿宋_GB2312" w:cs="仿宋_GB2312"/>
          <w:sz w:val="32"/>
          <w:szCs w:val="32"/>
        </w:rPr>
        <w:t>预算执行过程中，选取</w:t>
      </w:r>
      <w:r>
        <w:rPr>
          <w:rFonts w:hint="eastAsia" w:eastAsia="仿宋_GB2312" w:cs="仿宋_GB2312"/>
          <w:sz w:val="32"/>
          <w:szCs w:val="32"/>
          <w:lang w:val="en-US" w:eastAsia="zh-CN"/>
        </w:rPr>
        <w:t>5</w:t>
      </w:r>
      <w:r>
        <w:rPr>
          <w:rFonts w:hint="eastAsia" w:eastAsia="仿宋_GB2312" w:cs="仿宋_GB2312"/>
          <w:sz w:val="32"/>
          <w:szCs w:val="32"/>
        </w:rPr>
        <w:t>个项目开展绩效监控。</w:t>
      </w:r>
      <w:r>
        <w:rPr>
          <w:rFonts w:hint="default" w:eastAsia="仿宋_GB2312" w:cs="仿宋_GB2312"/>
          <w:sz w:val="32"/>
          <w:szCs w:val="32"/>
        </w:rPr>
        <w:t>组织对</w:t>
      </w:r>
      <w:r>
        <w:rPr>
          <w:rFonts w:hint="eastAsia" w:eastAsia="仿宋_GB2312" w:cs="仿宋_GB2312"/>
          <w:sz w:val="32"/>
          <w:szCs w:val="32"/>
          <w:lang w:val="en-US" w:eastAsia="zh-CN"/>
        </w:rPr>
        <w:t>5</w:t>
      </w:r>
      <w:r>
        <w:rPr>
          <w:rFonts w:hint="default" w:eastAsia="仿宋_GB2312" w:cs="仿宋_GB2312"/>
          <w:sz w:val="32"/>
          <w:szCs w:val="32"/>
        </w:rPr>
        <w:t>个项目开展绩效自评，绩效自评表详见第四部分附件。</w:t>
      </w:r>
    </w:p>
    <w:p w14:paraId="6FB7FCD8">
      <w:pPr>
        <w:spacing w:line="600" w:lineRule="exact"/>
        <w:ind w:firstLine="640"/>
        <w:rPr>
          <w:rFonts w:eastAsia="仿宋_GB2312" w:cs="仿宋_GB2312"/>
          <w:sz w:val="32"/>
          <w:szCs w:val="32"/>
        </w:rPr>
      </w:pPr>
    </w:p>
    <w:p w14:paraId="7272DFC7">
      <w:pPr>
        <w:spacing w:line="600" w:lineRule="exact"/>
        <w:ind w:firstLine="640"/>
        <w:rPr>
          <w:rFonts w:eastAsia="仿宋_GB2312" w:cs="仿宋_GB2312"/>
          <w:sz w:val="32"/>
          <w:szCs w:val="32"/>
        </w:rPr>
      </w:pPr>
    </w:p>
    <w:p w14:paraId="0E505193">
      <w:pPr>
        <w:spacing w:line="600" w:lineRule="exact"/>
        <w:ind w:firstLine="640"/>
        <w:rPr>
          <w:rFonts w:eastAsia="仿宋_GB2312" w:cs="仿宋_GB2312"/>
          <w:sz w:val="32"/>
          <w:szCs w:val="32"/>
        </w:rPr>
      </w:pPr>
    </w:p>
    <w:p w14:paraId="26F4CD5C">
      <w:pPr>
        <w:spacing w:line="600" w:lineRule="exact"/>
        <w:ind w:firstLine="640"/>
        <w:rPr>
          <w:rFonts w:eastAsia="仿宋_GB2312" w:cs="仿宋_GB2312"/>
          <w:sz w:val="32"/>
          <w:szCs w:val="32"/>
        </w:rPr>
      </w:pPr>
    </w:p>
    <w:p w14:paraId="6FE4DFB4">
      <w:pPr>
        <w:spacing w:line="600" w:lineRule="exact"/>
        <w:ind w:firstLine="640"/>
        <w:rPr>
          <w:rFonts w:eastAsia="仿宋_GB2312" w:cs="仿宋_GB2312"/>
          <w:sz w:val="32"/>
          <w:szCs w:val="32"/>
        </w:rPr>
      </w:pPr>
    </w:p>
    <w:p w14:paraId="0FCD4695">
      <w:pPr>
        <w:spacing w:line="600" w:lineRule="exact"/>
        <w:ind w:firstLine="640"/>
        <w:rPr>
          <w:rFonts w:eastAsia="仿宋_GB2312" w:cs="仿宋_GB2312"/>
          <w:sz w:val="32"/>
          <w:szCs w:val="32"/>
        </w:rPr>
      </w:pPr>
    </w:p>
    <w:p w14:paraId="65476BFE">
      <w:pPr>
        <w:pStyle w:val="2"/>
      </w:pPr>
    </w:p>
    <w:p w14:paraId="0318478A">
      <w:pPr>
        <w:spacing w:line="600" w:lineRule="exact"/>
        <w:ind w:firstLine="640"/>
        <w:rPr>
          <w:rFonts w:eastAsia="仿宋_GB2312" w:cs="仿宋_GB2312"/>
          <w:sz w:val="32"/>
          <w:szCs w:val="32"/>
        </w:rPr>
      </w:pPr>
    </w:p>
    <w:p w14:paraId="021D1B6B">
      <w:pPr>
        <w:spacing w:line="600" w:lineRule="exact"/>
        <w:ind w:firstLine="640"/>
        <w:rPr>
          <w:rFonts w:eastAsia="仿宋_GB2312" w:cs="仿宋_GB2312"/>
          <w:sz w:val="32"/>
          <w:szCs w:val="32"/>
        </w:rPr>
      </w:pPr>
    </w:p>
    <w:p w14:paraId="5325B349">
      <w:pPr>
        <w:pStyle w:val="2"/>
        <w:rPr>
          <w:rFonts w:eastAsia="仿宋_GB2312" w:cs="仿宋_GB2312"/>
          <w:sz w:val="32"/>
          <w:szCs w:val="32"/>
        </w:rPr>
      </w:pPr>
    </w:p>
    <w:p w14:paraId="3C6535AE"/>
    <w:p w14:paraId="7E5A7A6C">
      <w:pPr>
        <w:pStyle w:val="2"/>
        <w:rPr>
          <w:rFonts w:eastAsia="仿宋_GB2312" w:cs="仿宋_GB2312"/>
          <w:sz w:val="32"/>
          <w:szCs w:val="32"/>
        </w:rPr>
      </w:pPr>
    </w:p>
    <w:p w14:paraId="27A975F6"/>
    <w:p w14:paraId="6A2E5FCA">
      <w:pPr>
        <w:pStyle w:val="2"/>
      </w:pPr>
    </w:p>
    <w:p w14:paraId="0FB89A84"/>
    <w:p w14:paraId="25F14425">
      <w:pPr>
        <w:pStyle w:val="2"/>
      </w:pPr>
    </w:p>
    <w:p w14:paraId="02550F8D">
      <w:pPr>
        <w:spacing w:line="600" w:lineRule="exact"/>
        <w:jc w:val="center"/>
        <w:outlineLvl w:val="0"/>
        <w:rPr>
          <w:rFonts w:hint="eastAsia" w:eastAsia="黑体"/>
          <w:sz w:val="44"/>
          <w:szCs w:val="44"/>
        </w:rPr>
      </w:pPr>
      <w:bookmarkStart w:id="96" w:name="_Toc804357742"/>
      <w:bookmarkStart w:id="97" w:name="_Toc15396613"/>
      <w:bookmarkStart w:id="98" w:name="_Toc1885238299"/>
      <w:bookmarkStart w:id="99" w:name="_Toc15377225"/>
    </w:p>
    <w:p w14:paraId="520E0501">
      <w:pPr>
        <w:spacing w:line="600" w:lineRule="exact"/>
        <w:jc w:val="center"/>
        <w:outlineLvl w:val="0"/>
        <w:rPr>
          <w:rFonts w:eastAsia="黑体"/>
          <w:sz w:val="44"/>
          <w:szCs w:val="44"/>
        </w:rPr>
      </w:pPr>
      <w:r>
        <w:rPr>
          <w:rFonts w:hint="eastAsia" w:eastAsia="黑体"/>
          <w:sz w:val="44"/>
          <w:szCs w:val="44"/>
        </w:rPr>
        <w:t>第三部分  名词解释</w:t>
      </w:r>
      <w:bookmarkEnd w:id="96"/>
      <w:bookmarkEnd w:id="97"/>
      <w:bookmarkEnd w:id="98"/>
      <w:bookmarkEnd w:id="99"/>
    </w:p>
    <w:p w14:paraId="548810A9">
      <w:pPr>
        <w:spacing w:line="600" w:lineRule="exact"/>
        <w:jc w:val="left"/>
        <w:rPr>
          <w:b/>
          <w:sz w:val="44"/>
          <w:szCs w:val="44"/>
        </w:rPr>
      </w:pPr>
    </w:p>
    <w:p w14:paraId="7634223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eastAsia" w:eastAsia="仿宋_GB2312" w:cs="仿宋_GB2312"/>
          <w:sz w:val="32"/>
          <w:szCs w:val="32"/>
          <w:lang w:eastAsia="zh-CN"/>
        </w:rPr>
        <w:t>　　</w:t>
      </w:r>
      <w:r>
        <w:rPr>
          <w:rFonts w:hint="default" w:eastAsia="仿宋_GB2312" w:cs="仿宋_GB2312"/>
          <w:sz w:val="32"/>
          <w:szCs w:val="32"/>
          <w:lang w:eastAsia="zh-CN"/>
        </w:rPr>
        <w:t>1．财政拨款收入：指单位从同级财政部门取得的财政预算资金。</w:t>
      </w:r>
    </w:p>
    <w:p w14:paraId="4B3C10C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2．年初结转和结余：指以前年度尚未完成、结转到本年按有关规定继续使用的资金。</w:t>
      </w:r>
    </w:p>
    <w:p w14:paraId="6136B18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3．文化旅游体育与传媒支出（类）文化和旅游（款）图书馆（项）：反映图书馆的支出。</w:t>
      </w:r>
    </w:p>
    <w:p w14:paraId="35F4168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4．文化旅游体育与传媒支出（类）其他文化旅游体育与传媒支出（款）其他文化旅游体育与传媒支出（项）：反映除上述项目以外其他用于文化旅游体育与传媒方面的支出。</w:t>
      </w:r>
    </w:p>
    <w:p w14:paraId="4058D6F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5．社会保障和就业支出（类）行政事业单位养老支出（款）事业单位离退休（项）：反映事业单位开支的离退休经费。</w:t>
      </w:r>
    </w:p>
    <w:p w14:paraId="78A9BF3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6．社会保障和就业支出（类）行政事业单位养老支出（款）机关事业单位基本养老保险缴费支出（项）：反映机关事业单位实施养老保险制度由单位缴纳的基本养老保险费支出。</w:t>
      </w:r>
    </w:p>
    <w:p w14:paraId="2B7A01D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7．住房保障支出（类）住房改革支出（款）住房公积金（项）：反映行政事业单位按人力资源和社会保障部、财政部规定的基本工资和津贴补贴以及规定比例为职工缴纳的住房公积金。</w:t>
      </w:r>
    </w:p>
    <w:p w14:paraId="4815902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8.卫生健康（类）行政事业单位医疗（款）事业单位医疗（项）：反映财政部门安排的事业单位基本医疗保险缴费经费，未参加医疗保险的事业单位的公费医疗经费，按国家规定享受离休人员待遇的医疗经费。</w:t>
      </w:r>
    </w:p>
    <w:p w14:paraId="550B0AA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9.卫生健康（类）行政事业单位医疗（款）公务员医疗补助（项）：反映财政部门安排的公务员医疗补助经费。</w:t>
      </w:r>
    </w:p>
    <w:p w14:paraId="03824E3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10.卫生健康（类）行政事业单位医疗（款）其他行政事业单位医疗支出（项）：反映除上述情况以外的其他用于行政事业单位医疗方面的支出。</w:t>
      </w:r>
    </w:p>
    <w:p w14:paraId="75BF39F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default" w:eastAsia="仿宋_GB2312" w:cs="仿宋_GB2312"/>
          <w:sz w:val="32"/>
          <w:szCs w:val="32"/>
          <w:lang w:eastAsia="zh-CN"/>
        </w:rPr>
      </w:pPr>
      <w:r>
        <w:rPr>
          <w:rFonts w:hint="default" w:eastAsia="仿宋_GB2312" w:cs="仿宋_GB2312"/>
          <w:sz w:val="32"/>
          <w:szCs w:val="32"/>
          <w:lang w:eastAsia="zh-CN"/>
        </w:rPr>
        <w:t>     11.社会保障和就业支出（类）抚恤（款）死亡抚恤（项）：反映按规定用于烈士和牺牲、病故人员家属的一次性和定期抚恤金、丧葬补助费及烈士褒扬金。</w:t>
      </w:r>
    </w:p>
    <w:p w14:paraId="5D113908">
      <w:pPr>
        <w:spacing w:line="600" w:lineRule="exact"/>
        <w:ind w:firstLine="640"/>
        <w:rPr>
          <w:rFonts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.基本支出：指为保障机构正常运转、完成日常工作任务而发生的人员支出和公用支出。</w:t>
      </w:r>
    </w:p>
    <w:p w14:paraId="686F3741">
      <w:pPr>
        <w:spacing w:line="600" w:lineRule="exact"/>
        <w:ind w:firstLine="640"/>
        <w:rPr>
          <w:rFonts w:eastAsia="仿宋_GB2312" w:cs="仿宋_GB2312"/>
          <w:sz w:val="32"/>
          <w:szCs w:val="32"/>
        </w:rPr>
      </w:pPr>
      <w:r>
        <w:rPr>
          <w:rFonts w:hint="eastAsia" w:eastAsia="仿宋_GB2312" w:cs="仿宋_GB2312"/>
          <w:sz w:val="32"/>
          <w:szCs w:val="32"/>
          <w:lang w:val="en-US" w:eastAsia="zh-CN"/>
        </w:rPr>
        <w:t>13</w:t>
      </w:r>
      <w:r>
        <w:rPr>
          <w:rFonts w:hint="eastAsia" w:eastAsia="仿宋_GB2312" w:cs="仿宋_GB2312"/>
          <w:sz w:val="32"/>
          <w:szCs w:val="32"/>
        </w:rPr>
        <w:t xml:space="preserve">.项目支出：指在基本支出之外为完成特定行政任务和事业发展目标所发生的支出。 </w:t>
      </w:r>
    </w:p>
    <w:p w14:paraId="1EB2F484">
      <w:pPr>
        <w:spacing w:line="600" w:lineRule="exact"/>
        <w:ind w:firstLine="640"/>
        <w:rPr>
          <w:rFonts w:eastAsia="仿宋_GB2312" w:cs="仿宋_GB2312"/>
          <w:sz w:val="32"/>
          <w:szCs w:val="32"/>
        </w:rPr>
      </w:pPr>
      <w:r>
        <w:rPr>
          <w:rFonts w:hint="eastAsia" w:eastAsia="仿宋_GB2312" w:cs="仿宋_GB2312"/>
          <w:sz w:val="32"/>
          <w:szCs w:val="32"/>
          <w:lang w:val="en-US" w:eastAsia="zh-CN"/>
        </w:rPr>
        <w:t>14</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9E4A82">
      <w:pPr>
        <w:spacing w:line="600" w:lineRule="exact"/>
        <w:jc w:val="center"/>
        <w:rPr>
          <w:rFonts w:hint="eastAsia" w:eastAsia="黑体"/>
          <w:sz w:val="44"/>
          <w:szCs w:val="44"/>
        </w:rPr>
      </w:pPr>
      <w:bookmarkStart w:id="100" w:name="_Toc15377226"/>
      <w:r>
        <w:rPr>
          <w:rFonts w:hint="eastAsia" w:eastAsia="仿宋_GB2312" w:cs="仿宋_GB2312"/>
          <w:sz w:val="32"/>
          <w:szCs w:val="32"/>
        </w:rPr>
        <w:br w:type="page"/>
      </w:r>
      <w:bookmarkStart w:id="101" w:name="_Toc15396614"/>
      <w:r>
        <w:rPr>
          <w:rFonts w:hint="eastAsia" w:eastAsia="黑体"/>
          <w:sz w:val="44"/>
          <w:szCs w:val="44"/>
        </w:rPr>
        <w:t>第四部分  附件</w:t>
      </w:r>
      <w:bookmarkEnd w:id="101"/>
    </w:p>
    <w:p w14:paraId="7905309E">
      <w:pPr>
        <w:spacing w:line="600" w:lineRule="exact"/>
        <w:jc w:val="both"/>
        <w:rPr>
          <w:rFonts w:hint="eastAsia" w:eastAsia="黑体"/>
          <w:sz w:val="44"/>
          <w:szCs w:val="44"/>
        </w:rPr>
      </w:pPr>
    </w:p>
    <w:p w14:paraId="081CF09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ascii="Times New Roman" w:hAnsi="Times New Roman" w:eastAsia="仿宋_GB2312" w:cs="仿宋_GB2312"/>
          <w:kern w:val="2"/>
          <w:sz w:val="32"/>
          <w:szCs w:val="32"/>
          <w:lang w:val="en-US" w:eastAsia="zh-CN" w:bidi="ar-SA"/>
        </w:rPr>
      </w:pPr>
      <w:r>
        <w:rPr>
          <w:rFonts w:hint="default" w:ascii="Times New Roman" w:hAnsi="Times New Roman" w:eastAsia="仿宋_GB2312" w:cs="仿宋_GB2312"/>
          <w:kern w:val="2"/>
          <w:sz w:val="32"/>
          <w:szCs w:val="32"/>
          <w:lang w:val="en-US" w:eastAsia="zh-CN" w:bidi="ar-SA"/>
        </w:rPr>
        <w:t>部门预算项目支出绩效自评表（202</w:t>
      </w:r>
      <w:r>
        <w:rPr>
          <w:rFonts w:hint="eastAsia" w:eastAsia="仿宋_GB2312" w:cs="仿宋_GB2312"/>
          <w:kern w:val="2"/>
          <w:sz w:val="32"/>
          <w:szCs w:val="32"/>
          <w:lang w:val="en-US" w:eastAsia="zh-CN" w:bidi="ar-SA"/>
        </w:rPr>
        <w:t>5</w:t>
      </w:r>
      <w:r>
        <w:rPr>
          <w:rFonts w:hint="default" w:ascii="Times New Roman" w:hAnsi="Times New Roman" w:eastAsia="仿宋_GB2312" w:cs="仿宋_GB2312"/>
          <w:kern w:val="2"/>
          <w:sz w:val="32"/>
          <w:szCs w:val="32"/>
          <w:lang w:val="en-US" w:eastAsia="zh-CN" w:bidi="ar-SA"/>
        </w:rPr>
        <w:t>年度）</w:t>
      </w:r>
    </w:p>
    <w:p w14:paraId="07EA71A3">
      <w:pPr>
        <w:spacing w:line="572" w:lineRule="exact"/>
        <w:jc w:val="left"/>
        <w:outlineLvl w:val="0"/>
        <w:rPr>
          <w:rFonts w:eastAsia="黑体" w:cs="黑体"/>
          <w:color w:val="FF0000"/>
          <w:sz w:val="32"/>
          <w:szCs w:val="32"/>
        </w:rPr>
      </w:pPr>
    </w:p>
    <w:p w14:paraId="226ED194">
      <w:pPr>
        <w:pStyle w:val="13"/>
      </w:pPr>
    </w:p>
    <w:p w14:paraId="199F8D8C">
      <w:pPr>
        <w:spacing w:line="578" w:lineRule="exact"/>
        <w:ind w:firstLine="640"/>
        <w:rPr>
          <w:rFonts w:eastAsia="仿宋_GB2312" w:cs="仿宋_GB2312"/>
          <w:kern w:val="0"/>
          <w:sz w:val="32"/>
          <w:szCs w:val="32"/>
        </w:rPr>
      </w:pPr>
    </w:p>
    <w:p w14:paraId="31372DD8">
      <w:pPr>
        <w:spacing w:line="578" w:lineRule="exact"/>
        <w:ind w:firstLine="640"/>
        <w:rPr>
          <w:rFonts w:eastAsia="仿宋_GB2312" w:cs="仿宋_GB2312"/>
          <w:kern w:val="0"/>
          <w:sz w:val="32"/>
          <w:szCs w:val="32"/>
        </w:rPr>
      </w:pPr>
    </w:p>
    <w:p w14:paraId="4318044E">
      <w:pPr>
        <w:spacing w:line="578" w:lineRule="exact"/>
        <w:ind w:firstLine="640"/>
        <w:rPr>
          <w:rFonts w:eastAsia="仿宋_GB2312" w:cs="仿宋_GB2312"/>
          <w:kern w:val="0"/>
          <w:sz w:val="32"/>
          <w:szCs w:val="32"/>
        </w:rPr>
      </w:pPr>
      <w:bookmarkStart w:id="102" w:name="_Toc15396618"/>
      <w:r>
        <w:rPr>
          <w:rFonts w:hint="eastAsia" w:eastAsia="仿宋_GB2312" w:cs="仿宋_GB2312"/>
          <w:kern w:val="0"/>
          <w:sz w:val="32"/>
          <w:szCs w:val="32"/>
        </w:rPr>
        <w:br w:type="page"/>
      </w:r>
    </w:p>
    <w:p w14:paraId="55E38207">
      <w:pPr>
        <w:widowControl/>
        <w:jc w:val="center"/>
        <w:rPr>
          <w:rFonts w:eastAsia="仿宋"/>
        </w:rPr>
      </w:pPr>
      <w:r>
        <w:rPr>
          <w:rFonts w:hint="eastAsia" w:eastAsia="黑体"/>
          <w:sz w:val="44"/>
          <w:szCs w:val="44"/>
        </w:rPr>
        <w:t>第</w:t>
      </w:r>
      <w:r>
        <w:rPr>
          <w:rStyle w:val="29"/>
          <w:rFonts w:hint="eastAsia" w:eastAsia="黑体"/>
          <w:b w:val="0"/>
        </w:rPr>
        <w:t>五部分 附表</w:t>
      </w:r>
      <w:bookmarkEnd w:id="100"/>
      <w:bookmarkEnd w:id="102"/>
      <w:bookmarkStart w:id="103" w:name="_Toc15396619"/>
    </w:p>
    <w:p w14:paraId="41B462BC">
      <w:pPr>
        <w:pStyle w:val="14"/>
        <w:adjustRightInd w:val="0"/>
        <w:snapToGrid w:val="0"/>
        <w:spacing w:line="560" w:lineRule="exact"/>
        <w:jc w:val="left"/>
        <w:rPr>
          <w:rFonts w:eastAsia="仿宋_GB2312" w:cs="仿宋_GB2312"/>
          <w:sz w:val="32"/>
          <w:szCs w:val="32"/>
        </w:rPr>
      </w:pPr>
    </w:p>
    <w:p w14:paraId="08B3E36A">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03"/>
    </w:p>
    <w:p w14:paraId="335E2C14">
      <w:pPr>
        <w:pStyle w:val="14"/>
        <w:adjustRightInd w:val="0"/>
        <w:snapToGrid w:val="0"/>
        <w:spacing w:line="560" w:lineRule="exact"/>
        <w:jc w:val="left"/>
        <w:rPr>
          <w:rFonts w:eastAsia="仿宋_GB2312" w:cs="仿宋_GB2312"/>
          <w:sz w:val="32"/>
          <w:szCs w:val="32"/>
        </w:rPr>
      </w:pPr>
      <w:bookmarkStart w:id="104" w:name="_Toc15396620"/>
      <w:r>
        <w:rPr>
          <w:rFonts w:hint="eastAsia" w:eastAsia="仿宋_GB2312" w:cs="仿宋_GB2312"/>
          <w:sz w:val="32"/>
          <w:szCs w:val="32"/>
        </w:rPr>
        <w:t>二、收入决算表</w:t>
      </w:r>
      <w:bookmarkEnd w:id="104"/>
    </w:p>
    <w:p w14:paraId="73857702">
      <w:pPr>
        <w:pStyle w:val="14"/>
        <w:adjustRightInd w:val="0"/>
        <w:snapToGrid w:val="0"/>
        <w:spacing w:line="560" w:lineRule="exact"/>
        <w:jc w:val="left"/>
        <w:rPr>
          <w:rFonts w:eastAsia="仿宋_GB2312" w:cs="仿宋_GB2312"/>
          <w:sz w:val="32"/>
          <w:szCs w:val="32"/>
        </w:rPr>
      </w:pPr>
      <w:bookmarkStart w:id="105" w:name="_Toc15396621"/>
      <w:r>
        <w:rPr>
          <w:rFonts w:hint="eastAsia" w:eastAsia="仿宋_GB2312" w:cs="仿宋_GB2312"/>
          <w:sz w:val="32"/>
          <w:szCs w:val="32"/>
        </w:rPr>
        <w:t>三、支出决算表</w:t>
      </w:r>
      <w:bookmarkEnd w:id="105"/>
    </w:p>
    <w:p w14:paraId="63D4BC63">
      <w:pPr>
        <w:pStyle w:val="14"/>
        <w:adjustRightInd w:val="0"/>
        <w:snapToGrid w:val="0"/>
        <w:spacing w:line="560" w:lineRule="exact"/>
        <w:jc w:val="left"/>
        <w:rPr>
          <w:rFonts w:eastAsia="仿宋_GB2312" w:cs="仿宋_GB2312"/>
          <w:sz w:val="32"/>
          <w:szCs w:val="32"/>
        </w:rPr>
      </w:pPr>
      <w:bookmarkStart w:id="106" w:name="_Toc15396622"/>
      <w:r>
        <w:rPr>
          <w:rFonts w:hint="eastAsia" w:eastAsia="仿宋_GB2312" w:cs="仿宋_GB2312"/>
          <w:sz w:val="32"/>
          <w:szCs w:val="32"/>
        </w:rPr>
        <w:t>四、财政拨款收入支出决算总表</w:t>
      </w:r>
      <w:bookmarkEnd w:id="106"/>
    </w:p>
    <w:p w14:paraId="7C811A00">
      <w:pPr>
        <w:pStyle w:val="14"/>
        <w:adjustRightInd w:val="0"/>
        <w:snapToGrid w:val="0"/>
        <w:spacing w:line="560" w:lineRule="exact"/>
        <w:jc w:val="left"/>
        <w:rPr>
          <w:rFonts w:eastAsia="仿宋_GB2312" w:cs="仿宋_GB2312"/>
          <w:sz w:val="32"/>
          <w:szCs w:val="32"/>
        </w:rPr>
      </w:pPr>
      <w:bookmarkStart w:id="107" w:name="_Toc15396623"/>
      <w:r>
        <w:rPr>
          <w:rFonts w:hint="eastAsia" w:eastAsia="仿宋_GB2312" w:cs="仿宋_GB2312"/>
          <w:sz w:val="32"/>
          <w:szCs w:val="32"/>
        </w:rPr>
        <w:t>五、财政拨款支出决算明细表</w:t>
      </w:r>
      <w:bookmarkEnd w:id="107"/>
      <w:bookmarkStart w:id="108" w:name="_Toc15396624"/>
    </w:p>
    <w:p w14:paraId="7CCFCD03">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108"/>
    </w:p>
    <w:p w14:paraId="719AECF2">
      <w:pPr>
        <w:pStyle w:val="14"/>
        <w:adjustRightInd w:val="0"/>
        <w:snapToGrid w:val="0"/>
        <w:spacing w:line="560" w:lineRule="exact"/>
        <w:jc w:val="left"/>
        <w:rPr>
          <w:rFonts w:eastAsia="仿宋_GB2312" w:cs="仿宋_GB2312"/>
          <w:sz w:val="32"/>
          <w:szCs w:val="32"/>
        </w:rPr>
      </w:pPr>
      <w:bookmarkStart w:id="109" w:name="_Toc15396625"/>
      <w:r>
        <w:rPr>
          <w:rFonts w:hint="eastAsia" w:eastAsia="仿宋_GB2312" w:cs="仿宋_GB2312"/>
          <w:sz w:val="32"/>
          <w:szCs w:val="32"/>
        </w:rPr>
        <w:t>七、一般公共预算财政拨款支出决算明细表</w:t>
      </w:r>
      <w:bookmarkEnd w:id="109"/>
    </w:p>
    <w:p w14:paraId="517B92DD">
      <w:pPr>
        <w:pStyle w:val="14"/>
        <w:adjustRightInd w:val="0"/>
        <w:snapToGrid w:val="0"/>
        <w:spacing w:line="560" w:lineRule="exact"/>
        <w:jc w:val="left"/>
        <w:rPr>
          <w:rFonts w:eastAsia="仿宋_GB2312" w:cs="仿宋_GB2312"/>
          <w:sz w:val="32"/>
          <w:szCs w:val="32"/>
        </w:rPr>
      </w:pPr>
      <w:bookmarkStart w:id="110" w:name="_Toc15396626"/>
      <w:r>
        <w:rPr>
          <w:rFonts w:hint="eastAsia" w:eastAsia="仿宋_GB2312" w:cs="仿宋_GB2312"/>
          <w:sz w:val="32"/>
          <w:szCs w:val="32"/>
        </w:rPr>
        <w:t>八、一般公共预算财政拨款基本支出决算表</w:t>
      </w:r>
      <w:bookmarkEnd w:id="110"/>
    </w:p>
    <w:p w14:paraId="38733B8B">
      <w:pPr>
        <w:pStyle w:val="14"/>
        <w:adjustRightInd w:val="0"/>
        <w:snapToGrid w:val="0"/>
        <w:spacing w:line="560" w:lineRule="exact"/>
        <w:jc w:val="left"/>
        <w:rPr>
          <w:rFonts w:eastAsia="仿宋_GB2312" w:cs="仿宋_GB2312"/>
          <w:sz w:val="32"/>
          <w:szCs w:val="32"/>
        </w:rPr>
      </w:pPr>
      <w:bookmarkStart w:id="111" w:name="_Toc15396627"/>
      <w:r>
        <w:rPr>
          <w:rFonts w:hint="eastAsia" w:eastAsia="仿宋_GB2312" w:cs="仿宋_GB2312"/>
          <w:sz w:val="32"/>
          <w:szCs w:val="32"/>
        </w:rPr>
        <w:t>九、一般公共预算财政拨款项目支出决算表</w:t>
      </w:r>
      <w:bookmarkEnd w:id="111"/>
    </w:p>
    <w:p w14:paraId="0FCFEFA6">
      <w:pPr>
        <w:pStyle w:val="14"/>
        <w:adjustRightInd w:val="0"/>
        <w:snapToGrid w:val="0"/>
        <w:spacing w:line="560" w:lineRule="exact"/>
        <w:jc w:val="left"/>
        <w:rPr>
          <w:rFonts w:hint="eastAsia" w:eastAsia="仿宋_GB2312" w:cs="仿宋_GB2312"/>
          <w:sz w:val="32"/>
          <w:szCs w:val="32"/>
          <w:lang w:eastAsia="zh-CN"/>
        </w:rPr>
      </w:pPr>
      <w:bookmarkStart w:id="112" w:name="_Toc15396628"/>
      <w:r>
        <w:rPr>
          <w:rFonts w:hint="eastAsia" w:eastAsia="仿宋_GB2312" w:cs="仿宋_GB2312"/>
          <w:sz w:val="32"/>
          <w:szCs w:val="32"/>
        </w:rPr>
        <w:t>十、</w:t>
      </w:r>
      <w:bookmarkEnd w:id="112"/>
      <w:r>
        <w:rPr>
          <w:rFonts w:hint="eastAsia" w:eastAsia="仿宋_GB2312" w:cs="仿宋_GB2312"/>
          <w:sz w:val="32"/>
          <w:szCs w:val="32"/>
        </w:rPr>
        <w:t>政府性基金预算财政拨款收入支出决算表</w:t>
      </w:r>
      <w:r>
        <w:rPr>
          <w:rFonts w:hint="eastAsia" w:eastAsia="仿宋_GB2312" w:cs="仿宋_GB2312"/>
          <w:sz w:val="32"/>
          <w:szCs w:val="32"/>
          <w:lang w:eastAsia="zh-CN"/>
        </w:rPr>
        <w:t>（此表无数据）</w:t>
      </w:r>
    </w:p>
    <w:p w14:paraId="7723C3D3">
      <w:pPr>
        <w:pStyle w:val="14"/>
        <w:adjustRightInd w:val="0"/>
        <w:snapToGrid w:val="0"/>
        <w:spacing w:line="560" w:lineRule="exact"/>
        <w:jc w:val="left"/>
        <w:rPr>
          <w:rFonts w:hint="eastAsia" w:eastAsia="仿宋_GB2312" w:cs="仿宋_GB2312"/>
          <w:sz w:val="32"/>
          <w:szCs w:val="32"/>
          <w:lang w:eastAsia="zh-CN"/>
        </w:rPr>
      </w:pPr>
      <w:bookmarkStart w:id="113" w:name="_Toc15396629"/>
      <w:r>
        <w:rPr>
          <w:rFonts w:hint="eastAsia" w:eastAsia="仿宋_GB2312" w:cs="仿宋_GB2312"/>
          <w:sz w:val="32"/>
          <w:szCs w:val="32"/>
        </w:rPr>
        <w:t>十一、</w:t>
      </w:r>
      <w:bookmarkEnd w:id="113"/>
      <w:r>
        <w:rPr>
          <w:rFonts w:hint="eastAsia" w:eastAsia="仿宋_GB2312" w:cs="仿宋_GB2312"/>
          <w:sz w:val="32"/>
          <w:szCs w:val="32"/>
        </w:rPr>
        <w:t>国有资本经营预算财政拨款收入支出决算表</w:t>
      </w:r>
      <w:r>
        <w:rPr>
          <w:rFonts w:hint="eastAsia" w:eastAsia="仿宋_GB2312" w:cs="仿宋_GB2312"/>
          <w:sz w:val="32"/>
          <w:szCs w:val="32"/>
          <w:lang w:eastAsia="zh-CN"/>
        </w:rPr>
        <w:t>（此表无数据）</w:t>
      </w:r>
    </w:p>
    <w:p w14:paraId="1012417B">
      <w:pPr>
        <w:pStyle w:val="14"/>
        <w:adjustRightInd w:val="0"/>
        <w:snapToGrid w:val="0"/>
        <w:spacing w:line="560" w:lineRule="exact"/>
        <w:jc w:val="left"/>
        <w:rPr>
          <w:rFonts w:hint="eastAsia" w:eastAsia="仿宋_GB2312" w:cs="仿宋_GB2312"/>
          <w:sz w:val="32"/>
          <w:szCs w:val="32"/>
          <w:lang w:eastAsia="zh-CN"/>
        </w:rPr>
      </w:pPr>
      <w:bookmarkStart w:id="114" w:name="_Toc15396630"/>
      <w:r>
        <w:rPr>
          <w:rFonts w:hint="eastAsia" w:eastAsia="仿宋_GB2312" w:cs="仿宋_GB2312"/>
          <w:sz w:val="32"/>
          <w:szCs w:val="32"/>
        </w:rPr>
        <w:t>十二、</w:t>
      </w:r>
      <w:bookmarkEnd w:id="114"/>
      <w:r>
        <w:rPr>
          <w:rFonts w:hint="eastAsia" w:eastAsia="仿宋_GB2312" w:cs="仿宋_GB2312"/>
          <w:sz w:val="32"/>
          <w:szCs w:val="32"/>
        </w:rPr>
        <w:t>国有资本经营预算财政拨款支出决算表</w:t>
      </w:r>
      <w:r>
        <w:rPr>
          <w:rFonts w:hint="eastAsia" w:eastAsia="仿宋_GB2312" w:cs="仿宋_GB2312"/>
          <w:sz w:val="32"/>
          <w:szCs w:val="32"/>
          <w:lang w:eastAsia="zh-CN"/>
        </w:rPr>
        <w:t>（此表无数据）</w:t>
      </w:r>
    </w:p>
    <w:p w14:paraId="38C76A1F">
      <w:pPr>
        <w:pStyle w:val="14"/>
        <w:adjustRightInd w:val="0"/>
        <w:snapToGrid w:val="0"/>
        <w:spacing w:line="560" w:lineRule="exact"/>
        <w:jc w:val="left"/>
        <w:rPr>
          <w:rFonts w:hint="eastAsia" w:eastAsia="仿宋_GB2312" w:cs="仿宋_GB2312"/>
          <w:sz w:val="32"/>
          <w:szCs w:val="32"/>
          <w:lang w:eastAsia="zh-CN"/>
        </w:rPr>
      </w:pPr>
      <w:bookmarkStart w:id="115" w:name="_Toc15396631"/>
      <w:r>
        <w:rPr>
          <w:rFonts w:hint="eastAsia" w:eastAsia="仿宋_GB2312" w:cs="仿宋_GB2312"/>
          <w:sz w:val="32"/>
          <w:szCs w:val="32"/>
        </w:rPr>
        <w:t>十三、</w:t>
      </w:r>
      <w:bookmarkEnd w:id="115"/>
      <w:r>
        <w:rPr>
          <w:rFonts w:hint="eastAsia" w:eastAsia="仿宋_GB2312" w:cs="仿宋_GB2312"/>
          <w:sz w:val="32"/>
          <w:szCs w:val="32"/>
        </w:rPr>
        <w:t>财政拨款“三公”经费支出决算表</w:t>
      </w:r>
    </w:p>
    <w:p w14:paraId="167290A7"/>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5B4F6">
    <w:pPr>
      <w:pStyle w:val="10"/>
      <w:jc w:val="center"/>
    </w:pPr>
  </w:p>
  <w:p w14:paraId="13311AB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B6492">
    <w:pPr>
      <w:pStyle w:val="10"/>
      <w:jc w:val="center"/>
    </w:pPr>
  </w:p>
  <w:p w14:paraId="5C9C5FAF">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F5F9">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97086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997086B">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7DBF507F">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1D7BD">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E364FF"/>
    <w:multiLevelType w:val="singleLevel"/>
    <w:tmpl w:val="DAE364FF"/>
    <w:lvl w:ilvl="0" w:tentative="0">
      <w:start w:val="2"/>
      <w:numFmt w:val="chineseCounting"/>
      <w:suff w:val="nothing"/>
      <w:lvlText w:val="（%1）"/>
      <w:lvlJc w:val="left"/>
      <w:rPr>
        <w:rFonts w:hint="eastAsia"/>
      </w:rPr>
    </w:lvl>
  </w:abstractNum>
  <w:abstractNum w:abstractNumId="1">
    <w:nsid w:val="F7DC9035"/>
    <w:multiLevelType w:val="singleLevel"/>
    <w:tmpl w:val="F7DC9035"/>
    <w:lvl w:ilvl="0" w:tentative="0">
      <w:start w:val="2"/>
      <w:numFmt w:val="decimal"/>
      <w:lvlText w:val="%1."/>
      <w:lvlJc w:val="left"/>
      <w:pPr>
        <w:tabs>
          <w:tab w:val="left" w:pos="312"/>
        </w:tabs>
      </w:pPr>
    </w:lvl>
  </w:abstractNum>
  <w:abstractNum w:abstractNumId="2">
    <w:nsid w:val="79FA1D76"/>
    <w:multiLevelType w:val="singleLevel"/>
    <w:tmpl w:val="79FA1D7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DCB44C2"/>
    <w:rsid w:val="1E740ACF"/>
    <w:rsid w:val="1E8B55E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5E3341"/>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4FFB7C0C"/>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EFE3145"/>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CDFAA5"/>
    <w:rsid w:val="75DEEEC2"/>
    <w:rsid w:val="76E3355F"/>
    <w:rsid w:val="76FF5125"/>
    <w:rsid w:val="776F6FFA"/>
    <w:rsid w:val="778769C8"/>
    <w:rsid w:val="77DC22F5"/>
    <w:rsid w:val="77EDDCF5"/>
    <w:rsid w:val="79086DAD"/>
    <w:rsid w:val="79974F09"/>
    <w:rsid w:val="79D7FD79"/>
    <w:rsid w:val="79EE5BA4"/>
    <w:rsid w:val="7A894339"/>
    <w:rsid w:val="7AFF7572"/>
    <w:rsid w:val="7B6C7DFB"/>
    <w:rsid w:val="7BBF0AC5"/>
    <w:rsid w:val="7BBFBED0"/>
    <w:rsid w:val="7BC3E394"/>
    <w:rsid w:val="7C1F3737"/>
    <w:rsid w:val="7CBFC87B"/>
    <w:rsid w:val="7CFE0F48"/>
    <w:rsid w:val="7D7EC23E"/>
    <w:rsid w:val="7D916348"/>
    <w:rsid w:val="7E8ADEBF"/>
    <w:rsid w:val="7EEF11D3"/>
    <w:rsid w:val="7F0971A6"/>
    <w:rsid w:val="7F3F679B"/>
    <w:rsid w:val="7F4FC4EF"/>
    <w:rsid w:val="7F5E4D54"/>
    <w:rsid w:val="7F6E0135"/>
    <w:rsid w:val="7F794B6C"/>
    <w:rsid w:val="7FA30C79"/>
    <w:rsid w:val="7FAF8ABF"/>
    <w:rsid w:val="7FB7269E"/>
    <w:rsid w:val="7FC96657"/>
    <w:rsid w:val="7FDA9588"/>
    <w:rsid w:val="7FDF220F"/>
    <w:rsid w:val="7FEDC5F7"/>
    <w:rsid w:val="7FEDD9DE"/>
    <w:rsid w:val="7FF5890D"/>
    <w:rsid w:val="7FF93490"/>
    <w:rsid w:val="99FF2014"/>
    <w:rsid w:val="A6DD0D7F"/>
    <w:rsid w:val="A7FFFAAA"/>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3A18200"/>
    <w:rsid w:val="E5F4E9DC"/>
    <w:rsid w:val="E70FE695"/>
    <w:rsid w:val="E767F5CE"/>
    <w:rsid w:val="E8ED4444"/>
    <w:rsid w:val="ECFED1BC"/>
    <w:rsid w:val="ED1D69BB"/>
    <w:rsid w:val="ED7FD312"/>
    <w:rsid w:val="EF53993F"/>
    <w:rsid w:val="EF6FD633"/>
    <w:rsid w:val="EFBFB2F4"/>
    <w:rsid w:val="EFBFFA21"/>
    <w:rsid w:val="F2BEBCB8"/>
    <w:rsid w:val="F36FB518"/>
    <w:rsid w:val="F3DE1A04"/>
    <w:rsid w:val="F3F722E5"/>
    <w:rsid w:val="F765B502"/>
    <w:rsid w:val="FA5F1E70"/>
    <w:rsid w:val="FA5FDB97"/>
    <w:rsid w:val="FB7F486A"/>
    <w:rsid w:val="FBFF5B2E"/>
    <w:rsid w:val="FD7FFE2B"/>
    <w:rsid w:val="FDEE196B"/>
    <w:rsid w:val="FDFE6575"/>
    <w:rsid w:val="FEDFDDC2"/>
    <w:rsid w:val="FEED32F6"/>
    <w:rsid w:val="FEF781DD"/>
    <w:rsid w:val="FF3F7E3F"/>
    <w:rsid w:val="FFB0F0FD"/>
    <w:rsid w:val="FFBA12D7"/>
    <w:rsid w:val="FFDFFAEE"/>
    <w:rsid w:val="FFE20C0F"/>
    <w:rsid w:val="FFF9B57B"/>
    <w:rsid w:val="FFFD61D9"/>
    <w:rsid w:val="FFFD8F59"/>
    <w:rsid w:val="FFFF2BB1"/>
    <w:rsid w:val="FFFF4AB7"/>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收入、支出决算总计变动情况表</a:t>
            </a:r>
          </a:p>
        </c:rich>
      </c:tx>
      <c:layout>
        <c:manualLayout>
          <c:xMode val="edge"/>
          <c:yMode val="edge"/>
          <c:x val="0.292824353708625"/>
          <c:y val="0.0382490437739057"/>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Sheet1!$A$2:$A$5</c:f>
              <c:strCache>
                <c:ptCount val="4"/>
                <c:pt idx="0">
                  <c:v>全年收入总计</c:v>
                </c:pt>
                <c:pt idx="1">
                  <c:v>全年支出总计</c:v>
                </c:pt>
                <c:pt idx="2">
                  <c:v>同比减少额</c:v>
                </c:pt>
                <c:pt idx="3">
                  <c:v>同比增加额</c:v>
                </c:pt>
              </c:strCache>
            </c:strRef>
          </c:cat>
          <c:val>
            <c:numRef>
              <c:f>Sheet1!$B$2:$B$5</c:f>
              <c:numCache>
                <c:formatCode>General</c:formatCode>
                <c:ptCount val="4"/>
                <c:pt idx="0">
                  <c:v>815.83</c:v>
                </c:pt>
                <c:pt idx="1">
                  <c:v>815.83</c:v>
                </c:pt>
                <c:pt idx="3">
                  <c:v>22.82</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Sheet1!$A$2:$A$5</c:f>
              <c:strCache>
                <c:ptCount val="4"/>
                <c:pt idx="0">
                  <c:v>全年收入总计</c:v>
                </c:pt>
                <c:pt idx="1">
                  <c:v>全年支出总计</c:v>
                </c:pt>
                <c:pt idx="2">
                  <c:v>同比减少额</c:v>
                </c:pt>
                <c:pt idx="3">
                  <c:v>同比增加额</c:v>
                </c:pt>
              </c:strCache>
            </c:strRef>
          </c:cat>
          <c:val>
            <c:numRef>
              <c:f>Sheet1!$C$2:$C$5</c:f>
              <c:numCache>
                <c:formatCode>General</c:formatCode>
                <c:ptCount val="4"/>
                <c:pt idx="0">
                  <c:v>793.01</c:v>
                </c:pt>
                <c:pt idx="1">
                  <c:v>793.01</c:v>
                </c:pt>
                <c:pt idx="2">
                  <c:v>22.82</c:v>
                </c:pt>
              </c:numCache>
            </c:numRef>
          </c:val>
        </c:ser>
        <c:dLbls>
          <c:showLegendKey val="0"/>
          <c:showVal val="0"/>
          <c:showCatName val="0"/>
          <c:showSerName val="0"/>
          <c:showPercent val="0"/>
          <c:showBubbleSize val="0"/>
        </c:dLbls>
        <c:gapWidth val="150"/>
        <c:overlap val="0"/>
        <c:axId val="457025975"/>
        <c:axId val="75457482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Sheet1!$A$2:$A$5</c15:sqref>
                        </c15:formulaRef>
                      </c:ext>
                    </c:extLst>
                    <c:strCache>
                      <c:ptCount val="4"/>
                      <c:pt idx="0">
                        <c:v>全年收入总计</c:v>
                      </c:pt>
                      <c:pt idx="1">
                        <c:v>全年支出总计</c:v>
                      </c:pt>
                      <c:pt idx="2">
                        <c:v>同比减少额</c:v>
                      </c:pt>
                      <c:pt idx="3">
                        <c:v>同比增加额</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570259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574821"/>
        <c:crosses val="autoZero"/>
        <c:auto val="1"/>
        <c:lblAlgn val="ctr"/>
        <c:lblOffset val="100"/>
        <c:noMultiLvlLbl val="0"/>
      </c:catAx>
      <c:valAx>
        <c:axId val="754574821"/>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0259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e66985d8-4723-4bfc-95a7-64191a39d4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0181137338445336"/>
                  <c:y val="-0.15399619020668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一般公共预算拨款收入100%</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342353225416767"/>
                      <c:h val="0.0992350191245219"/>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一般公共预算拨款收入</c:v>
                </c:pt>
              </c:strCache>
            </c:strRef>
          </c:cat>
          <c:val>
            <c:numRef>
              <c:f>Sheet1!$B$2:$B$5</c:f>
              <c:numCache>
                <c:formatCode>0%</c:formatCode>
                <c:ptCount val="4"/>
                <c:pt idx="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1"/>
        <c:delete val="1"/>
      </c:legendEntry>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b03095-8fa0-4012-b8ad-801bb5272eb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manualLayout>
                  <c:x val="0.145962750344336"/>
                  <c:y val="-0.22400237849329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87.</a:t>
                    </a:r>
                    <a:r>
                      <a:rPr lang="en-US" altLang="zh-CN"/>
                      <a:t>4</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66389838788471"/>
                  <c:y val="-0.07761437908496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12.6%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0.8739</c:v>
                </c:pt>
                <c:pt idx="1">
                  <c:v>0.1261</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34a045-7b1c-4484-b0b7-842db27ab38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财政拨款收、支决算总计变动情况表</a:t>
            </a:r>
          </a:p>
        </c:rich>
      </c:tx>
      <c:layout>
        <c:manualLayout>
          <c:xMode val="edge"/>
          <c:yMode val="edge"/>
          <c:x val="0.292824353708625"/>
          <c:y val="0.0382490437739057"/>
        </c:manualLayout>
      </c:layout>
      <c:overlay val="0"/>
      <c:spPr>
        <a:noFill/>
        <a:ln>
          <a:noFill/>
        </a:ln>
        <a:effectLst/>
      </c:spPr>
    </c:title>
    <c:autoTitleDeleted val="0"/>
    <c:plotArea>
      <c:layout>
        <c:manualLayout>
          <c:layoutTarget val="inner"/>
          <c:xMode val="edge"/>
          <c:yMode val="edge"/>
          <c:x val="0.179795021961933"/>
          <c:y val="0.173595915390226"/>
          <c:w val="0.816826219168825"/>
          <c:h val="0.625601750547046"/>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全年收入总计</c:v>
                </c:pt>
                <c:pt idx="1">
                  <c:v>全年支出总计</c:v>
                </c:pt>
                <c:pt idx="2">
                  <c:v>同比减少额</c:v>
                </c:pt>
                <c:pt idx="3">
                  <c:v>同比减少率</c:v>
                </c:pt>
              </c:strCache>
            </c:strRef>
          </c:cat>
          <c:val>
            <c:numRef>
              <c:f>Sheet1!$B$2:$B$5</c:f>
              <c:numCache>
                <c:formatCode>General</c:formatCode>
                <c:ptCount val="4"/>
                <c:pt idx="0">
                  <c:v>815.83</c:v>
                </c:pt>
                <c:pt idx="1">
                  <c:v>815.83</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432965064198268"/>
                  <c:y val="0.007602635580334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13526425798746"/>
                  <c:y val="0.00253421186011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2.8%</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全年收入总计</c:v>
                </c:pt>
                <c:pt idx="1">
                  <c:v>全年支出总计</c:v>
                </c:pt>
                <c:pt idx="2">
                  <c:v>同比减少额</c:v>
                </c:pt>
                <c:pt idx="3">
                  <c:v>同比减少率</c:v>
                </c:pt>
              </c:strCache>
            </c:strRef>
          </c:cat>
          <c:val>
            <c:numRef>
              <c:f>Sheet1!$C$2:$C$5</c:f>
              <c:numCache>
                <c:formatCode>General</c:formatCode>
                <c:ptCount val="4"/>
                <c:pt idx="0">
                  <c:v>793.01</c:v>
                </c:pt>
                <c:pt idx="1">
                  <c:v>793.01</c:v>
                </c:pt>
                <c:pt idx="2">
                  <c:v>22.82</c:v>
                </c:pt>
                <c:pt idx="3" c:formatCode="0.00%">
                  <c:v>0.028</c:v>
                </c:pt>
              </c:numCache>
            </c:numRef>
          </c:val>
        </c:ser>
        <c:dLbls>
          <c:showLegendKey val="0"/>
          <c:showVal val="0"/>
          <c:showCatName val="0"/>
          <c:showSerName val="0"/>
          <c:showPercent val="0"/>
          <c:showBubbleSize val="0"/>
        </c:dLbls>
        <c:gapWidth val="150"/>
        <c:overlap val="0"/>
        <c:axId val="457025975"/>
        <c:axId val="75457482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Sheet1!$A$2:$A$5</c15:sqref>
                        </c15:formulaRef>
                      </c:ext>
                    </c:extLst>
                    <c:strCache>
                      <c:ptCount val="4"/>
                      <c:pt idx="0">
                        <c:v>全年收入总计</c:v>
                      </c:pt>
                      <c:pt idx="1">
                        <c:v>全年支出总计</c:v>
                      </c:pt>
                      <c:pt idx="2">
                        <c:v>同比减少额</c:v>
                      </c:pt>
                      <c:pt idx="3">
                        <c:v>同比减少率</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570259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574821"/>
        <c:crosses val="autoZero"/>
        <c:auto val="1"/>
        <c:lblAlgn val="ctr"/>
        <c:lblOffset val="100"/>
        <c:noMultiLvlLbl val="0"/>
      </c:catAx>
      <c:valAx>
        <c:axId val="754574821"/>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0259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fe260038-1f4e-4143-bb8d-71f38bef55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一般公共预算财政拨款支出决算变动情况表</a:t>
            </a:r>
          </a:p>
        </c:rich>
      </c:tx>
      <c:layout>
        <c:manualLayout>
          <c:xMode val="edge"/>
          <c:yMode val="edge"/>
          <c:x val="0.2241471366289"/>
          <c:y val="0.0433174674941287"/>
        </c:manualLayout>
      </c:layout>
      <c:overlay val="0"/>
      <c:spPr>
        <a:noFill/>
        <a:ln>
          <a:noFill/>
        </a:ln>
        <a:effectLst/>
      </c:spPr>
    </c:title>
    <c:autoTitleDeleted val="0"/>
    <c:plotArea>
      <c:layout>
        <c:manualLayout>
          <c:layoutTarget val="inner"/>
          <c:xMode val="edge"/>
          <c:yMode val="edge"/>
          <c:x val="0.179795021961933"/>
          <c:y val="0.173595915390226"/>
          <c:w val="0.816826219168825"/>
          <c:h val="0.625601750547046"/>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全年支出总计</c:v>
                </c:pt>
                <c:pt idx="1">
                  <c:v>一般公共预算支出总计</c:v>
                </c:pt>
                <c:pt idx="2">
                  <c:v>同比减少额</c:v>
                </c:pt>
                <c:pt idx="3">
                  <c:v>同比减少率</c:v>
                </c:pt>
              </c:strCache>
            </c:strRef>
          </c:cat>
          <c:val>
            <c:numRef>
              <c:f>Sheet1!$B$2:$B$5</c:f>
              <c:numCache>
                <c:formatCode>General</c:formatCode>
                <c:ptCount val="4"/>
                <c:pt idx="0">
                  <c:v>815.83</c:v>
                </c:pt>
                <c:pt idx="1">
                  <c:v>815.83</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manualLayout>
                  <c:x val="0.0432965064198268"/>
                  <c:y val="0.007602635580334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13526425798746"/>
                  <c:y val="0.00253421186011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2.8%</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全年支出总计</c:v>
                </c:pt>
                <c:pt idx="1">
                  <c:v>一般公共预算支出总计</c:v>
                </c:pt>
                <c:pt idx="2">
                  <c:v>同比减少额</c:v>
                </c:pt>
                <c:pt idx="3">
                  <c:v>同比减少率</c:v>
                </c:pt>
              </c:strCache>
            </c:strRef>
          </c:cat>
          <c:val>
            <c:numRef>
              <c:f>Sheet1!$C$2:$C$5</c:f>
              <c:numCache>
                <c:formatCode>General</c:formatCode>
                <c:ptCount val="4"/>
                <c:pt idx="0">
                  <c:v>793.01</c:v>
                </c:pt>
                <c:pt idx="1">
                  <c:v>793.01</c:v>
                </c:pt>
                <c:pt idx="2">
                  <c:v>22.82</c:v>
                </c:pt>
                <c:pt idx="3" c:formatCode="0.00%">
                  <c:v>0.028</c:v>
                </c:pt>
              </c:numCache>
            </c:numRef>
          </c:val>
        </c:ser>
        <c:dLbls>
          <c:showLegendKey val="0"/>
          <c:showVal val="0"/>
          <c:showCatName val="0"/>
          <c:showSerName val="0"/>
          <c:showPercent val="0"/>
          <c:showBubbleSize val="0"/>
        </c:dLbls>
        <c:gapWidth val="150"/>
        <c:overlap val="0"/>
        <c:axId val="457025975"/>
        <c:axId val="75457482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Sheet1!$A$2:$A$5</c15:sqref>
                        </c15:formulaRef>
                      </c:ext>
                    </c:extLst>
                    <c:strCache>
                      <c:ptCount val="4"/>
                      <c:pt idx="0">
                        <c:v>全年支出总计</c:v>
                      </c:pt>
                      <c:pt idx="1">
                        <c:v>一般公共预算支出总计</c:v>
                      </c:pt>
                      <c:pt idx="2">
                        <c:v>同比减少额</c:v>
                      </c:pt>
                      <c:pt idx="3">
                        <c:v>同比减少率</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4570259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574821"/>
        <c:crosses val="autoZero"/>
        <c:auto val="1"/>
        <c:lblAlgn val="ctr"/>
        <c:lblOffset val="100"/>
        <c:noMultiLvlLbl val="0"/>
      </c:catAx>
      <c:valAx>
        <c:axId val="754574821"/>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0259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6888215-90fd-4822-ac6e-8e539374ce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manualLayout>
          <c:xMode val="edge"/>
          <c:yMode val="edge"/>
          <c:x val="0.209833293065958"/>
          <c:y val="0.0570181613402788"/>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支出额</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dLbl>
              <c:idx val="0"/>
              <c:layout>
                <c:manualLayout>
                  <c:x val="0.0271495031387105"/>
                  <c:y val="-0.084422227002526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532.19万元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6466154476469"/>
                  <c:y val="-0.018524229209582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180.84万元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24812756704518"/>
                  <c:y val="-0.029079159935379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36.23万元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00786691811073"/>
                  <c:y val="-0.054011211063339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43.75万元</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532.19</c:v>
                </c:pt>
                <c:pt idx="1">
                  <c:v>180.84</c:v>
                </c:pt>
                <c:pt idx="2">
                  <c:v>36.23</c:v>
                </c:pt>
                <c:pt idx="3">
                  <c:v>43.75</c:v>
                </c:pt>
              </c:numCache>
            </c:numRef>
          </c:val>
        </c:ser>
        <c:dLbls>
          <c:showLegendKey val="0"/>
          <c:showVal val="0"/>
          <c:showCatName val="0"/>
          <c:showSerName val="0"/>
          <c:showPercent val="0"/>
          <c:showBubbleSize val="0"/>
        </c:dLbls>
      </c:pie3DChart>
      <c:spPr>
        <a:noFill/>
        <a:ln>
          <a:noFill/>
        </a:ln>
        <a:effectLst/>
      </c:spPr>
    </c:plotArea>
    <c:legend>
      <c:legendPos val="t"/>
      <c:layout>
        <c:manualLayout>
          <c:xMode val="edge"/>
          <c:yMode val="edge"/>
          <c:x val="0.0863131191108964"/>
          <c:y val="0.13121216387441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894c06-33bb-4acb-81bc-676746bc60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0366389838788471"/>
          <c:y val="0.294117647058824"/>
          <c:w val="0.992672203224231"/>
          <c:h val="0.697712418300654"/>
        </c:manualLayout>
      </c:layout>
      <c:pie3D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manualLayout>
                  <c:x val="0.31267012699309"/>
                  <c:y val="-0.2362572804540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96</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0908646800195"/>
                  <c:y val="0.012254901960784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4</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c:v>
                </c:pt>
                <c:pt idx="1">
                  <c:v>公务接待费支出</c:v>
                </c:pt>
              </c:strCache>
            </c:strRef>
          </c:cat>
          <c:val>
            <c:numRef>
              <c:f>Sheet1!$B$2:$B$3</c:f>
              <c:numCache>
                <c:formatCode>0.00%</c:formatCode>
                <c:ptCount val="2"/>
                <c:pt idx="0">
                  <c:v>0.96</c:v>
                </c:pt>
                <c:pt idx="1">
                  <c:v>0.04</c:v>
                </c:pt>
              </c:numCache>
            </c:numRef>
          </c:val>
        </c:ser>
        <c:dLbls>
          <c:showLegendKey val="0"/>
          <c:showVal val="0"/>
          <c:showCatName val="0"/>
          <c:showSerName val="0"/>
          <c:showPercent val="0"/>
          <c:showBubbleSize val="0"/>
        </c:dLbls>
      </c:pie3DChart>
      <c:spPr>
        <a:noFill/>
        <a:ln>
          <a:noFill/>
        </a:ln>
        <a:effectLst/>
      </c:spPr>
    </c:plotArea>
    <c:legend>
      <c:legendPos val="t"/>
      <c:layout>
        <c:manualLayout>
          <c:xMode val="edge"/>
          <c:yMode val="edge"/>
          <c:x val="0.0685148998534441"/>
          <c:y val="0.168028322440087"/>
          <c:w val="0.88495359062042"/>
          <c:h val="0.10974945533769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d45505-b2c5-4ccb-bb8e-6a0c281d92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7b7051e6-5237-4926-80ad-a96b3a267ab3</errorID>
      <errorWord xmlns="http://schemas.wps.cn/vas-ai-hub/contract-review">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item>
      </candidateList>
      <explain xmlns="http://schemas.wps.cn/vas-ai-hub/contract-review">存在字形相近字词的误用。</explain>
      <paraID xmlns="http://schemas.wps.cn/vas-ai-hub/contract-review">42007C0E</paraID>
      <start xmlns="http://schemas.wps.cn/vas-ai-hub/contract-review">131</start>
      <end xmlns="http://schemas.wps.cn/vas-ai-hub/contract-review">132</end>
      <status xmlns="http://schemas.wps.cn/vas-ai-hub/contract-review">modified</status>
      <modifiedWord xmlns="http://schemas.wps.cn/vas-ai-hub/contract-review">中</modifiedWord>
      <trackRevisions xmlns="http://schemas.wps.cn/vas-ai-hub/contract-review">false</trackRevisions>
    </reviewItem>
    <reviewItem xmlns="http://schemas.wps.cn/vas-ai-hub/contract-review">
      <errorID xmlns="http://schemas.wps.cn/vas-ai-hub/contract-review">8a36609c-1b8c-4837-a03d-e2d275c24cbd</errorID>
      <errorWord xmlns="http://schemas.wps.cn/vas-ai-hub/contract-review">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item>
      </candidateList>
      <explain xmlns="http://schemas.wps.cn/vas-ai-hub/contract-review">存在字形相近字词的误用。</explain>
      <paraID xmlns="http://schemas.wps.cn/vas-ai-hub/contract-review">3463AB8E</paraID>
      <start xmlns="http://schemas.wps.cn/vas-ai-hub/contract-review">135</start>
      <end xmlns="http://schemas.wps.cn/vas-ai-hub/contract-review">136</end>
      <status xmlns="http://schemas.wps.cn/vas-ai-hub/contract-review">modified</status>
      <modifiedWord xmlns="http://schemas.wps.cn/vas-ai-hub/contract-review">中</modifiedWord>
      <trackRevisions xmlns="http://schemas.wps.cn/vas-ai-hub/contract-review">false</trackRevisions>
    </reviewItem>
    <reviewItem xmlns="http://schemas.wps.cn/vas-ai-hub/contract-review">
      <errorID xmlns="http://schemas.wps.cn/vas-ai-hub/contract-review">bd05c96d-4902-48d9-8d25-543740029ca8</errorID>
      <errorWord xmlns="http://schemas.wps.cn/vas-ai-hub/contract-review">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item>
      </candidateList>
      <explain xmlns="http://schemas.wps.cn/vas-ai-hub/contract-review">存在字形相近字词的误用。</explain>
      <paraID xmlns="http://schemas.wps.cn/vas-ai-hub/contract-review">14E1A04B</paraID>
      <start xmlns="http://schemas.wps.cn/vas-ai-hub/contract-review">152</start>
      <end xmlns="http://schemas.wps.cn/vas-ai-hub/contract-review">153</end>
      <status xmlns="http://schemas.wps.cn/vas-ai-hub/contract-review">modified</status>
      <modifiedWord xmlns="http://schemas.wps.cn/vas-ai-hub/contract-review">中</modifiedWord>
      <trackRevisions xmlns="http://schemas.wps.cn/vas-ai-hub/contract-review">false</trackRevisions>
    </reviewItem>
    <reviewItem xmlns="http://schemas.wps.cn/vas-ai-hub/contract-review">
      <errorID xmlns="http://schemas.wps.cn/vas-ai-hub/contract-review">14fa33c5-3987-45bd-abf1-c5e0df7394b8</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3DDE1A06</paraID>
      <start xmlns="http://schemas.wps.cn/vas-ai-hub/contract-review">15</start>
      <end xmlns="http://schemas.wps.cn/vas-ai-hub/contract-review">16</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9aab658a-b59d-46f8-8205-44f82b3004da</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3DDE1A06</paraID>
      <start xmlns="http://schemas.wps.cn/vas-ai-hub/contract-review">23</start>
      <end xmlns="http://schemas.wps.cn/vas-ai-hub/contract-review">24</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cd9e6322-de5d-42f3-b4a6-ab75bad40622</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3DDE1A06</paraID>
      <start xmlns="http://schemas.wps.cn/vas-ai-hub/contract-review">39</start>
      <end xmlns="http://schemas.wps.cn/vas-ai-hub/contract-review">40</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a0c05770-a655-428a-b9a6-93623bd27ebd</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6E5AB05E</paraID>
      <start xmlns="http://schemas.wps.cn/vas-ai-hub/contract-review">13</start>
      <end xmlns="http://schemas.wps.cn/vas-ai-hub/contract-review">14</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dbd451ea-52ea-4ecf-89f1-a3fa5f880691</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6E5AB05E</paraID>
      <start xmlns="http://schemas.wps.cn/vas-ai-hub/contract-review">30</start>
      <end xmlns="http://schemas.wps.cn/vas-ai-hub/contract-review">31</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800313d7-994e-492e-ac9c-3907679df986</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6E5AB05E</paraID>
      <start xmlns="http://schemas.wps.cn/vas-ai-hub/contract-review">38</start>
      <end xmlns="http://schemas.wps.cn/vas-ai-hub/contract-review">39</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8ccb2356-d979-4b38-a57d-f8b5b4d563b1</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6E5AB05E</paraID>
      <start xmlns="http://schemas.wps.cn/vas-ai-hub/contract-review">43</start>
      <end xmlns="http://schemas.wps.cn/vas-ai-hub/contract-review">44</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cf36f79a-d8b0-4f04-a403-71d00ef884b4</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6E5AB05E</paraID>
      <start xmlns="http://schemas.wps.cn/vas-ai-hub/contract-review">63</start>
      <end xmlns="http://schemas.wps.cn/vas-ai-hub/contract-review">64</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5579fdf1-78ca-42f1-ae8f-8bb048552944</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6E5AB05E</paraID>
      <start xmlns="http://schemas.wps.cn/vas-ai-hub/contract-review">68</start>
      <end xmlns="http://schemas.wps.cn/vas-ai-hub/contract-review">69</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369bab8f-0b16-498f-b8db-979736896952</errorID>
      <errorWord xmlns="http://schemas.wps.cn/vas-ai-hub/contract-review">７</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7</item>
      </candidateList>
      <explain xmlns="http://schemas.wps.cn/vas-ai-hub/contract-review">文本全半角错误。</explain>
      <paraID xmlns="http://schemas.wps.cn/vas-ai-hub/contract-review">6256498D</paraID>
      <start xmlns="http://schemas.wps.cn/vas-ai-hub/contract-review">63</start>
      <end xmlns="http://schemas.wps.cn/vas-ai-hub/contract-review">64</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fc9d3227-c0b6-44bf-a077-a19404f7d68a</errorID>
      <errorWord xmlns="http://schemas.wps.cn/vas-ai-hub/contract-review">７</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7</item>
      </candidateList>
      <explain xmlns="http://schemas.wps.cn/vas-ai-hub/contract-review">文本全半角错误。</explain>
      <paraID xmlns="http://schemas.wps.cn/vas-ai-hub/contract-review"> 3D455DD</paraID>
      <start xmlns="http://schemas.wps.cn/vas-ai-hub/contract-review">23</start>
      <end xmlns="http://schemas.wps.cn/vas-ai-hub/contract-review">24</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2fe0a808-afb1-4292-8ba9-0bb1dc06a915</errorID>
      <errorWord xmlns="http://schemas.wps.cn/vas-ai-hub/contract-review">７</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7</item>
      </candidateList>
      <explain xmlns="http://schemas.wps.cn/vas-ai-hub/contract-review">文本全半角错误。</explain>
      <paraID xmlns="http://schemas.wps.cn/vas-ai-hub/contract-review"> 3D455DD</paraID>
      <start xmlns="http://schemas.wps.cn/vas-ai-hub/contract-review">87</start>
      <end xmlns="http://schemas.wps.cn/vas-ai-hub/contract-review">88</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13a26332-8a3c-4351-ad97-acf78440d5c4</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65E43859</paraID>
      <start xmlns="http://schemas.wps.cn/vas-ai-hub/contract-review">6</start>
      <end xmlns="http://schemas.wps.cn/vas-ai-hub/contract-review">7</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f497afbf-cc41-4f96-b118-cb94dc2da707</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65E43859</paraID>
      <start xmlns="http://schemas.wps.cn/vas-ai-hub/contract-review">14</start>
      <end xmlns="http://schemas.wps.cn/vas-ai-hub/contract-review">15</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55e1fac1-8c73-46ab-ad54-844e7a35314d</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65E43859</paraID>
      <start xmlns="http://schemas.wps.cn/vas-ai-hub/contract-review">18</start>
      <end xmlns="http://schemas.wps.cn/vas-ai-hub/contract-review">19</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5e88b311-066f-4099-aed2-bb4f699a5b02</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2A2CF26D</paraID>
      <start xmlns="http://schemas.wps.cn/vas-ai-hub/contract-review">24</start>
      <end xmlns="http://schemas.wps.cn/vas-ai-hub/contract-review">25</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011cb2ac-9046-4652-aabb-7f009e964d3e</errorID>
      <errorWord xmlns="http://schemas.wps.cn/vas-ai-hub/contract-review">１</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1</item>
      </candidateList>
      <explain xmlns="http://schemas.wps.cn/vas-ai-hub/contract-review">文本全半角错误。</explain>
      <paraID xmlns="http://schemas.wps.cn/vas-ai-hub/contract-review">47268F50</paraID>
      <start xmlns="http://schemas.wps.cn/vas-ai-hub/contract-review">25</start>
      <end xmlns="http://schemas.wps.cn/vas-ai-hub/contract-review">26</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7103e018-befa-4c4a-a094-e91046764aa5</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44</start>
      <end xmlns="http://schemas.wps.cn/vas-ai-hub/contract-review">45</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b08ea0e1-0b72-4291-9ee9-d5bf3811dd6a</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54</start>
      <end xmlns="http://schemas.wps.cn/vas-ai-hub/contract-review">55</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79f93e6d-4f68-450c-8755-4f39b8e44ad0</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63</start>
      <end xmlns="http://schemas.wps.cn/vas-ai-hub/contract-review">64</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c1ac19ad-2a27-43cb-9a14-e8cb13d5f4be</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72</start>
      <end xmlns="http://schemas.wps.cn/vas-ai-hub/contract-review">73</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5cebeacf-1de1-450b-9467-8ac315d7c40d</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81</start>
      <end xmlns="http://schemas.wps.cn/vas-ai-hub/contract-review">82</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386f2373-a1e6-4f0d-8003-f35bb58f2362</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92</start>
      <end xmlns="http://schemas.wps.cn/vas-ai-hub/contract-review">93</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5a92b3e3-da6a-4a35-bb55-a6cd67012fc6</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104</start>
      <end xmlns="http://schemas.wps.cn/vas-ai-hub/contract-review">105</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8e19a972-77e1-4c2e-bbf4-5b9acbd4f93b</errorID>
      <errorWord xmlns="http://schemas.wps.cn/vas-ai-hub/contract-review">１</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1</item>
      </candidateList>
      <explain xmlns="http://schemas.wps.cn/vas-ai-hub/contract-review">文本全半角错误。</explain>
      <paraID xmlns="http://schemas.wps.cn/vas-ai-hub/contract-review">47268F50</paraID>
      <start xmlns="http://schemas.wps.cn/vas-ai-hub/contract-review">111</start>
      <end xmlns="http://schemas.wps.cn/vas-ai-hub/contract-review">112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f8f0ec6c-22d3-4a99-bd25-487486dbece3</errorID>
      <errorWord xmlns="http://schemas.wps.cn/vas-ai-hub/contract-review">０</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0</item>
      </candidateList>
      <explain xmlns="http://schemas.wps.cn/vas-ai-hub/contract-review">文本全半角错误。</explain>
      <paraID xmlns="http://schemas.wps.cn/vas-ai-hub/contract-review">47268F50</paraID>
      <start xmlns="http://schemas.wps.cn/vas-ai-hub/contract-review">153</start>
      <end xmlns="http://schemas.wps.cn/vas-ai-hub/contract-review">154</end>
      <status xmlns="http://schemas.wps.cn/vas-ai-hub/contract-review">modified</status>
      <modifiedWord xmlns="http://schemas.wps.cn/vas-ai-hub/contract-review">0</modifiedWord>
      <trackRevisions xmlns="http://schemas.wps.cn/vas-ai-hub/contract-review">false</trackRevisions>
    </reviewItem>
    <reviewItem xmlns="http://schemas.wps.cn/vas-ai-hub/contract-review">
      <errorID xmlns="http://schemas.wps.cn/vas-ai-hub/contract-review">388397c8-cb35-4771-b67f-803642186ce9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54F1648A</paraID>
      <start xmlns="http://schemas.wps.cn/vas-ai-hub/contract-review">45</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57bcea9a-a01a-4a91-a921-cd68008c75ce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54F1648A</paraID>
      <start xmlns="http://schemas.wps.cn/vas-ai-hub/contract-review">68</start>
      <end xmlns="http://schemas.wps.cn/vas-ai-hub/contract-review">70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90eebadd-8794-4b55-a17e-d37c311624c5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54F1648A</paraID>
      <start xmlns="http://schemas.wps.cn/vas-ai-hub/contract-review">107</start>
      <end xmlns="http://schemas.wps.cn/vas-ai-hub/contract-review">109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85d362c5-b7e0-423b-a1f3-18855378f5c8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54F1648A</paraID>
      <start xmlns="http://schemas.wps.cn/vas-ai-hub/contract-review">146</start>
      <end xmlns="http://schemas.wps.cn/vas-ai-hub/contract-review">148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def04b28-ece0-4986-8ac5-96c0f9025a3e</errorID>
      <errorWord xmlns="http://schemas.wps.cn/vas-ai-hub/contract-review">５</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5</item>
      </candidateList>
      <explain xmlns="http://schemas.wps.cn/vas-ai-hub/contract-review">文本全半角错误。</explain>
      <paraID xmlns="http://schemas.wps.cn/vas-ai-hub/contract-review">54F1648A</paraID>
      <start xmlns="http://schemas.wps.cn/vas-ai-hub/contract-review">159</start>
      <end xmlns="http://schemas.wps.cn/vas-ai-hub/contract-review">160</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68e4c0b8-16cd-4e86-8992-f40e5d97b6e9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76342230</paraID>
      <start xmlns="http://schemas.wps.cn/vas-ai-hub/contract-review">2</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61c0a110-1520-4915-83a9-9bf21ee87664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4B3C10C4</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8b6c6db0-ac06-4de2-9189-b7fb91bc74f4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6136B18C</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7a56ae93-4256-4f80-a13f-4e91857be9d8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35F4168B</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7679617c-7e6b-4dcd-a468-720ccbb2e44f</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4058D6F5</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bfa0b199-0570-4ec6-bf68-8e1b840df441</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78A9BF3C</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f3a2d9bc-b311-4450-b8d1-3c830b325e9e</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2B7A01DF</paraID>
      <start xmlns="http://schemas.wps.cn/vas-ai-hub/contract-review">6</start>
      <end xmlns="http://schemas.wps.cn/vas-ai-hub/contract-review">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2256cf-abe9-4580-93b6-d226eb9c6fa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2021</Words>
  <Characters>2364</Characters>
  <Lines>63</Lines>
  <Paragraphs>17</Paragraphs>
  <TotalTime>9</TotalTime>
  <ScaleCrop>false</ScaleCrop>
  <LinksUpToDate>false</LinksUpToDate>
  <CharactersWithSpaces>2463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user</cp:lastModifiedBy>
  <cp:lastPrinted>2026-08-29T16:27:00Z</cp:lastPrinted>
  <dcterms:modified xsi:type="dcterms:W3CDTF">2026-09-14T09:56:13Z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F1949394770DBE0E5BEF986AEE8CFD81_43</vt:lpwstr>
  </property>
  <property fmtid="{D5CDD505-2E9C-101B-9397-08002B2CF9AE}" pid="4" name="KSOTemplateDocerSaveRecord">
    <vt:lpwstr>eyJoZGlkIjoiZmVmOTI3YTc4NDYwNTNlOTE3YjdkYWU4ZDk5YTU5NjEiLCJ1c2VySWQiOiIzMzk3MDMxNTgifQ==</vt:lpwstr>
  </property>
</Properties>
</file>