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0611F">
      <w:pPr>
        <w:pStyle w:val="8"/>
        <w:rPr>
          <w:rFonts w:hint="default" w:ascii="Times New Roman" w:hAnsi="Times New Roman" w:eastAsia="黑体" w:cs="Times New Roman"/>
          <w:color w:val="auto"/>
          <w:kern w:val="2"/>
          <w:sz w:val="32"/>
          <w:szCs w:val="32"/>
          <w:highlight w:val="none"/>
          <w:lang w:val="en-US" w:eastAsia="zh-CN" w:bidi="ar-SA"/>
        </w:rPr>
      </w:pPr>
      <w:bookmarkStart w:id="0" w:name="_Toc15396597"/>
      <w:bookmarkStart w:id="1" w:name="_Toc15377425"/>
      <w:bookmarkStart w:id="2" w:name="_Toc15378441"/>
      <w:bookmarkStart w:id="3" w:name="_Toc15377193"/>
      <w:bookmarkStart w:id="4" w:name="_Toc15396475"/>
      <w:bookmarkStart w:id="5" w:name="_Toc15306267"/>
    </w:p>
    <w:p w14:paraId="610887F9">
      <w:pPr>
        <w:pStyle w:val="8"/>
        <w:rPr>
          <w:rFonts w:hint="default" w:ascii="Times New Roman" w:hAnsi="Times New Roman" w:eastAsia="方正小标宋简体" w:cs="Times New Roman"/>
          <w:color w:val="auto"/>
          <w:kern w:val="2"/>
          <w:sz w:val="72"/>
          <w:szCs w:val="72"/>
          <w:highlight w:val="none"/>
          <w:lang w:val="en-US" w:eastAsia="zh-CN" w:bidi="ar-SA"/>
        </w:rPr>
      </w:pPr>
    </w:p>
    <w:p w14:paraId="2BFF7AC6">
      <w:pPr>
        <w:pStyle w:val="8"/>
        <w:rPr>
          <w:rFonts w:hint="default" w:ascii="Times New Roman" w:hAnsi="Times New Roman" w:eastAsia="方正小标宋简体" w:cs="Times New Roman"/>
          <w:color w:val="auto"/>
          <w:kern w:val="2"/>
          <w:sz w:val="72"/>
          <w:szCs w:val="72"/>
          <w:highlight w:val="none"/>
          <w:lang w:val="en-US" w:eastAsia="zh-CN" w:bidi="ar-SA"/>
        </w:rPr>
      </w:pPr>
    </w:p>
    <w:p w14:paraId="6C77DF0D">
      <w:pPr>
        <w:pStyle w:val="8"/>
        <w:rPr>
          <w:rFonts w:hint="default" w:ascii="Times New Roman" w:hAnsi="Times New Roman" w:eastAsia="方正小标宋简体" w:cs="Times New Roman"/>
          <w:color w:val="auto"/>
          <w:kern w:val="2"/>
          <w:sz w:val="72"/>
          <w:szCs w:val="72"/>
          <w:highlight w:val="none"/>
          <w:lang w:val="en-US" w:eastAsia="zh-CN" w:bidi="ar-SA"/>
        </w:rPr>
      </w:pPr>
    </w:p>
    <w:p w14:paraId="0573CE41">
      <w:pPr>
        <w:pStyle w:val="8"/>
        <w:rPr>
          <w:rFonts w:hint="default" w:ascii="Times New Roman" w:hAnsi="Times New Roman" w:eastAsia="方正小标宋简体" w:cs="Times New Roman"/>
          <w:color w:val="auto"/>
          <w:kern w:val="2"/>
          <w:sz w:val="72"/>
          <w:szCs w:val="72"/>
          <w:highlight w:val="none"/>
          <w:lang w:val="en-US" w:eastAsia="zh-CN" w:bidi="ar-SA"/>
        </w:rPr>
      </w:pPr>
    </w:p>
    <w:p w14:paraId="165A3E3B">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攀枝花市文化馆2025年度市级单位决算</w:t>
      </w:r>
    </w:p>
    <w:p w14:paraId="50A79E44">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公开编制说明</w:t>
      </w:r>
    </w:p>
    <w:p w14:paraId="7B4ABA54">
      <w:pPr>
        <w:spacing w:line="600" w:lineRule="exact"/>
        <w:jc w:val="center"/>
        <w:outlineLvl w:val="0"/>
        <w:rPr>
          <w:rFonts w:hint="default" w:ascii="Times New Roman" w:hAnsi="Times New Roman" w:eastAsia="方正小标宋简体" w:cs="Times New Roman"/>
          <w:color w:val="auto"/>
          <w:sz w:val="72"/>
          <w:szCs w:val="72"/>
          <w:highlight w:val="none"/>
        </w:rPr>
      </w:pPr>
    </w:p>
    <w:p w14:paraId="4C77C728">
      <w:pPr>
        <w:pStyle w:val="19"/>
        <w:rPr>
          <w:rFonts w:hint="default" w:ascii="Times New Roman" w:hAnsi="Times New Roman" w:cs="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08ABC92">
      <w:pPr>
        <w:rPr>
          <w:rFonts w:hint="default" w:ascii="Times New Roman" w:hAnsi="Times New Roman" w:cs="Times New Roman"/>
        </w:rPr>
      </w:pPr>
    </w:p>
    <w:p w14:paraId="0DC860C8">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38A0F6CF">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2BB86BB8">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585198B4">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55753C7">
      <w:pPr>
        <w:pStyle w:val="8"/>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476"/>
      <w:bookmarkStart w:id="8" w:name="_Toc15377426"/>
      <w:bookmarkStart w:id="9" w:name="_Toc15396598"/>
      <w:bookmarkStart w:id="10" w:name="_Toc15378442"/>
      <w:r>
        <w:rPr>
          <w:rFonts w:hint="default" w:ascii="Times New Roman" w:hAnsi="Times New Roman" w:eastAsia="方正小标宋简体" w:cs="Times New Roman"/>
          <w:color w:val="auto"/>
          <w:kern w:val="2"/>
          <w:sz w:val="44"/>
          <w:szCs w:val="44"/>
          <w:highlight w:val="none"/>
          <w:lang w:val="en-US" w:eastAsia="zh-CN" w:bidi="ar-SA"/>
        </w:rPr>
        <w:t>2025年度</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攀枝花市文化馆单位决算</w:t>
      </w:r>
      <w:bookmarkEnd w:id="6"/>
      <w:bookmarkEnd w:id="7"/>
      <w:bookmarkEnd w:id="8"/>
      <w:bookmarkEnd w:id="9"/>
      <w:bookmarkEnd w:id="10"/>
      <w:bookmarkEnd w:id="11"/>
    </w:p>
    <w:p w14:paraId="0F3BBA62">
      <w:pPr>
        <w:widowControl/>
        <w:jc w:val="center"/>
        <w:rPr>
          <w:rFonts w:hint="default" w:ascii="Times New Roman" w:hAnsi="Times New Roman" w:eastAsia="黑体" w:cs="Times New Roman"/>
          <w:color w:val="auto"/>
          <w:sz w:val="48"/>
          <w:szCs w:val="48"/>
          <w:highlight w:val="none"/>
        </w:rPr>
      </w:pPr>
    </w:p>
    <w:p w14:paraId="7CF50BDC">
      <w:pPr>
        <w:widowControl/>
        <w:jc w:val="center"/>
        <w:rPr>
          <w:rFonts w:hint="default" w:ascii="Times New Roman" w:hAnsi="Times New Roman" w:eastAsia="黑体" w:cs="Times New Roman"/>
          <w:color w:val="auto"/>
          <w:sz w:val="48"/>
          <w:szCs w:val="48"/>
          <w:highlight w:val="none"/>
        </w:rPr>
      </w:pPr>
    </w:p>
    <w:p w14:paraId="66A2D157">
      <w:pPr>
        <w:widowControl/>
        <w:jc w:val="center"/>
        <w:rPr>
          <w:rFonts w:hint="default" w:ascii="Times New Roman" w:hAnsi="Times New Roman" w:eastAsia="黑体" w:cs="Times New Roman"/>
          <w:color w:val="auto"/>
          <w:sz w:val="48"/>
          <w:szCs w:val="48"/>
          <w:highlight w:val="none"/>
        </w:rPr>
      </w:pPr>
    </w:p>
    <w:p w14:paraId="2E42A49F">
      <w:pPr>
        <w:widowControl/>
        <w:jc w:val="center"/>
        <w:rPr>
          <w:rFonts w:hint="default" w:ascii="Times New Roman" w:hAnsi="Times New Roman" w:eastAsia="黑体" w:cs="Times New Roman"/>
          <w:color w:val="auto"/>
          <w:sz w:val="48"/>
          <w:szCs w:val="48"/>
          <w:highlight w:val="none"/>
        </w:rPr>
      </w:pPr>
    </w:p>
    <w:p w14:paraId="0D988310">
      <w:pPr>
        <w:widowControl/>
        <w:jc w:val="center"/>
        <w:rPr>
          <w:rFonts w:hint="default" w:ascii="Times New Roman" w:hAnsi="Times New Roman" w:eastAsia="黑体" w:cs="Times New Roman"/>
          <w:color w:val="auto"/>
          <w:sz w:val="48"/>
          <w:szCs w:val="48"/>
          <w:highlight w:val="none"/>
        </w:rPr>
      </w:pPr>
    </w:p>
    <w:p w14:paraId="32AD32DF">
      <w:pPr>
        <w:widowControl/>
        <w:jc w:val="center"/>
        <w:rPr>
          <w:rFonts w:hint="default" w:ascii="Times New Roman" w:hAnsi="Times New Roman" w:eastAsia="黑体" w:cs="Times New Roman"/>
          <w:color w:val="auto"/>
          <w:sz w:val="48"/>
          <w:szCs w:val="48"/>
          <w:highlight w:val="none"/>
        </w:rPr>
      </w:pPr>
    </w:p>
    <w:p w14:paraId="0E7DF590">
      <w:pPr>
        <w:widowControl/>
        <w:jc w:val="center"/>
        <w:rPr>
          <w:rFonts w:hint="default" w:ascii="Times New Roman" w:hAnsi="Times New Roman" w:eastAsia="黑体" w:cs="Times New Roman"/>
          <w:color w:val="auto"/>
          <w:sz w:val="48"/>
          <w:szCs w:val="48"/>
          <w:highlight w:val="none"/>
        </w:rPr>
      </w:pPr>
    </w:p>
    <w:p w14:paraId="0F09E077">
      <w:pPr>
        <w:widowControl/>
        <w:jc w:val="center"/>
        <w:rPr>
          <w:rFonts w:hint="default" w:ascii="Times New Roman" w:hAnsi="Times New Roman" w:eastAsia="黑体" w:cs="Times New Roman"/>
          <w:color w:val="auto"/>
          <w:sz w:val="48"/>
          <w:szCs w:val="48"/>
          <w:highlight w:val="none"/>
        </w:rPr>
      </w:pPr>
    </w:p>
    <w:p w14:paraId="50E1E1E4">
      <w:pPr>
        <w:widowControl/>
        <w:jc w:val="center"/>
        <w:rPr>
          <w:rFonts w:hint="default" w:ascii="Times New Roman" w:hAnsi="Times New Roman" w:eastAsia="黑体" w:cs="Times New Roman"/>
          <w:color w:val="auto"/>
          <w:sz w:val="48"/>
          <w:szCs w:val="48"/>
          <w:highlight w:val="none"/>
        </w:rPr>
      </w:pPr>
    </w:p>
    <w:p w14:paraId="5AC7110D">
      <w:pPr>
        <w:widowControl/>
        <w:jc w:val="center"/>
        <w:rPr>
          <w:rFonts w:hint="default" w:ascii="Times New Roman" w:hAnsi="Times New Roman" w:eastAsia="黑体" w:cs="Times New Roman"/>
          <w:color w:val="auto"/>
          <w:sz w:val="48"/>
          <w:szCs w:val="48"/>
          <w:highlight w:val="none"/>
        </w:rPr>
      </w:pPr>
    </w:p>
    <w:p w14:paraId="2B9212E7">
      <w:pPr>
        <w:widowControl/>
        <w:jc w:val="center"/>
        <w:rPr>
          <w:rFonts w:hint="default" w:ascii="Times New Roman" w:hAnsi="Times New Roman" w:eastAsia="黑体" w:cs="Times New Roman"/>
          <w:color w:val="auto"/>
          <w:sz w:val="48"/>
          <w:szCs w:val="48"/>
          <w:highlight w:val="none"/>
        </w:rPr>
      </w:pPr>
    </w:p>
    <w:p w14:paraId="03FD4EBD">
      <w:pPr>
        <w:widowControl/>
        <w:jc w:val="center"/>
        <w:rPr>
          <w:rFonts w:hint="default" w:ascii="Times New Roman" w:hAnsi="Times New Roman" w:eastAsia="黑体" w:cs="Times New Roman"/>
          <w:color w:val="auto"/>
          <w:sz w:val="48"/>
          <w:szCs w:val="48"/>
          <w:highlight w:val="none"/>
        </w:rPr>
      </w:pPr>
    </w:p>
    <w:p w14:paraId="05E8C407">
      <w:pPr>
        <w:widowControl/>
        <w:jc w:val="center"/>
        <w:rPr>
          <w:rFonts w:hint="default" w:ascii="Times New Roman" w:hAnsi="Times New Roman" w:eastAsia="黑体" w:cs="Times New Roman"/>
          <w:color w:val="auto"/>
          <w:sz w:val="48"/>
          <w:szCs w:val="48"/>
          <w:highlight w:val="none"/>
        </w:rPr>
      </w:pPr>
    </w:p>
    <w:p w14:paraId="2CD2BAF5">
      <w:pPr>
        <w:widowControl/>
        <w:jc w:val="center"/>
        <w:rPr>
          <w:rFonts w:hint="default" w:ascii="Times New Roman" w:hAnsi="Times New Roman" w:eastAsia="黑体" w:cs="Times New Roman"/>
          <w:color w:val="auto"/>
          <w:sz w:val="48"/>
          <w:szCs w:val="48"/>
          <w:highlight w:val="none"/>
        </w:rPr>
      </w:pPr>
    </w:p>
    <w:p w14:paraId="176EF9FF">
      <w:pPr>
        <w:widowControl/>
        <w:jc w:val="center"/>
        <w:rPr>
          <w:rFonts w:hint="default" w:ascii="Times New Roman" w:hAnsi="Times New Roman" w:eastAsia="黑体" w:cs="Times New Roman"/>
          <w:color w:val="auto"/>
          <w:sz w:val="48"/>
          <w:szCs w:val="48"/>
          <w:highlight w:val="none"/>
        </w:rPr>
      </w:pPr>
    </w:p>
    <w:p w14:paraId="57FCF94F">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5FD401AB">
      <w:pPr>
        <w:widowControl/>
        <w:jc w:val="center"/>
        <w:rPr>
          <w:rFonts w:hint="default" w:ascii="Times New Roman" w:hAnsi="Times New Roman" w:eastAsia="黑体" w:cs="Times New Roman"/>
          <w:color w:val="auto"/>
          <w:sz w:val="28"/>
          <w:szCs w:val="28"/>
          <w:highlight w:val="none"/>
        </w:rPr>
      </w:pPr>
    </w:p>
    <w:p w14:paraId="1B6CFC2D">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14</w:t>
      </w:r>
      <w:bookmarkStart w:id="87" w:name="_GoBack"/>
      <w:bookmarkEnd w:id="87"/>
      <w:r>
        <w:rPr>
          <w:rFonts w:hint="default" w:ascii="Times New Roman" w:hAnsi="Times New Roman" w:eastAsia="仿宋_GB2312" w:cs="Times New Roman"/>
          <w:color w:val="auto"/>
          <w:sz w:val="32"/>
          <w:szCs w:val="32"/>
          <w:highlight w:val="none"/>
        </w:rPr>
        <w:t>日</w:t>
      </w:r>
    </w:p>
    <w:p w14:paraId="57B33645">
      <w:pPr>
        <w:rPr>
          <w:rFonts w:hint="default" w:ascii="Times New Roman" w:hAnsi="Times New Roman" w:cs="Times New Roman"/>
          <w:color w:val="auto"/>
          <w:highlight w:val="none"/>
        </w:rPr>
      </w:pPr>
    </w:p>
    <w:p w14:paraId="61C07A98">
      <w:pPr>
        <w:pStyle w:val="13"/>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_Toc25958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第一部分 部门概况</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fldChar w:fldCharType="end"/>
      </w:r>
    </w:p>
    <w:p w14:paraId="13B449F4">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_Toc7417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一、</w:t>
      </w:r>
      <w:r>
        <w:rPr>
          <w:rFonts w:hint="default" w:ascii="Times New Roman" w:hAnsi="Times New Roman" w:eastAsia="仿宋_GB2312" w:cs="Times New Roman"/>
          <w:sz w:val="24"/>
          <w:szCs w:val="24"/>
          <w:lang w:eastAsia="zh-CN"/>
        </w:rPr>
        <w:t>部门职责</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fldChar w:fldCharType="end"/>
      </w:r>
    </w:p>
    <w:p w14:paraId="03CFE9F7">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_Toc21531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二、机构设置</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fldChar w:fldCharType="end"/>
      </w:r>
    </w:p>
    <w:p w14:paraId="5798554A">
      <w:pPr>
        <w:pStyle w:val="13"/>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_Toc12631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第二部分</w:t>
      </w:r>
      <w:r>
        <w:rPr>
          <w:rFonts w:hint="default" w:ascii="Times New Roman" w:hAnsi="Times New Roman" w:eastAsia="仿宋_GB2312" w:cs="Times New Roman"/>
          <w:sz w:val="24"/>
          <w:szCs w:val="24"/>
          <w:lang w:val="en-US" w:eastAsia="zh-CN"/>
        </w:rPr>
        <w:t xml:space="preserve"> 2025年度</w:t>
      </w:r>
      <w:r>
        <w:rPr>
          <w:rFonts w:hint="default" w:ascii="Times New Roman" w:hAnsi="Times New Roman" w:eastAsia="仿宋_GB2312" w:cs="Times New Roman"/>
          <w:sz w:val="24"/>
          <w:szCs w:val="24"/>
        </w:rPr>
        <w:t>部门决算情况说明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fldChar w:fldCharType="end"/>
      </w:r>
    </w:p>
    <w:p w14:paraId="3D2AC81A">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_Toc32039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一、收入支出决算总体情况说明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fldChar w:fldCharType="end"/>
      </w:r>
    </w:p>
    <w:p w14:paraId="403D83F7">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_Toc27868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二、收入决算情况说明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fldChar w:fldCharType="end"/>
      </w:r>
    </w:p>
    <w:p w14:paraId="522B2BDC">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_Toc27455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三、支出决算情况说明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fldChar w:fldCharType="end"/>
      </w:r>
    </w:p>
    <w:p w14:paraId="59F9F641">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_Toc29377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四、财政拨款收入支出决算总体情况说明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7</w:t>
      </w:r>
      <w:r>
        <w:rPr>
          <w:rFonts w:hint="default" w:ascii="Times New Roman" w:hAnsi="Times New Roman" w:eastAsia="仿宋_GB2312" w:cs="Times New Roman"/>
          <w:sz w:val="24"/>
          <w:szCs w:val="24"/>
        </w:rPr>
        <w:fldChar w:fldCharType="end"/>
      </w:r>
    </w:p>
    <w:p w14:paraId="38E1FC12">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_Toc21157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五、一般公共预算财政拨款支出决算情况说明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7</w:t>
      </w:r>
      <w:r>
        <w:rPr>
          <w:rFonts w:hint="default" w:ascii="Times New Roman" w:hAnsi="Times New Roman" w:eastAsia="仿宋_GB2312" w:cs="Times New Roman"/>
          <w:sz w:val="24"/>
          <w:szCs w:val="24"/>
        </w:rPr>
        <w:fldChar w:fldCharType="end"/>
      </w:r>
    </w:p>
    <w:p w14:paraId="4A774D06">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_Toc5229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六、一般公共预算财政拨款基本支出决算情况说明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1</w:t>
      </w:r>
    </w:p>
    <w:p w14:paraId="2EAAC707">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_Toc7338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七、财政拨款</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三公”经费支出决算情况说明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1</w:t>
      </w:r>
    </w:p>
    <w:p w14:paraId="67D5CBE4">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_Toc1381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八、政府性基金预算支出决算情况说明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3</w:t>
      </w:r>
    </w:p>
    <w:p w14:paraId="05CA0F32">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_Toc18513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九、</w:t>
      </w:r>
      <w:r>
        <w:rPr>
          <w:rFonts w:hint="default" w:ascii="Times New Roman" w:hAnsi="Times New Roman" w:eastAsia="仿宋_GB2312" w:cs="Times New Roman"/>
          <w:sz w:val="24"/>
          <w:szCs w:val="24"/>
          <w:lang w:eastAsia="zh-CN"/>
        </w:rPr>
        <w:t>国</w:t>
      </w:r>
      <w:r>
        <w:rPr>
          <w:rFonts w:hint="default" w:ascii="Times New Roman" w:hAnsi="Times New Roman" w:eastAsia="仿宋_GB2312" w:cs="Times New Roman"/>
          <w:sz w:val="24"/>
          <w:szCs w:val="24"/>
        </w:rPr>
        <w:t>有资本经营预算支出决算情况说明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3</w:t>
      </w:r>
    </w:p>
    <w:p w14:paraId="6D4C87C5">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_Toc17387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lang w:eastAsia="zh-CN"/>
        </w:rPr>
        <w:t>十</w:t>
      </w:r>
      <w:r>
        <w:rPr>
          <w:rFonts w:hint="default" w:ascii="Times New Roman" w:hAnsi="Times New Roman" w:eastAsia="仿宋_GB2312" w:cs="Times New Roman"/>
          <w:sz w:val="24"/>
          <w:szCs w:val="24"/>
        </w:rPr>
        <w:t>、其他重要事项的情况说明</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3</w:t>
      </w:r>
    </w:p>
    <w:p w14:paraId="7E36E797">
      <w:pPr>
        <w:pStyle w:val="13"/>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_Toc4337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第三部分 名词解释</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6</w:t>
      </w:r>
    </w:p>
    <w:p w14:paraId="7AB2F551">
      <w:pPr>
        <w:pStyle w:val="13"/>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_Toc912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第四部分 附件</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9</w:t>
      </w:r>
    </w:p>
    <w:p w14:paraId="05BB4FC6">
      <w:pPr>
        <w:pStyle w:val="13"/>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_Toc4878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第五部分 附表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32751890">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_Toc4409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一、收入支出决算总表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59D41105">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_Toc10424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二、收入决算表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3575F792">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_Toc9322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三、支出决算表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64E3229D">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_Toc16951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四、财政拨款收入支出决算总表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473B6566">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_Toc28630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五、财政拨款支出决算明细表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1A7D5DD9">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_Toc25810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六、一般公共预算财政拨款支出决算表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4391187B">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_Toc4997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七、一般公共预算财政拨款支出决算明细表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1D6DF8E7">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_Toc2276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八、一般公共预算财政拨款基本支出决算</w:t>
      </w:r>
      <w:r>
        <w:rPr>
          <w:rFonts w:hint="default" w:ascii="Times New Roman" w:hAnsi="Times New Roman" w:eastAsia="仿宋_GB2312" w:cs="Times New Roman"/>
          <w:sz w:val="24"/>
          <w:szCs w:val="24"/>
          <w:lang w:eastAsia="zh-CN"/>
        </w:rPr>
        <w:t>明细</w:t>
      </w:r>
      <w:r>
        <w:rPr>
          <w:rFonts w:hint="default" w:ascii="Times New Roman" w:hAnsi="Times New Roman" w:eastAsia="仿宋_GB2312" w:cs="Times New Roman"/>
          <w:sz w:val="24"/>
          <w:szCs w:val="24"/>
        </w:rPr>
        <w:t>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0C0D8B86">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_Toc25871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九、一般公共预算财政拨款项目支出决算表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788CDBF4">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_Toc6570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十、政府性基金预算财政拨款收入支出决算表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189D6168">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_Toc26295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十一、国有资本经营预算财政拨款收入支出决算表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48021FBE">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_Toc11369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十二、</w:t>
      </w:r>
      <w:r>
        <w:rPr>
          <w:rFonts w:hint="default" w:ascii="Times New Roman" w:hAnsi="Times New Roman" w:eastAsia="仿宋_GB2312" w:cs="Times New Roman"/>
          <w:sz w:val="24"/>
          <w:szCs w:val="24"/>
          <w:lang w:val="en-US" w:eastAsia="zh-CN"/>
        </w:rPr>
        <w:t>国有资本经营预算财政拨款支出决算表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lang w:val="en-US" w:eastAsia="zh-CN"/>
        </w:rPr>
        <w:t>0</w:t>
      </w:r>
    </w:p>
    <w:p w14:paraId="7927B70D">
      <w:pPr>
        <w:pStyle w:val="14"/>
        <w:keepNext w:val="0"/>
        <w:keepLines w:val="0"/>
        <w:pageBreakBefore w:val="0"/>
        <w:tabs>
          <w:tab w:val="right" w:leader="dot" w:pos="8306"/>
          <w:tab w:val="clear" w:pos="8296"/>
        </w:tabs>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lang w:val="en-US" w:eastAsia="zh-CN"/>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HYPERLINK \l _Toc19571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十三、财政拨款“三公”经费支出决算表</w:t>
      </w:r>
      <w:r>
        <w:rPr>
          <w:rFonts w:hint="default" w:ascii="Times New Roman" w:hAnsi="Times New Roman" w:eastAsia="仿宋_GB2312" w:cs="Times New Roman"/>
          <w:sz w:val="24"/>
          <w:szCs w:val="24"/>
        </w:rPr>
        <w:tab/>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fldChar w:fldCharType="end"/>
      </w:r>
      <w:r>
        <w:rPr>
          <w:rFonts w:hint="default" w:ascii="Times New Roman" w:hAnsi="Times New Roman" w:cs="Times New Roman"/>
          <w:lang w:val="en-US" w:eastAsia="zh-CN"/>
        </w:rPr>
        <w:t>0</w:t>
      </w:r>
    </w:p>
    <w:p w14:paraId="4E675F1F">
      <w:pPr>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rPr>
      </w:pPr>
      <w:r>
        <w:rPr>
          <w:rFonts w:hint="default" w:ascii="Times New Roman" w:hAnsi="Times New Roman" w:cs="Times New Roman"/>
        </w:rPr>
        <w:fldChar w:fldCharType="end"/>
      </w:r>
    </w:p>
    <w:p w14:paraId="732CD525">
      <w:pPr>
        <w:bidi w:val="0"/>
        <w:jc w:val="center"/>
        <w:rPr>
          <w:rFonts w:hint="default" w:ascii="Times New Roman" w:hAnsi="Times New Roman" w:eastAsia="方正小标宋简体" w:cs="Times New Roman"/>
          <w:sz w:val="44"/>
          <w:szCs w:val="44"/>
        </w:rPr>
      </w:pPr>
      <w:bookmarkStart w:id="12" w:name="_Toc15396599"/>
      <w:bookmarkStart w:id="13" w:name="_Toc15377196"/>
      <w:r>
        <w:rPr>
          <w:rFonts w:hint="default" w:ascii="Times New Roman" w:hAnsi="Times New Roman" w:eastAsia="方正小标宋简体" w:cs="Times New Roman"/>
          <w:sz w:val="44"/>
          <w:szCs w:val="44"/>
        </w:rPr>
        <w:t>第一部分</w:t>
      </w:r>
      <w:r>
        <w:rPr>
          <w:rFonts w:hint="default" w:ascii="Times New Roman" w:hAnsi="Times New Roman" w:eastAsia="方正小标宋简体" w:cs="Times New Roman"/>
          <w:sz w:val="44"/>
          <w:szCs w:val="44"/>
          <w:lang w:val="en-US" w:eastAsia="zh-CN"/>
        </w:rPr>
        <w:t xml:space="preserve"> </w:t>
      </w:r>
      <w:r>
        <w:rPr>
          <w:rFonts w:hint="default" w:ascii="Times New Roman" w:hAnsi="Times New Roman" w:eastAsia="方正小标宋简体" w:cs="Times New Roman"/>
          <w:sz w:val="44"/>
          <w:szCs w:val="44"/>
        </w:rPr>
        <w:t xml:space="preserve"> 部门概况</w:t>
      </w:r>
      <w:bookmarkEnd w:id="12"/>
      <w:bookmarkEnd w:id="13"/>
    </w:p>
    <w:p w14:paraId="1738EF66">
      <w:pPr>
        <w:pStyle w:val="6"/>
        <w:pageBreakBefore w:val="0"/>
        <w:widowControl w:val="0"/>
        <w:numPr>
          <w:ilvl w:val="0"/>
          <w:numId w:val="0"/>
        </w:numPr>
        <w:kinsoku/>
        <w:wordWrap/>
        <w:overflowPunct/>
        <w:topLinePunct w:val="0"/>
        <w:autoSpaceDE/>
        <w:autoSpaceDN/>
        <w:bidi w:val="0"/>
        <w:adjustRightInd/>
        <w:spacing w:line="240" w:lineRule="auto"/>
        <w:ind w:firstLine="640" w:firstLineChars="200"/>
        <w:textAlignment w:val="auto"/>
        <w:rPr>
          <w:rFonts w:hint="default" w:ascii="Times New Roman" w:hAnsi="Times New Roman" w:eastAsia="仿宋_GB2312" w:cs="Times New Roman"/>
          <w:color w:val="auto"/>
          <w:sz w:val="32"/>
          <w:szCs w:val="32"/>
          <w:highlight w:val="none"/>
          <w:lang w:eastAsia="zh-CN"/>
        </w:rPr>
      </w:pPr>
      <w:bookmarkStart w:id="14" w:name="_Toc29153"/>
      <w:r>
        <w:rPr>
          <w:rFonts w:hint="default" w:ascii="Times New Roman" w:hAnsi="Times New Roman" w:eastAsia="黑体" w:cs="Times New Roman"/>
          <w:b w:val="0"/>
          <w:color w:val="auto"/>
          <w:highlight w:val="none"/>
          <w:lang w:eastAsia="zh-CN"/>
        </w:rPr>
        <w:t>一、部门职责</w:t>
      </w:r>
      <w:bookmarkEnd w:id="14"/>
    </w:p>
    <w:p w14:paraId="148D0C6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（一）组织群众文化活动，繁荣群众文化事业。</w:t>
      </w:r>
    </w:p>
    <w:p w14:paraId="3D6F514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（二）文化宣传、文艺活动组织、文艺演出组织、相关培训。</w:t>
      </w:r>
    </w:p>
    <w:p w14:paraId="59F970F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（三）业余创作团体管理，业余文艺创作组织、县（区）、乡级文化馆（站、室）业务指导。</w:t>
      </w:r>
    </w:p>
    <w:p w14:paraId="54C42CA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（四）群众文艺理论研究、文化交流、（民族、民间）文化艺术遗产收集整理与保护、相关文化产业经营。</w:t>
      </w:r>
    </w:p>
    <w:p w14:paraId="171AFB6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（五）完成市委、市政府交办的其他任务。</w:t>
      </w:r>
      <w:bookmarkStart w:id="15" w:name="_Toc15396601"/>
      <w:bookmarkStart w:id="16" w:name="_Toc15377200"/>
    </w:p>
    <w:p w14:paraId="4231514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b w:val="0"/>
          <w:color w:val="auto"/>
          <w:sz w:val="32"/>
          <w:szCs w:val="32"/>
          <w:highlight w:val="none"/>
          <w:lang w:eastAsia="zh-CN"/>
        </w:rPr>
      </w:pPr>
      <w:r>
        <w:rPr>
          <w:rFonts w:hint="default" w:ascii="Times New Roman" w:hAnsi="Times New Roman" w:eastAsia="黑体" w:cs="Times New Roman"/>
          <w:b w:val="0"/>
          <w:color w:val="auto"/>
          <w:sz w:val="32"/>
          <w:szCs w:val="32"/>
          <w:highlight w:val="none"/>
          <w:lang w:eastAsia="zh-CN"/>
        </w:rPr>
        <w:t>二、机构设置</w:t>
      </w:r>
      <w:bookmarkEnd w:id="15"/>
      <w:bookmarkEnd w:id="16"/>
    </w:p>
    <w:p w14:paraId="6786E34C">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攀枝花市文化馆下属二级预算单位0个，其中行政单位0个，参照公务员法管理的事业单位0个，其他事业单位0个。</w:t>
      </w:r>
    </w:p>
    <w:p w14:paraId="5368544D">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攀枝花市文化馆为全额拨款事业单位，总编制数32名。2025年底在职人员25人，退休人员24人，在职人员与2024年持平；退休人员与2024年持平。</w:t>
      </w:r>
    </w:p>
    <w:p w14:paraId="74D996A5">
      <w:pPr>
        <w:keepNext w:val="0"/>
        <w:keepLines w:val="0"/>
        <w:pageBreakBefore w:val="0"/>
        <w:widowControl w:val="0"/>
        <w:kinsoku/>
        <w:wordWrap/>
        <w:overflowPunct/>
        <w:topLinePunct w:val="0"/>
        <w:autoSpaceDE/>
        <w:autoSpaceDN/>
        <w:bidi w:val="0"/>
        <w:adjustRightInd/>
        <w:snapToGrid/>
        <w:spacing w:line="240" w:lineRule="auto"/>
        <w:ind w:firstLine="600" w:firstLineChars="200"/>
        <w:textAlignment w:val="auto"/>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不存在纳入攀枝花市文化馆2025年度部门决算编制范围的二级预算单位。</w:t>
      </w:r>
    </w:p>
    <w:p w14:paraId="4355F56A">
      <w:pPr>
        <w:bidi w:val="0"/>
        <w:jc w:val="center"/>
        <w:rPr>
          <w:rFonts w:hint="default" w:ascii="Times New Roman" w:hAnsi="Times New Roman" w:eastAsia="方正小标宋简体" w:cs="Times New Roman"/>
          <w:sz w:val="44"/>
          <w:szCs w:val="44"/>
        </w:rPr>
      </w:pPr>
      <w:bookmarkStart w:id="17" w:name="_Toc15396602"/>
      <w:bookmarkStart w:id="18" w:name="_Toc15377204"/>
    </w:p>
    <w:p w14:paraId="748E07EC">
      <w:pPr>
        <w:bidi w:val="0"/>
        <w:jc w:val="center"/>
        <w:rPr>
          <w:rFonts w:hint="default" w:ascii="Times New Roman" w:hAnsi="Times New Roman" w:eastAsia="方正小标宋简体" w:cs="Times New Roman"/>
          <w:sz w:val="44"/>
          <w:szCs w:val="44"/>
        </w:rPr>
      </w:pPr>
    </w:p>
    <w:p w14:paraId="7219A3B7">
      <w:pPr>
        <w:bidi w:val="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第二部分</w:t>
      </w:r>
      <w:r>
        <w:rPr>
          <w:rFonts w:hint="default" w:ascii="Times New Roman" w:hAnsi="Times New Roman" w:eastAsia="方正小标宋简体" w:cs="Times New Roman"/>
          <w:sz w:val="44"/>
          <w:szCs w:val="44"/>
          <w:lang w:val="en-US" w:eastAsia="zh-CN"/>
        </w:rPr>
        <w:t xml:space="preserve"> </w:t>
      </w:r>
      <w:r>
        <w:rPr>
          <w:rFonts w:hint="default" w:ascii="Times New Roman" w:hAnsi="Times New Roman" w:eastAsia="方正小标宋简体" w:cs="Times New Roman"/>
          <w:sz w:val="44"/>
          <w:szCs w:val="44"/>
        </w:rPr>
        <w:t xml:space="preserve"> </w:t>
      </w:r>
      <w:r>
        <w:rPr>
          <w:rFonts w:hint="default" w:ascii="Times New Roman" w:hAnsi="Times New Roman" w:eastAsia="方正小标宋简体" w:cs="Times New Roman"/>
          <w:sz w:val="44"/>
          <w:szCs w:val="44"/>
          <w:lang w:val="en-US" w:eastAsia="zh-CN"/>
        </w:rPr>
        <w:t>2025年度</w:t>
      </w:r>
      <w:r>
        <w:rPr>
          <w:rFonts w:hint="default" w:ascii="Times New Roman" w:hAnsi="Times New Roman" w:eastAsia="方正小标宋简体" w:cs="Times New Roman"/>
          <w:sz w:val="44"/>
          <w:szCs w:val="44"/>
        </w:rPr>
        <w:t>部门决算情况说明</w:t>
      </w:r>
      <w:bookmarkEnd w:id="17"/>
      <w:bookmarkEnd w:id="18"/>
    </w:p>
    <w:p w14:paraId="7122A7D7">
      <w:pPr>
        <w:rPr>
          <w:rFonts w:hint="default" w:ascii="Times New Roman" w:hAnsi="Times New Roman" w:cs="Times New Roman"/>
          <w:color w:val="auto"/>
          <w:highlight w:val="none"/>
        </w:rPr>
      </w:pPr>
    </w:p>
    <w:p w14:paraId="3742B43D">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29"/>
          <w:rFonts w:hint="default" w:ascii="Times New Roman" w:hAnsi="Times New Roman" w:eastAsia="黑体" w:cs="Times New Roman"/>
          <w:b w:val="0"/>
          <w:color w:val="auto"/>
          <w:highlight w:val="none"/>
        </w:rPr>
      </w:pPr>
      <w:bookmarkStart w:id="19" w:name="_Toc9765"/>
      <w:bookmarkStart w:id="20" w:name="_Toc15396603"/>
      <w:bookmarkStart w:id="21"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入支出决算总体情况说明</w:t>
      </w:r>
      <w:bookmarkEnd w:id="19"/>
      <w:bookmarkEnd w:id="20"/>
      <w:bookmarkEnd w:id="21"/>
    </w:p>
    <w:p w14:paraId="04660118">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方正仿宋_GB2312" w:cs="Times New Roman"/>
          <w:b w:val="0"/>
          <w:bCs w:val="0"/>
          <w:sz w:val="32"/>
          <w:szCs w:val="32"/>
          <w:lang w:eastAsia="zh-CN"/>
        </w:rPr>
      </w:pPr>
      <w:bookmarkStart w:id="22" w:name="_Toc15392"/>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630.35</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val="en-US" w:eastAsia="zh-CN"/>
        </w:rPr>
        <w:t>2024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总计各减少</w:t>
      </w:r>
      <w:r>
        <w:rPr>
          <w:rFonts w:hint="default" w:ascii="Times New Roman" w:hAnsi="Times New Roman" w:eastAsia="仿宋_GB2312" w:cs="Times New Roman"/>
          <w:color w:val="auto"/>
          <w:sz w:val="32"/>
          <w:szCs w:val="32"/>
          <w:highlight w:val="none"/>
          <w:lang w:val="en-US" w:eastAsia="zh-CN"/>
        </w:rPr>
        <w:t>17.09</w:t>
      </w:r>
      <w:r>
        <w:rPr>
          <w:rFonts w:hint="default" w:ascii="Times New Roman" w:hAnsi="Times New Roman" w:eastAsia="仿宋_GB2312" w:cs="Times New Roman"/>
          <w:color w:val="auto"/>
          <w:sz w:val="32"/>
          <w:szCs w:val="32"/>
          <w:highlight w:val="none"/>
        </w:rPr>
        <w:t>万元，下降</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方正仿宋_GB2312" w:cs="Times New Roman"/>
          <w:b w:val="0"/>
          <w:bCs w:val="0"/>
          <w:sz w:val="32"/>
          <w:szCs w:val="32"/>
        </w:rPr>
        <w:t>日常公用经费预算压缩、项目支出减少造成</w:t>
      </w:r>
      <w:r>
        <w:rPr>
          <w:rFonts w:hint="default" w:ascii="Times New Roman" w:hAnsi="Times New Roman" w:eastAsia="方正仿宋_GB2312" w:cs="Times New Roman"/>
          <w:b w:val="0"/>
          <w:bCs w:val="0"/>
          <w:sz w:val="32"/>
          <w:szCs w:val="32"/>
          <w:lang w:eastAsia="zh-CN"/>
        </w:rPr>
        <w:t>。</w:t>
      </w:r>
      <w:bookmarkEnd w:id="22"/>
    </w:p>
    <w:p w14:paraId="308B0AF9">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23" w:name="_Toc16520"/>
      <w:r>
        <w:rPr>
          <w:rFonts w:hint="default" w:ascii="Times New Roman" w:hAnsi="Times New Roman" w:eastAsia="仿宋_GB2312" w:cs="Times New Roman"/>
          <w:color w:val="auto"/>
          <w:sz w:val="32"/>
          <w:szCs w:val="32"/>
          <w:highlight w:val="none"/>
          <w:lang w:eastAsia="zh-CN"/>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End w:id="23"/>
    </w:p>
    <w:p w14:paraId="0C5A672E">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outlineLvl w:val="1"/>
        <w:rPr>
          <w:rFonts w:hint="default" w:ascii="Times New Roman" w:hAnsi="Times New Roman" w:eastAsia="仿宋_GB2312" w:cs="Times New Roman"/>
          <w:color w:val="auto"/>
          <w:sz w:val="32"/>
          <w:szCs w:val="32"/>
          <w:highlight w:val="none"/>
          <w:lang w:eastAsia="zh-CN"/>
        </w:rPr>
      </w:pPr>
      <w:bookmarkStart w:id="24" w:name="_Toc1080"/>
      <w:r>
        <w:rPr>
          <w:rFonts w:hint="default" w:ascii="Times New Roman" w:hAnsi="Times New Roman" w:eastAsia="仿宋_GB2312" w:cs="Times New Roman"/>
          <w:color w:val="000000" w:themeColor="text1"/>
          <w:sz w:val="32"/>
          <w:szCs w:val="32"/>
          <w:highlight w:val="none"/>
          <w14:textFill>
            <w14:solidFill>
              <w14:schemeClr w14:val="tx1"/>
            </w14:solidFill>
          </w14:textFill>
        </w:rPr>
        <w:t>（图1：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决算总计变动情况图）</w:t>
      </w:r>
      <w:bookmarkEnd w:id="24"/>
    </w:p>
    <w:tbl>
      <w:tblPr>
        <w:tblStyle w:val="15"/>
        <w:tblW w:w="7575" w:type="dxa"/>
        <w:tblInd w:w="63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70"/>
        <w:gridCol w:w="1135"/>
        <w:gridCol w:w="1184"/>
        <w:gridCol w:w="1446"/>
        <w:gridCol w:w="2040"/>
      </w:tblGrid>
      <w:tr w14:paraId="27A3A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7575" w:type="dxa"/>
            <w:gridSpan w:val="5"/>
            <w:tcBorders>
              <w:top w:val="nil"/>
              <w:left w:val="nil"/>
              <w:bottom w:val="nil"/>
              <w:right w:val="nil"/>
            </w:tcBorders>
            <w:shd w:val="clear" w:color="auto" w:fill="auto"/>
            <w:noWrap/>
            <w:vAlign w:val="center"/>
          </w:tcPr>
          <w:p w14:paraId="2FF7E848">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32"/>
                <w:szCs w:val="32"/>
                <w:u w:val="none"/>
              </w:rPr>
            </w:pPr>
            <w:r>
              <w:rPr>
                <w:rFonts w:hint="default" w:ascii="Times New Roman" w:hAnsi="Times New Roman" w:eastAsia="仿宋_GB2312" w:cs="Times New Roman"/>
                <w:b/>
                <w:bCs/>
                <w:i w:val="0"/>
                <w:iCs w:val="0"/>
                <w:color w:val="000000"/>
                <w:kern w:val="0"/>
                <w:sz w:val="32"/>
                <w:szCs w:val="32"/>
                <w:u w:val="none"/>
                <w:lang w:val="en-US" w:eastAsia="zh-CN" w:bidi="ar"/>
              </w:rPr>
              <w:t>收支情况对比明细表</w:t>
            </w:r>
          </w:p>
        </w:tc>
      </w:tr>
      <w:tr w14:paraId="7D066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1770" w:type="dxa"/>
            <w:tcBorders>
              <w:top w:val="nil"/>
              <w:left w:val="nil"/>
              <w:bottom w:val="nil"/>
              <w:right w:val="nil"/>
            </w:tcBorders>
            <w:shd w:val="clear" w:color="auto" w:fill="auto"/>
            <w:noWrap/>
            <w:vAlign w:val="center"/>
          </w:tcPr>
          <w:p w14:paraId="3944E13A">
            <w:pPr>
              <w:jc w:val="left"/>
              <w:rPr>
                <w:rFonts w:hint="default" w:ascii="Times New Roman" w:hAnsi="Times New Roman" w:eastAsia="宋体" w:cs="Times New Roman"/>
                <w:i w:val="0"/>
                <w:iCs w:val="0"/>
                <w:color w:val="000000"/>
                <w:sz w:val="32"/>
                <w:szCs w:val="32"/>
                <w:u w:val="none"/>
              </w:rPr>
            </w:pPr>
          </w:p>
        </w:tc>
        <w:tc>
          <w:tcPr>
            <w:tcW w:w="1135" w:type="dxa"/>
            <w:tcBorders>
              <w:top w:val="nil"/>
              <w:left w:val="nil"/>
              <w:bottom w:val="nil"/>
              <w:right w:val="nil"/>
            </w:tcBorders>
            <w:shd w:val="clear" w:color="auto" w:fill="auto"/>
            <w:noWrap/>
            <w:vAlign w:val="center"/>
          </w:tcPr>
          <w:p w14:paraId="767353B3">
            <w:pPr>
              <w:rPr>
                <w:rFonts w:hint="default" w:ascii="Times New Roman" w:hAnsi="Times New Roman" w:eastAsia="宋体" w:cs="Times New Roman"/>
                <w:i w:val="0"/>
                <w:iCs w:val="0"/>
                <w:color w:val="000000"/>
                <w:sz w:val="22"/>
                <w:szCs w:val="22"/>
                <w:u w:val="none"/>
              </w:rPr>
            </w:pPr>
          </w:p>
        </w:tc>
        <w:tc>
          <w:tcPr>
            <w:tcW w:w="1184" w:type="dxa"/>
            <w:tcBorders>
              <w:top w:val="nil"/>
              <w:left w:val="nil"/>
              <w:bottom w:val="nil"/>
              <w:right w:val="nil"/>
            </w:tcBorders>
            <w:shd w:val="clear" w:color="auto" w:fill="auto"/>
            <w:noWrap/>
            <w:vAlign w:val="center"/>
          </w:tcPr>
          <w:p w14:paraId="5494E13A">
            <w:pPr>
              <w:rPr>
                <w:rFonts w:hint="default" w:ascii="Times New Roman" w:hAnsi="Times New Roman" w:eastAsia="宋体" w:cs="Times New Roman"/>
                <w:i w:val="0"/>
                <w:iCs w:val="0"/>
                <w:color w:val="000000"/>
                <w:sz w:val="22"/>
                <w:szCs w:val="22"/>
                <w:u w:val="none"/>
              </w:rPr>
            </w:pPr>
          </w:p>
        </w:tc>
        <w:tc>
          <w:tcPr>
            <w:tcW w:w="1446" w:type="dxa"/>
            <w:tcBorders>
              <w:top w:val="nil"/>
              <w:left w:val="nil"/>
              <w:bottom w:val="nil"/>
              <w:right w:val="nil"/>
            </w:tcBorders>
            <w:shd w:val="clear" w:color="auto" w:fill="auto"/>
            <w:noWrap/>
            <w:vAlign w:val="center"/>
          </w:tcPr>
          <w:p w14:paraId="02E26EFD">
            <w:pPr>
              <w:rPr>
                <w:rFonts w:hint="default" w:ascii="Times New Roman" w:hAnsi="Times New Roman" w:eastAsia="宋体" w:cs="Times New Roman"/>
                <w:i w:val="0"/>
                <w:iCs w:val="0"/>
                <w:color w:val="000000"/>
                <w:sz w:val="22"/>
                <w:szCs w:val="22"/>
                <w:u w:val="none"/>
              </w:rPr>
            </w:pPr>
          </w:p>
        </w:tc>
        <w:tc>
          <w:tcPr>
            <w:tcW w:w="2040" w:type="dxa"/>
            <w:tcBorders>
              <w:top w:val="nil"/>
              <w:left w:val="nil"/>
              <w:bottom w:val="nil"/>
              <w:right w:val="nil"/>
            </w:tcBorders>
            <w:shd w:val="clear" w:color="auto" w:fill="auto"/>
            <w:noWrap/>
            <w:vAlign w:val="center"/>
          </w:tcPr>
          <w:p w14:paraId="3018AD10">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 单位：万元</w:t>
            </w:r>
          </w:p>
        </w:tc>
      </w:tr>
      <w:tr w14:paraId="0AE74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E64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全年收支分析</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FEC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w:t>
            </w:r>
            <w:r>
              <w:rPr>
                <w:rFonts w:hint="default" w:ascii="Times New Roman" w:hAnsi="Times New Roman" w:cs="Times New Roman"/>
                <w:i w:val="0"/>
                <w:iCs w:val="0"/>
                <w:color w:val="000000"/>
                <w:kern w:val="0"/>
                <w:sz w:val="24"/>
                <w:szCs w:val="24"/>
                <w:u w:val="none"/>
                <w:lang w:val="en-US" w:eastAsia="zh-CN" w:bidi="ar"/>
              </w:rPr>
              <w:t>4</w:t>
            </w:r>
            <w:r>
              <w:rPr>
                <w:rFonts w:hint="default" w:ascii="Times New Roman" w:hAnsi="Times New Roman" w:eastAsia="宋体" w:cs="Times New Roman"/>
                <w:i w:val="0"/>
                <w:iCs w:val="0"/>
                <w:color w:val="000000"/>
                <w:kern w:val="0"/>
                <w:sz w:val="24"/>
                <w:szCs w:val="24"/>
                <w:u w:val="none"/>
                <w:lang w:val="en-US" w:eastAsia="zh-CN" w:bidi="ar"/>
              </w:rPr>
              <w:t>年</w:t>
            </w:r>
            <w:r>
              <w:rPr>
                <w:rFonts w:hint="default" w:ascii="Times New Roman" w:hAnsi="Times New Roman" w:cs="Times New Roman"/>
                <w:i w:val="0"/>
                <w:iCs w:val="0"/>
                <w:color w:val="000000"/>
                <w:kern w:val="0"/>
                <w:sz w:val="24"/>
                <w:szCs w:val="24"/>
                <w:u w:val="none"/>
                <w:lang w:val="en-US" w:eastAsia="zh-CN" w:bidi="ar"/>
              </w:rPr>
              <w:t>（万元）</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46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w:t>
            </w:r>
            <w:r>
              <w:rPr>
                <w:rFonts w:hint="default" w:ascii="Times New Roman" w:hAnsi="Times New Roman" w:cs="Times New Roman"/>
                <w:i w:val="0"/>
                <w:iCs w:val="0"/>
                <w:color w:val="000000"/>
                <w:kern w:val="0"/>
                <w:sz w:val="24"/>
                <w:szCs w:val="24"/>
                <w:u w:val="none"/>
                <w:lang w:val="en-US" w:eastAsia="zh-CN" w:bidi="ar"/>
              </w:rPr>
              <w:t>5</w:t>
            </w:r>
            <w:r>
              <w:rPr>
                <w:rFonts w:hint="default" w:ascii="Times New Roman" w:hAnsi="Times New Roman" w:eastAsia="宋体" w:cs="Times New Roman"/>
                <w:i w:val="0"/>
                <w:iCs w:val="0"/>
                <w:color w:val="000000"/>
                <w:kern w:val="0"/>
                <w:sz w:val="24"/>
                <w:szCs w:val="24"/>
                <w:u w:val="none"/>
                <w:lang w:val="en-US" w:eastAsia="zh-CN" w:bidi="ar"/>
              </w:rPr>
              <w:t>年</w:t>
            </w:r>
            <w:r>
              <w:rPr>
                <w:rFonts w:hint="default" w:ascii="Times New Roman" w:hAnsi="Times New Roman" w:cs="Times New Roman"/>
                <w:i w:val="0"/>
                <w:iCs w:val="0"/>
                <w:color w:val="000000"/>
                <w:kern w:val="0"/>
                <w:sz w:val="24"/>
                <w:szCs w:val="24"/>
                <w:u w:val="none"/>
                <w:lang w:val="en-US" w:eastAsia="zh-CN" w:bidi="ar"/>
              </w:rPr>
              <w:t>（万元）</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772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同比增（减）额</w:t>
            </w:r>
            <w:r>
              <w:rPr>
                <w:rFonts w:hint="default" w:ascii="Times New Roman" w:hAnsi="Times New Roman" w:cs="Times New Roman"/>
                <w:i w:val="0"/>
                <w:iCs w:val="0"/>
                <w:color w:val="000000"/>
                <w:kern w:val="0"/>
                <w:sz w:val="24"/>
                <w:szCs w:val="24"/>
                <w:u w:val="none"/>
                <w:lang w:val="en-US" w:eastAsia="zh-CN" w:bidi="ar"/>
              </w:rPr>
              <w:t>（万元）</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1F8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同比增（减）率</w:t>
            </w:r>
          </w:p>
        </w:tc>
      </w:tr>
      <w:tr w14:paraId="0AC9A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C57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全年收入</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6B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647.44</w:t>
            </w:r>
            <w:r>
              <w:rPr>
                <w:rFonts w:hint="default" w:ascii="Times New Roman" w:hAnsi="Times New Roman" w:eastAsia="宋体" w:cs="Times New Roman"/>
                <w:i w:val="0"/>
                <w:iCs w:val="0"/>
                <w:color w:val="000000"/>
                <w:kern w:val="0"/>
                <w:sz w:val="24"/>
                <w:szCs w:val="24"/>
                <w:u w:val="none"/>
                <w:lang w:val="en-US" w:eastAsia="zh-CN" w:bidi="ar"/>
              </w:rPr>
              <w:t xml:space="preserve"> </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790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cs="Times New Roman"/>
                <w:i w:val="0"/>
                <w:iCs w:val="0"/>
                <w:color w:val="000000"/>
                <w:kern w:val="0"/>
                <w:sz w:val="24"/>
                <w:szCs w:val="24"/>
                <w:u w:val="none"/>
                <w:lang w:val="en-US" w:eastAsia="zh-CN" w:bidi="ar"/>
              </w:rPr>
              <w:t>6</w:t>
            </w:r>
            <w:r>
              <w:rPr>
                <w:rFonts w:hint="eastAsia" w:cs="Times New Roman"/>
                <w:i w:val="0"/>
                <w:iCs w:val="0"/>
                <w:color w:val="000000"/>
                <w:kern w:val="0"/>
                <w:sz w:val="24"/>
                <w:szCs w:val="24"/>
                <w:u w:val="none"/>
                <w:lang w:val="en-US" w:eastAsia="zh-CN" w:bidi="ar"/>
              </w:rPr>
              <w:t>30</w:t>
            </w:r>
            <w:r>
              <w:rPr>
                <w:rFonts w:hint="default" w:ascii="Times New Roman" w:hAnsi="Times New Roman" w:cs="Times New Roman"/>
                <w:i w:val="0"/>
                <w:iCs w:val="0"/>
                <w:color w:val="000000"/>
                <w:kern w:val="0"/>
                <w:sz w:val="24"/>
                <w:szCs w:val="24"/>
                <w:u w:val="none"/>
                <w:lang w:val="en-US" w:eastAsia="zh-CN" w:bidi="ar"/>
              </w:rPr>
              <w:t>.35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A6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cs="Times New Roman"/>
                <w:i w:val="0"/>
                <w:iCs w:val="0"/>
                <w:color w:val="000000"/>
                <w:kern w:val="0"/>
                <w:sz w:val="24"/>
                <w:szCs w:val="24"/>
                <w:u w:val="none"/>
                <w:lang w:val="en-US" w:eastAsia="zh-CN" w:bidi="ar"/>
              </w:rPr>
              <w:t>17.09</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F6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cs="Times New Roman"/>
                <w:i w:val="0"/>
                <w:iCs w:val="0"/>
                <w:color w:val="000000"/>
                <w:kern w:val="0"/>
                <w:sz w:val="24"/>
                <w:szCs w:val="24"/>
                <w:u w:val="none"/>
                <w:lang w:val="en-US" w:eastAsia="zh-CN" w:bidi="ar"/>
              </w:rPr>
              <w:t>2.6</w:t>
            </w:r>
            <w:r>
              <w:rPr>
                <w:rFonts w:hint="default" w:ascii="Times New Roman" w:hAnsi="Times New Roman" w:eastAsia="宋体" w:cs="Times New Roman"/>
                <w:i w:val="0"/>
                <w:iCs w:val="0"/>
                <w:color w:val="000000"/>
                <w:kern w:val="0"/>
                <w:sz w:val="24"/>
                <w:szCs w:val="24"/>
                <w:u w:val="none"/>
                <w:lang w:val="en-US" w:eastAsia="zh-CN" w:bidi="ar"/>
              </w:rPr>
              <w:t>%</w:t>
            </w:r>
          </w:p>
        </w:tc>
      </w:tr>
      <w:tr w14:paraId="5B73C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5E6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全年支出</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8D58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cs="Times New Roman"/>
                <w:i w:val="0"/>
                <w:iCs w:val="0"/>
                <w:color w:val="000000"/>
                <w:kern w:val="0"/>
                <w:sz w:val="24"/>
                <w:szCs w:val="24"/>
                <w:u w:val="none"/>
                <w:lang w:val="en-US" w:eastAsia="zh-CN" w:bidi="ar"/>
              </w:rPr>
              <w:t>647.44</w:t>
            </w:r>
            <w:r>
              <w:rPr>
                <w:rFonts w:hint="default" w:ascii="Times New Roman" w:hAnsi="Times New Roman" w:eastAsia="宋体" w:cs="Times New Roman"/>
                <w:i w:val="0"/>
                <w:iCs w:val="0"/>
                <w:color w:val="000000"/>
                <w:kern w:val="0"/>
                <w:sz w:val="24"/>
                <w:szCs w:val="24"/>
                <w:u w:val="none"/>
                <w:lang w:val="en-US" w:eastAsia="zh-CN" w:bidi="ar"/>
              </w:rPr>
              <w:t xml:space="preserve"> </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C97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cs="Times New Roman"/>
                <w:i w:val="0"/>
                <w:iCs w:val="0"/>
                <w:color w:val="000000"/>
                <w:kern w:val="0"/>
                <w:sz w:val="24"/>
                <w:szCs w:val="24"/>
                <w:u w:val="none"/>
                <w:lang w:val="en-US" w:eastAsia="zh-CN" w:bidi="ar"/>
              </w:rPr>
              <w:t>6</w:t>
            </w:r>
            <w:r>
              <w:rPr>
                <w:rFonts w:hint="eastAsia" w:cs="Times New Roman"/>
                <w:i w:val="0"/>
                <w:iCs w:val="0"/>
                <w:color w:val="000000"/>
                <w:kern w:val="0"/>
                <w:sz w:val="24"/>
                <w:szCs w:val="24"/>
                <w:u w:val="none"/>
                <w:lang w:val="en-US" w:eastAsia="zh-CN" w:bidi="ar"/>
              </w:rPr>
              <w:t>30</w:t>
            </w:r>
            <w:r>
              <w:rPr>
                <w:rFonts w:hint="default" w:ascii="Times New Roman" w:hAnsi="Times New Roman" w:cs="Times New Roman"/>
                <w:i w:val="0"/>
                <w:iCs w:val="0"/>
                <w:color w:val="000000"/>
                <w:kern w:val="0"/>
                <w:sz w:val="24"/>
                <w:szCs w:val="24"/>
                <w:u w:val="none"/>
                <w:lang w:val="en-US" w:eastAsia="zh-CN" w:bidi="ar"/>
              </w:rPr>
              <w:t>.35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438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cs="Times New Roman"/>
                <w:i w:val="0"/>
                <w:iCs w:val="0"/>
                <w:color w:val="000000"/>
                <w:kern w:val="0"/>
                <w:sz w:val="24"/>
                <w:szCs w:val="24"/>
                <w:u w:val="none"/>
                <w:lang w:val="en-US" w:eastAsia="zh-CN" w:bidi="ar"/>
              </w:rPr>
              <w:t>17.09</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C45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cs="Times New Roman"/>
                <w:i w:val="0"/>
                <w:iCs w:val="0"/>
                <w:color w:val="000000"/>
                <w:kern w:val="0"/>
                <w:sz w:val="24"/>
                <w:szCs w:val="24"/>
                <w:u w:val="none"/>
                <w:lang w:val="en-US" w:eastAsia="zh-CN" w:bidi="ar"/>
              </w:rPr>
              <w:t>2.6</w:t>
            </w:r>
            <w:r>
              <w:rPr>
                <w:rFonts w:hint="default" w:ascii="Times New Roman" w:hAnsi="Times New Roman" w:eastAsia="宋体" w:cs="Times New Roman"/>
                <w:i w:val="0"/>
                <w:iCs w:val="0"/>
                <w:color w:val="000000"/>
                <w:kern w:val="0"/>
                <w:sz w:val="24"/>
                <w:szCs w:val="24"/>
                <w:u w:val="none"/>
                <w:lang w:val="en-US" w:eastAsia="zh-CN" w:bidi="ar"/>
              </w:rPr>
              <w:t>%</w:t>
            </w:r>
          </w:p>
        </w:tc>
      </w:tr>
    </w:tbl>
    <w:p w14:paraId="0B2DA979">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5" w:name="_Toc15396604"/>
      <w:bookmarkStart w:id="26" w:name="_Toc6817"/>
      <w:bookmarkStart w:id="27" w:name="_Toc15377206"/>
      <w:r>
        <w:rPr>
          <w:rFonts w:hint="default" w:ascii="Times New Roman" w:hAnsi="Times New Roman" w:eastAsia="黑体" w:cs="Times New Roman"/>
          <w:color w:val="auto"/>
          <w:sz w:val="32"/>
          <w:szCs w:val="32"/>
          <w:highlight w:val="none"/>
          <w:lang w:eastAsia="zh-CN"/>
        </w:rPr>
        <w:t>二、收入决算情况说明</w:t>
      </w:r>
      <w:bookmarkEnd w:id="25"/>
      <w:bookmarkEnd w:id="26"/>
      <w:bookmarkEnd w:id="27"/>
    </w:p>
    <w:p w14:paraId="54FDD1F0">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FF0000"/>
          <w:sz w:val="32"/>
          <w:szCs w:val="32"/>
          <w:highlight w:val="none"/>
          <w:lang w:eastAsia="zh-CN"/>
        </w:rPr>
      </w:pPr>
      <w:bookmarkStart w:id="28" w:name="_Toc30313"/>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630.35</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630.35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sz w:val="32"/>
          <w:szCs w:val="32"/>
          <w:highlight w:val="none"/>
          <w:lang w:eastAsia="zh-CN"/>
        </w:rPr>
        <w:t>%；政府性基金预算财政拨款收入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%；国有资本经营预算财政拨款收入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%；上级补助收入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%；事业收入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%；附属单位上缴收入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bookmarkEnd w:id="28"/>
    </w:p>
    <w:p w14:paraId="7E5C0781">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outlineLvl w:val="1"/>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bookmarkStart w:id="29" w:name="_Toc31676"/>
      <w:r>
        <w:rPr>
          <w:rFonts w:hint="default" w:ascii="Times New Roman" w:hAnsi="Times New Roman" w:eastAsia="仿宋_GB2312" w:cs="Times New Roman"/>
          <w:color w:val="FF0000"/>
          <w:sz w:val="32"/>
          <w:szCs w:val="32"/>
          <w:highlight w:val="none"/>
          <w:lang w:eastAsia="zh-CN"/>
        </w:rPr>
        <w:drawing>
          <wp:inline distT="0" distB="0" distL="114300" distR="114300">
            <wp:extent cx="5080000" cy="3810000"/>
            <wp:effectExtent l="4445" t="4445" r="20955" b="1460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（图2：收入决算结构图）</w:t>
      </w:r>
      <w:bookmarkEnd w:id="29"/>
    </w:p>
    <w:tbl>
      <w:tblPr>
        <w:tblStyle w:val="15"/>
        <w:tblW w:w="8081" w:type="dxa"/>
        <w:tblInd w:w="635" w:type="dxa"/>
        <w:shd w:val="clear" w:color="auto" w:fill="auto"/>
        <w:tblLayout w:type="fixed"/>
        <w:tblCellMar>
          <w:top w:w="0" w:type="dxa"/>
          <w:left w:w="0" w:type="dxa"/>
          <w:bottom w:w="0" w:type="dxa"/>
          <w:right w:w="0" w:type="dxa"/>
        </w:tblCellMar>
      </w:tblPr>
      <w:tblGrid>
        <w:gridCol w:w="3225"/>
        <w:gridCol w:w="2813"/>
        <w:gridCol w:w="2043"/>
      </w:tblGrid>
      <w:tr w14:paraId="11E7A211">
        <w:tblPrEx>
          <w:shd w:val="clear" w:color="auto" w:fill="auto"/>
        </w:tblPrEx>
        <w:trPr>
          <w:trHeight w:val="270"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53AE7653">
            <w:pPr>
              <w:keepNext w:val="0"/>
              <w:keepLines w:val="0"/>
              <w:widowControl/>
              <w:suppressLineNumbers w:val="0"/>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 </w:t>
            </w:r>
          </w:p>
        </w:tc>
        <w:tc>
          <w:tcPr>
            <w:tcW w:w="2813" w:type="dxa"/>
            <w:tcBorders>
              <w:top w:val="nil"/>
              <w:left w:val="nil"/>
              <w:bottom w:val="nil"/>
              <w:right w:val="nil"/>
            </w:tcBorders>
            <w:shd w:val="clear" w:color="auto" w:fill="auto"/>
            <w:noWrap/>
            <w:tcMar>
              <w:top w:w="15" w:type="dxa"/>
              <w:left w:w="15" w:type="dxa"/>
              <w:right w:w="15" w:type="dxa"/>
            </w:tcMar>
            <w:vAlign w:val="center"/>
          </w:tcPr>
          <w:p w14:paraId="3C000612">
            <w:pPr>
              <w:keepNext w:val="0"/>
              <w:keepLines w:val="0"/>
              <w:widowControl/>
              <w:suppressLineNumbers w:val="0"/>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2025年收入决算结构图</w:t>
            </w:r>
          </w:p>
        </w:tc>
        <w:tc>
          <w:tcPr>
            <w:tcW w:w="2043" w:type="dxa"/>
            <w:tcBorders>
              <w:top w:val="nil"/>
              <w:left w:val="nil"/>
              <w:bottom w:val="nil"/>
              <w:right w:val="nil"/>
            </w:tcBorders>
            <w:shd w:val="clear" w:color="auto" w:fill="auto"/>
            <w:noWrap/>
            <w:tcMar>
              <w:top w:w="15" w:type="dxa"/>
              <w:left w:w="15" w:type="dxa"/>
              <w:right w:w="15" w:type="dxa"/>
            </w:tcMar>
            <w:vAlign w:val="center"/>
          </w:tcPr>
          <w:p w14:paraId="3DC50A28">
            <w:pPr>
              <w:keepNext w:val="0"/>
              <w:keepLines w:val="0"/>
              <w:widowControl/>
              <w:suppressLineNumbers w:val="0"/>
              <w:jc w:val="left"/>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百分比</w:t>
            </w:r>
          </w:p>
        </w:tc>
      </w:tr>
      <w:tr w14:paraId="1F8AD30A">
        <w:tblPrEx>
          <w:tblCellMar>
            <w:top w:w="0" w:type="dxa"/>
            <w:left w:w="0" w:type="dxa"/>
            <w:bottom w:w="0" w:type="dxa"/>
            <w:right w:w="0" w:type="dxa"/>
          </w:tblCellMar>
        </w:tblPrEx>
        <w:trPr>
          <w:trHeight w:val="405"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4EDAB994">
            <w:pPr>
              <w:keepNext w:val="0"/>
              <w:keepLines w:val="0"/>
              <w:widowControl/>
              <w:suppressLineNumbers w:val="0"/>
              <w:jc w:val="both"/>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一般公共预算财政拨款收入</w:t>
            </w:r>
          </w:p>
        </w:tc>
        <w:tc>
          <w:tcPr>
            <w:tcW w:w="2813" w:type="dxa"/>
            <w:tcBorders>
              <w:top w:val="nil"/>
              <w:left w:val="nil"/>
              <w:bottom w:val="nil"/>
              <w:right w:val="nil"/>
            </w:tcBorders>
            <w:shd w:val="clear" w:color="auto" w:fill="auto"/>
            <w:noWrap/>
            <w:tcMar>
              <w:top w:w="15" w:type="dxa"/>
              <w:left w:w="15" w:type="dxa"/>
              <w:right w:w="15" w:type="dxa"/>
            </w:tcMar>
            <w:vAlign w:val="center"/>
          </w:tcPr>
          <w:p w14:paraId="0B74F2DD">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630.35</w:t>
            </w:r>
          </w:p>
        </w:tc>
        <w:tc>
          <w:tcPr>
            <w:tcW w:w="2043" w:type="dxa"/>
            <w:tcBorders>
              <w:top w:val="nil"/>
              <w:left w:val="nil"/>
              <w:bottom w:val="nil"/>
              <w:right w:val="nil"/>
            </w:tcBorders>
            <w:shd w:val="clear" w:color="auto" w:fill="auto"/>
            <w:noWrap/>
            <w:tcMar>
              <w:top w:w="15" w:type="dxa"/>
              <w:left w:w="15" w:type="dxa"/>
              <w:right w:w="15" w:type="dxa"/>
            </w:tcMar>
            <w:vAlign w:val="center"/>
          </w:tcPr>
          <w:p w14:paraId="4FD774B1">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100%</w:t>
            </w:r>
          </w:p>
        </w:tc>
      </w:tr>
      <w:tr w14:paraId="5955A735">
        <w:tblPrEx>
          <w:tblCellMar>
            <w:top w:w="0" w:type="dxa"/>
            <w:left w:w="0" w:type="dxa"/>
            <w:bottom w:w="0" w:type="dxa"/>
            <w:right w:w="0" w:type="dxa"/>
          </w:tblCellMar>
        </w:tblPrEx>
        <w:trPr>
          <w:trHeight w:val="270"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1722A72D">
            <w:pPr>
              <w:keepNext w:val="0"/>
              <w:keepLines w:val="0"/>
              <w:widowControl/>
              <w:suppressLineNumbers w:val="0"/>
              <w:jc w:val="lef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政府性基金预算财政拨款收入</w:t>
            </w:r>
          </w:p>
        </w:tc>
        <w:tc>
          <w:tcPr>
            <w:tcW w:w="2813" w:type="dxa"/>
            <w:tcBorders>
              <w:top w:val="nil"/>
              <w:left w:val="nil"/>
              <w:bottom w:val="nil"/>
              <w:right w:val="nil"/>
            </w:tcBorders>
            <w:shd w:val="clear" w:color="auto" w:fill="auto"/>
            <w:noWrap/>
            <w:tcMar>
              <w:top w:w="15" w:type="dxa"/>
              <w:left w:w="15" w:type="dxa"/>
              <w:right w:w="15" w:type="dxa"/>
            </w:tcMar>
            <w:vAlign w:val="center"/>
          </w:tcPr>
          <w:p w14:paraId="458EE2D7">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 xml:space="preserve">0 </w:t>
            </w:r>
          </w:p>
        </w:tc>
        <w:tc>
          <w:tcPr>
            <w:tcW w:w="2043" w:type="dxa"/>
            <w:tcBorders>
              <w:top w:val="nil"/>
              <w:left w:val="nil"/>
              <w:bottom w:val="nil"/>
              <w:right w:val="nil"/>
            </w:tcBorders>
            <w:shd w:val="clear" w:color="auto" w:fill="auto"/>
            <w:noWrap/>
            <w:tcMar>
              <w:top w:w="15" w:type="dxa"/>
              <w:left w:w="15" w:type="dxa"/>
              <w:right w:w="15" w:type="dxa"/>
            </w:tcMar>
            <w:vAlign w:val="center"/>
          </w:tcPr>
          <w:p w14:paraId="0E3C0292">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0%</w:t>
            </w:r>
          </w:p>
        </w:tc>
      </w:tr>
      <w:tr w14:paraId="68ADEC35">
        <w:tblPrEx>
          <w:tblCellMar>
            <w:top w:w="0" w:type="dxa"/>
            <w:left w:w="0" w:type="dxa"/>
            <w:bottom w:w="0" w:type="dxa"/>
            <w:right w:w="0" w:type="dxa"/>
          </w:tblCellMar>
        </w:tblPrEx>
        <w:trPr>
          <w:trHeight w:val="270"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0FF11857">
            <w:pPr>
              <w:keepNext w:val="0"/>
              <w:keepLines w:val="0"/>
              <w:widowControl/>
              <w:suppressLineNumbers w:val="0"/>
              <w:jc w:val="lef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国有资本经营预算财政拨款收入</w:t>
            </w:r>
          </w:p>
        </w:tc>
        <w:tc>
          <w:tcPr>
            <w:tcW w:w="2813" w:type="dxa"/>
            <w:tcBorders>
              <w:top w:val="nil"/>
              <w:left w:val="nil"/>
              <w:bottom w:val="nil"/>
              <w:right w:val="nil"/>
            </w:tcBorders>
            <w:shd w:val="clear" w:color="auto" w:fill="auto"/>
            <w:noWrap/>
            <w:tcMar>
              <w:top w:w="15" w:type="dxa"/>
              <w:left w:w="15" w:type="dxa"/>
              <w:right w:w="15" w:type="dxa"/>
            </w:tcMar>
            <w:vAlign w:val="center"/>
          </w:tcPr>
          <w:p w14:paraId="664F5435">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 xml:space="preserve">0 </w:t>
            </w:r>
          </w:p>
        </w:tc>
        <w:tc>
          <w:tcPr>
            <w:tcW w:w="2043" w:type="dxa"/>
            <w:tcBorders>
              <w:top w:val="nil"/>
              <w:left w:val="nil"/>
              <w:bottom w:val="nil"/>
              <w:right w:val="nil"/>
            </w:tcBorders>
            <w:shd w:val="clear" w:color="auto" w:fill="auto"/>
            <w:noWrap/>
            <w:tcMar>
              <w:top w:w="15" w:type="dxa"/>
              <w:left w:w="15" w:type="dxa"/>
              <w:right w:w="15" w:type="dxa"/>
            </w:tcMar>
            <w:vAlign w:val="center"/>
          </w:tcPr>
          <w:p w14:paraId="1F08E49B">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0%</w:t>
            </w:r>
          </w:p>
        </w:tc>
      </w:tr>
      <w:tr w14:paraId="7F4898F4">
        <w:tblPrEx>
          <w:tblCellMar>
            <w:top w:w="0" w:type="dxa"/>
            <w:left w:w="0" w:type="dxa"/>
            <w:bottom w:w="0" w:type="dxa"/>
            <w:right w:w="0" w:type="dxa"/>
          </w:tblCellMar>
        </w:tblPrEx>
        <w:trPr>
          <w:trHeight w:val="266"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58FDE941">
            <w:pPr>
              <w:keepNext w:val="0"/>
              <w:keepLines w:val="0"/>
              <w:widowControl/>
              <w:suppressLineNumbers w:val="0"/>
              <w:jc w:val="both"/>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上级补助收入</w:t>
            </w:r>
          </w:p>
        </w:tc>
        <w:tc>
          <w:tcPr>
            <w:tcW w:w="2813" w:type="dxa"/>
            <w:tcBorders>
              <w:top w:val="nil"/>
              <w:left w:val="nil"/>
              <w:bottom w:val="nil"/>
              <w:right w:val="nil"/>
            </w:tcBorders>
            <w:shd w:val="clear" w:color="auto" w:fill="auto"/>
            <w:noWrap/>
            <w:tcMar>
              <w:top w:w="15" w:type="dxa"/>
              <w:left w:w="15" w:type="dxa"/>
              <w:right w:w="15" w:type="dxa"/>
            </w:tcMar>
            <w:vAlign w:val="center"/>
          </w:tcPr>
          <w:p w14:paraId="08E023F6">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 xml:space="preserve">0 </w:t>
            </w:r>
          </w:p>
        </w:tc>
        <w:tc>
          <w:tcPr>
            <w:tcW w:w="2043" w:type="dxa"/>
            <w:tcBorders>
              <w:top w:val="nil"/>
              <w:left w:val="nil"/>
              <w:bottom w:val="nil"/>
              <w:right w:val="nil"/>
            </w:tcBorders>
            <w:shd w:val="clear" w:color="auto" w:fill="auto"/>
            <w:noWrap/>
            <w:tcMar>
              <w:top w:w="15" w:type="dxa"/>
              <w:left w:w="15" w:type="dxa"/>
              <w:right w:w="15" w:type="dxa"/>
            </w:tcMar>
            <w:vAlign w:val="center"/>
          </w:tcPr>
          <w:p w14:paraId="3C2F1290">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0%</w:t>
            </w:r>
          </w:p>
        </w:tc>
      </w:tr>
      <w:tr w14:paraId="1A2F5B6E">
        <w:tblPrEx>
          <w:tblCellMar>
            <w:top w:w="0" w:type="dxa"/>
            <w:left w:w="0" w:type="dxa"/>
            <w:bottom w:w="0" w:type="dxa"/>
            <w:right w:w="0" w:type="dxa"/>
          </w:tblCellMar>
        </w:tblPrEx>
        <w:trPr>
          <w:trHeight w:val="405"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7723DAB2">
            <w:pPr>
              <w:keepNext w:val="0"/>
              <w:keepLines w:val="0"/>
              <w:widowControl/>
              <w:suppressLineNumbers w:val="0"/>
              <w:jc w:val="both"/>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事业收入</w:t>
            </w:r>
          </w:p>
        </w:tc>
        <w:tc>
          <w:tcPr>
            <w:tcW w:w="2813" w:type="dxa"/>
            <w:tcBorders>
              <w:top w:val="nil"/>
              <w:left w:val="nil"/>
              <w:bottom w:val="nil"/>
              <w:right w:val="nil"/>
            </w:tcBorders>
            <w:shd w:val="clear" w:color="auto" w:fill="auto"/>
            <w:noWrap/>
            <w:tcMar>
              <w:top w:w="15" w:type="dxa"/>
              <w:left w:w="15" w:type="dxa"/>
              <w:right w:w="15" w:type="dxa"/>
            </w:tcMar>
            <w:vAlign w:val="center"/>
          </w:tcPr>
          <w:p w14:paraId="4136D71C">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 xml:space="preserve">0 </w:t>
            </w:r>
          </w:p>
        </w:tc>
        <w:tc>
          <w:tcPr>
            <w:tcW w:w="2043" w:type="dxa"/>
            <w:tcBorders>
              <w:top w:val="nil"/>
              <w:left w:val="nil"/>
              <w:bottom w:val="nil"/>
              <w:right w:val="nil"/>
            </w:tcBorders>
            <w:shd w:val="clear" w:color="auto" w:fill="auto"/>
            <w:noWrap/>
            <w:tcMar>
              <w:top w:w="15" w:type="dxa"/>
              <w:left w:w="15" w:type="dxa"/>
              <w:right w:w="15" w:type="dxa"/>
            </w:tcMar>
            <w:vAlign w:val="center"/>
          </w:tcPr>
          <w:p w14:paraId="7830F31D">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0%</w:t>
            </w:r>
          </w:p>
        </w:tc>
      </w:tr>
      <w:tr w14:paraId="1F07E9AF">
        <w:tblPrEx>
          <w:tblCellMar>
            <w:top w:w="0" w:type="dxa"/>
            <w:left w:w="0" w:type="dxa"/>
            <w:bottom w:w="0" w:type="dxa"/>
            <w:right w:w="0" w:type="dxa"/>
          </w:tblCellMar>
        </w:tblPrEx>
        <w:trPr>
          <w:trHeight w:val="340"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5927E74B">
            <w:pPr>
              <w:keepNext w:val="0"/>
              <w:keepLines w:val="0"/>
              <w:widowControl/>
              <w:suppressLineNumbers w:val="0"/>
              <w:jc w:val="both"/>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经营收入</w:t>
            </w:r>
          </w:p>
        </w:tc>
        <w:tc>
          <w:tcPr>
            <w:tcW w:w="2813" w:type="dxa"/>
            <w:tcBorders>
              <w:top w:val="nil"/>
              <w:left w:val="nil"/>
              <w:bottom w:val="nil"/>
              <w:right w:val="nil"/>
            </w:tcBorders>
            <w:shd w:val="clear" w:color="auto" w:fill="auto"/>
            <w:noWrap/>
            <w:tcMar>
              <w:top w:w="15" w:type="dxa"/>
              <w:left w:w="15" w:type="dxa"/>
              <w:right w:w="15" w:type="dxa"/>
            </w:tcMar>
            <w:vAlign w:val="center"/>
          </w:tcPr>
          <w:p w14:paraId="7D628EF0">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 xml:space="preserve">0 </w:t>
            </w:r>
          </w:p>
        </w:tc>
        <w:tc>
          <w:tcPr>
            <w:tcW w:w="2043" w:type="dxa"/>
            <w:tcBorders>
              <w:top w:val="nil"/>
              <w:left w:val="nil"/>
              <w:bottom w:val="nil"/>
              <w:right w:val="nil"/>
            </w:tcBorders>
            <w:shd w:val="clear" w:color="auto" w:fill="auto"/>
            <w:noWrap/>
            <w:tcMar>
              <w:top w:w="15" w:type="dxa"/>
              <w:left w:w="15" w:type="dxa"/>
              <w:right w:w="15" w:type="dxa"/>
            </w:tcMar>
            <w:vAlign w:val="center"/>
          </w:tcPr>
          <w:p w14:paraId="6C5C0F01">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0%</w:t>
            </w:r>
          </w:p>
        </w:tc>
      </w:tr>
      <w:tr w14:paraId="4AFEF31E">
        <w:tblPrEx>
          <w:tblCellMar>
            <w:top w:w="0" w:type="dxa"/>
            <w:left w:w="0" w:type="dxa"/>
            <w:bottom w:w="0" w:type="dxa"/>
            <w:right w:w="0" w:type="dxa"/>
          </w:tblCellMar>
        </w:tblPrEx>
        <w:trPr>
          <w:trHeight w:val="405"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2A3B02AD">
            <w:pPr>
              <w:keepNext w:val="0"/>
              <w:keepLines w:val="0"/>
              <w:widowControl/>
              <w:suppressLineNumbers w:val="0"/>
              <w:jc w:val="both"/>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附属单位上缴收入</w:t>
            </w:r>
          </w:p>
        </w:tc>
        <w:tc>
          <w:tcPr>
            <w:tcW w:w="2813" w:type="dxa"/>
            <w:tcBorders>
              <w:top w:val="nil"/>
              <w:left w:val="nil"/>
              <w:bottom w:val="nil"/>
              <w:right w:val="nil"/>
            </w:tcBorders>
            <w:shd w:val="clear" w:color="auto" w:fill="auto"/>
            <w:noWrap/>
            <w:tcMar>
              <w:top w:w="15" w:type="dxa"/>
              <w:left w:w="15" w:type="dxa"/>
              <w:right w:w="15" w:type="dxa"/>
            </w:tcMar>
            <w:vAlign w:val="center"/>
          </w:tcPr>
          <w:p w14:paraId="58013107">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 xml:space="preserve">0 </w:t>
            </w:r>
          </w:p>
        </w:tc>
        <w:tc>
          <w:tcPr>
            <w:tcW w:w="2043" w:type="dxa"/>
            <w:tcBorders>
              <w:top w:val="nil"/>
              <w:left w:val="nil"/>
              <w:bottom w:val="nil"/>
              <w:right w:val="nil"/>
            </w:tcBorders>
            <w:shd w:val="clear" w:color="auto" w:fill="auto"/>
            <w:noWrap/>
            <w:tcMar>
              <w:top w:w="15" w:type="dxa"/>
              <w:left w:w="15" w:type="dxa"/>
              <w:right w:w="15" w:type="dxa"/>
            </w:tcMar>
            <w:vAlign w:val="center"/>
          </w:tcPr>
          <w:p w14:paraId="19C2393B">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0%</w:t>
            </w:r>
          </w:p>
        </w:tc>
      </w:tr>
      <w:tr w14:paraId="2D72776E">
        <w:tblPrEx>
          <w:tblCellMar>
            <w:top w:w="0" w:type="dxa"/>
            <w:left w:w="0" w:type="dxa"/>
            <w:bottom w:w="0" w:type="dxa"/>
            <w:right w:w="0" w:type="dxa"/>
          </w:tblCellMar>
        </w:tblPrEx>
        <w:trPr>
          <w:trHeight w:val="405" w:hRule="atLeast"/>
        </w:trPr>
        <w:tc>
          <w:tcPr>
            <w:tcW w:w="3225" w:type="dxa"/>
            <w:tcBorders>
              <w:top w:val="nil"/>
              <w:left w:val="nil"/>
              <w:bottom w:val="nil"/>
              <w:right w:val="nil"/>
            </w:tcBorders>
            <w:shd w:val="clear" w:color="auto" w:fill="auto"/>
            <w:noWrap/>
            <w:tcMar>
              <w:top w:w="15" w:type="dxa"/>
              <w:left w:w="15" w:type="dxa"/>
              <w:right w:w="15" w:type="dxa"/>
            </w:tcMar>
            <w:vAlign w:val="center"/>
          </w:tcPr>
          <w:p w14:paraId="55458068">
            <w:pPr>
              <w:keepNext w:val="0"/>
              <w:keepLines w:val="0"/>
              <w:widowControl/>
              <w:suppressLineNumbers w:val="0"/>
              <w:jc w:val="both"/>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其他收入</w:t>
            </w:r>
          </w:p>
        </w:tc>
        <w:tc>
          <w:tcPr>
            <w:tcW w:w="2813" w:type="dxa"/>
            <w:tcBorders>
              <w:top w:val="nil"/>
              <w:left w:val="nil"/>
              <w:bottom w:val="nil"/>
              <w:right w:val="nil"/>
            </w:tcBorders>
            <w:shd w:val="clear" w:color="auto" w:fill="auto"/>
            <w:noWrap/>
            <w:tcMar>
              <w:top w:w="15" w:type="dxa"/>
              <w:left w:w="15" w:type="dxa"/>
              <w:right w:w="15" w:type="dxa"/>
            </w:tcMar>
            <w:vAlign w:val="center"/>
          </w:tcPr>
          <w:p w14:paraId="6EC32572">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 xml:space="preserve">0 </w:t>
            </w:r>
          </w:p>
        </w:tc>
        <w:tc>
          <w:tcPr>
            <w:tcW w:w="2043" w:type="dxa"/>
            <w:tcBorders>
              <w:top w:val="nil"/>
              <w:left w:val="nil"/>
              <w:bottom w:val="nil"/>
              <w:right w:val="nil"/>
            </w:tcBorders>
            <w:shd w:val="clear" w:color="auto" w:fill="auto"/>
            <w:noWrap/>
            <w:tcMar>
              <w:top w:w="15" w:type="dxa"/>
              <w:left w:w="15" w:type="dxa"/>
              <w:right w:w="15" w:type="dxa"/>
            </w:tcMar>
            <w:vAlign w:val="center"/>
          </w:tcPr>
          <w:p w14:paraId="071E1D47">
            <w:pPr>
              <w:keepNext w:val="0"/>
              <w:keepLines w:val="0"/>
              <w:widowControl/>
              <w:suppressLineNumbers w:val="0"/>
              <w:jc w:val="right"/>
              <w:textAlignment w:val="center"/>
              <w:rPr>
                <w:rFonts w:hint="default" w:ascii="Times New Roman" w:hAnsi="Times New Roman" w:cs="Times New Roman" w:eastAsiaTheme="minorEastAsia"/>
                <w:i w:val="0"/>
                <w:color w:val="000000"/>
                <w:sz w:val="22"/>
                <w:szCs w:val="22"/>
                <w:u w:val="none"/>
              </w:rPr>
            </w:pPr>
            <w:r>
              <w:rPr>
                <w:rFonts w:hint="default" w:ascii="Times New Roman" w:hAnsi="Times New Roman" w:cs="Times New Roman" w:eastAsiaTheme="minorEastAsia"/>
                <w:i w:val="0"/>
                <w:color w:val="000000"/>
                <w:kern w:val="0"/>
                <w:sz w:val="22"/>
                <w:szCs w:val="22"/>
                <w:u w:val="none"/>
                <w:lang w:val="en-US" w:eastAsia="zh-CN" w:bidi="ar"/>
              </w:rPr>
              <w:t>0%</w:t>
            </w:r>
          </w:p>
        </w:tc>
      </w:tr>
    </w:tbl>
    <w:p w14:paraId="1555BFF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30" w:name="_Toc15396605"/>
      <w:bookmarkStart w:id="31" w:name="_Toc177"/>
      <w:bookmarkStart w:id="32"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29"/>
          <w:rFonts w:hint="default" w:ascii="Times New Roman" w:hAnsi="Times New Roman" w:eastAsia="黑体" w:cs="Times New Roman"/>
          <w:b w:val="0"/>
          <w:color w:val="auto"/>
          <w:highlight w:val="none"/>
        </w:rPr>
        <w:t>出决算情况说明</w:t>
      </w:r>
      <w:bookmarkEnd w:id="30"/>
      <w:bookmarkEnd w:id="31"/>
      <w:bookmarkEnd w:id="32"/>
    </w:p>
    <w:p w14:paraId="4D1E0D69">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33" w:name="_Toc22070"/>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630.35</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566.73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89.9</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63.62</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auto"/>
          <w:sz w:val="32"/>
          <w:szCs w:val="32"/>
          <w:highlight w:val="none"/>
          <w:lang w:eastAsia="zh-CN"/>
        </w:rPr>
        <w:t>%；上缴上级支出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%；对附属单位补助支出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bookmarkEnd w:id="33"/>
    </w:p>
    <w:p w14:paraId="3024B19C">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outlineLvl w:val="1"/>
        <w:rPr>
          <w:rFonts w:hint="default" w:ascii="Times New Roman" w:hAnsi="Times New Roman" w:eastAsia="仿宋_GB2312" w:cs="Times New Roman"/>
          <w:b/>
          <w:bCs/>
          <w:color w:val="auto"/>
          <w:sz w:val="32"/>
          <w:szCs w:val="32"/>
          <w:highlight w:val="none"/>
          <w:lang w:eastAsia="zh-CN"/>
        </w:rPr>
      </w:pPr>
      <w:bookmarkStart w:id="34" w:name="_Toc32494"/>
      <w:r>
        <w:rPr>
          <w:rFonts w:hint="default" w:ascii="Times New Roman" w:hAnsi="Times New Roman" w:eastAsia="仿宋_GB2312" w:cs="Times New Roman"/>
          <w:b/>
          <w:bCs/>
          <w:color w:val="auto"/>
          <w:sz w:val="32"/>
          <w:szCs w:val="32"/>
          <w:highlight w:val="none"/>
          <w:lang w:eastAsia="zh-CN"/>
        </w:rPr>
        <w:drawing>
          <wp:inline distT="0" distB="0" distL="114300" distR="114300">
            <wp:extent cx="5080000" cy="3810000"/>
            <wp:effectExtent l="4445" t="4445" r="20955"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bookmarkEnd w:id="34"/>
    </w:p>
    <w:p w14:paraId="6F5763C1">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bookmarkStart w:id="35" w:name="_Toc17822"/>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（图3：支出决算结构图）</w:t>
      </w:r>
      <w:bookmarkEnd w:id="35"/>
    </w:p>
    <w:tbl>
      <w:tblPr>
        <w:tblStyle w:val="15"/>
        <w:tblW w:w="7969" w:type="dxa"/>
        <w:tblInd w:w="710" w:type="dxa"/>
        <w:shd w:val="clear" w:color="auto" w:fill="auto"/>
        <w:tblLayout w:type="autofit"/>
        <w:tblCellMar>
          <w:top w:w="0" w:type="dxa"/>
          <w:left w:w="0" w:type="dxa"/>
          <w:bottom w:w="0" w:type="dxa"/>
          <w:right w:w="0" w:type="dxa"/>
        </w:tblCellMar>
      </w:tblPr>
      <w:tblGrid>
        <w:gridCol w:w="1750"/>
        <w:gridCol w:w="2205"/>
        <w:gridCol w:w="4014"/>
      </w:tblGrid>
      <w:tr w14:paraId="3E49EE53">
        <w:tblPrEx>
          <w:shd w:val="clear" w:color="auto" w:fill="auto"/>
          <w:tblCellMar>
            <w:top w:w="0" w:type="dxa"/>
            <w:left w:w="0" w:type="dxa"/>
            <w:bottom w:w="0" w:type="dxa"/>
            <w:right w:w="0" w:type="dxa"/>
          </w:tblCellMar>
        </w:tblPrEx>
        <w:trPr>
          <w:trHeight w:val="270" w:hRule="atLeast"/>
        </w:trPr>
        <w:tc>
          <w:tcPr>
            <w:tcW w:w="1750" w:type="dxa"/>
            <w:tcBorders>
              <w:top w:val="nil"/>
              <w:left w:val="nil"/>
              <w:bottom w:val="nil"/>
              <w:right w:val="nil"/>
            </w:tcBorders>
            <w:shd w:val="clear" w:color="auto" w:fill="auto"/>
            <w:noWrap/>
            <w:tcMar>
              <w:top w:w="15" w:type="dxa"/>
              <w:left w:w="15" w:type="dxa"/>
              <w:right w:w="15" w:type="dxa"/>
            </w:tcMar>
            <w:vAlign w:val="center"/>
          </w:tcPr>
          <w:p w14:paraId="0E614FDD">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p>
        </w:tc>
        <w:tc>
          <w:tcPr>
            <w:tcW w:w="2205" w:type="dxa"/>
            <w:tcBorders>
              <w:top w:val="nil"/>
              <w:left w:val="nil"/>
              <w:bottom w:val="nil"/>
              <w:right w:val="nil"/>
            </w:tcBorders>
            <w:shd w:val="clear" w:color="auto" w:fill="auto"/>
            <w:noWrap/>
            <w:tcMar>
              <w:top w:w="15" w:type="dxa"/>
              <w:left w:w="15" w:type="dxa"/>
              <w:right w:w="15" w:type="dxa"/>
            </w:tcMar>
            <w:vAlign w:val="center"/>
          </w:tcPr>
          <w:p w14:paraId="634FE5F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2025年度支出决算图</w:t>
            </w:r>
          </w:p>
        </w:tc>
        <w:tc>
          <w:tcPr>
            <w:tcW w:w="4014" w:type="dxa"/>
            <w:tcBorders>
              <w:top w:val="nil"/>
              <w:left w:val="nil"/>
              <w:bottom w:val="nil"/>
              <w:right w:val="nil"/>
            </w:tcBorders>
            <w:shd w:val="clear" w:color="auto" w:fill="auto"/>
            <w:noWrap/>
            <w:tcMar>
              <w:top w:w="15" w:type="dxa"/>
              <w:left w:w="15" w:type="dxa"/>
              <w:right w:w="15" w:type="dxa"/>
            </w:tcMar>
            <w:vAlign w:val="center"/>
          </w:tcPr>
          <w:p w14:paraId="3075B674">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eastAsia" w:cs="Times New Roman"/>
                <w:i w:val="0"/>
                <w:color w:val="000000"/>
                <w:kern w:val="0"/>
                <w:sz w:val="22"/>
                <w:szCs w:val="22"/>
                <w:u w:val="none"/>
                <w:lang w:val="en-US" w:eastAsia="zh-CN" w:bidi="ar"/>
              </w:rPr>
              <w:t>百分</w:t>
            </w:r>
            <w:r>
              <w:rPr>
                <w:rFonts w:hint="default" w:ascii="Times New Roman" w:hAnsi="Times New Roman" w:eastAsia="宋体" w:cs="Times New Roman"/>
                <w:i w:val="0"/>
                <w:color w:val="000000"/>
                <w:kern w:val="0"/>
                <w:sz w:val="22"/>
                <w:szCs w:val="22"/>
                <w:u w:val="none"/>
                <w:lang w:val="en-US" w:eastAsia="zh-CN" w:bidi="ar"/>
              </w:rPr>
              <w:t>比</w:t>
            </w:r>
          </w:p>
        </w:tc>
      </w:tr>
      <w:tr w14:paraId="1E78D3B7">
        <w:tblPrEx>
          <w:tblCellMar>
            <w:top w:w="0" w:type="dxa"/>
            <w:left w:w="0" w:type="dxa"/>
            <w:bottom w:w="0" w:type="dxa"/>
            <w:right w:w="0" w:type="dxa"/>
          </w:tblCellMar>
        </w:tblPrEx>
        <w:trPr>
          <w:trHeight w:val="270" w:hRule="atLeast"/>
        </w:trPr>
        <w:tc>
          <w:tcPr>
            <w:tcW w:w="1750" w:type="dxa"/>
            <w:tcBorders>
              <w:top w:val="nil"/>
              <w:left w:val="nil"/>
              <w:bottom w:val="nil"/>
              <w:right w:val="nil"/>
            </w:tcBorders>
            <w:shd w:val="clear" w:color="auto" w:fill="auto"/>
            <w:noWrap/>
            <w:tcMar>
              <w:top w:w="15" w:type="dxa"/>
              <w:left w:w="15" w:type="dxa"/>
              <w:right w:w="15" w:type="dxa"/>
            </w:tcMar>
            <w:vAlign w:val="center"/>
          </w:tcPr>
          <w:p w14:paraId="6D9DF008">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基本支出</w:t>
            </w:r>
          </w:p>
        </w:tc>
        <w:tc>
          <w:tcPr>
            <w:tcW w:w="2205" w:type="dxa"/>
            <w:tcBorders>
              <w:top w:val="nil"/>
              <w:left w:val="nil"/>
              <w:bottom w:val="nil"/>
              <w:right w:val="nil"/>
            </w:tcBorders>
            <w:shd w:val="clear" w:color="auto" w:fill="auto"/>
            <w:noWrap/>
            <w:tcMar>
              <w:top w:w="15" w:type="dxa"/>
              <w:left w:w="15" w:type="dxa"/>
              <w:right w:w="15" w:type="dxa"/>
            </w:tcMar>
            <w:vAlign w:val="center"/>
          </w:tcPr>
          <w:p w14:paraId="71A07886">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566.73</w:t>
            </w:r>
          </w:p>
        </w:tc>
        <w:tc>
          <w:tcPr>
            <w:tcW w:w="4014" w:type="dxa"/>
            <w:tcBorders>
              <w:top w:val="nil"/>
              <w:left w:val="nil"/>
              <w:bottom w:val="nil"/>
              <w:right w:val="nil"/>
            </w:tcBorders>
            <w:shd w:val="clear" w:color="auto" w:fill="auto"/>
            <w:noWrap/>
            <w:tcMar>
              <w:top w:w="15" w:type="dxa"/>
              <w:left w:w="15" w:type="dxa"/>
              <w:right w:w="15" w:type="dxa"/>
            </w:tcMar>
            <w:vAlign w:val="center"/>
          </w:tcPr>
          <w:p w14:paraId="74BC12A4">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89.9%</w:t>
            </w:r>
          </w:p>
        </w:tc>
      </w:tr>
      <w:tr w14:paraId="60423A92">
        <w:trPr>
          <w:trHeight w:val="270" w:hRule="atLeast"/>
        </w:trPr>
        <w:tc>
          <w:tcPr>
            <w:tcW w:w="1750" w:type="dxa"/>
            <w:tcBorders>
              <w:top w:val="nil"/>
              <w:left w:val="nil"/>
              <w:bottom w:val="nil"/>
              <w:right w:val="nil"/>
            </w:tcBorders>
            <w:shd w:val="clear" w:color="auto" w:fill="auto"/>
            <w:noWrap/>
            <w:tcMar>
              <w:top w:w="15" w:type="dxa"/>
              <w:left w:w="15" w:type="dxa"/>
              <w:right w:w="15" w:type="dxa"/>
            </w:tcMar>
            <w:vAlign w:val="center"/>
          </w:tcPr>
          <w:p w14:paraId="781A7557">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项目支出</w:t>
            </w:r>
          </w:p>
        </w:tc>
        <w:tc>
          <w:tcPr>
            <w:tcW w:w="2205" w:type="dxa"/>
            <w:tcBorders>
              <w:top w:val="nil"/>
              <w:left w:val="nil"/>
              <w:bottom w:val="nil"/>
              <w:right w:val="nil"/>
            </w:tcBorders>
            <w:shd w:val="clear" w:color="auto" w:fill="auto"/>
            <w:noWrap/>
            <w:tcMar>
              <w:top w:w="15" w:type="dxa"/>
              <w:left w:w="15" w:type="dxa"/>
              <w:right w:w="15" w:type="dxa"/>
            </w:tcMar>
            <w:vAlign w:val="center"/>
          </w:tcPr>
          <w:p w14:paraId="2FC60600">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63.62</w:t>
            </w:r>
          </w:p>
        </w:tc>
        <w:tc>
          <w:tcPr>
            <w:tcW w:w="4014" w:type="dxa"/>
            <w:tcBorders>
              <w:top w:val="nil"/>
              <w:left w:val="nil"/>
              <w:bottom w:val="nil"/>
              <w:right w:val="nil"/>
            </w:tcBorders>
            <w:shd w:val="clear" w:color="auto" w:fill="auto"/>
            <w:noWrap/>
            <w:tcMar>
              <w:top w:w="15" w:type="dxa"/>
              <w:left w:w="15" w:type="dxa"/>
              <w:right w:w="15" w:type="dxa"/>
            </w:tcMar>
            <w:vAlign w:val="center"/>
          </w:tcPr>
          <w:p w14:paraId="14C42EFB">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10.1%</w:t>
            </w:r>
          </w:p>
        </w:tc>
      </w:tr>
      <w:tr w14:paraId="04A73949">
        <w:tblPrEx>
          <w:tblCellMar>
            <w:top w:w="0" w:type="dxa"/>
            <w:left w:w="0" w:type="dxa"/>
            <w:bottom w:w="0" w:type="dxa"/>
            <w:right w:w="0" w:type="dxa"/>
          </w:tblCellMar>
        </w:tblPrEx>
        <w:trPr>
          <w:trHeight w:val="540" w:hRule="atLeast"/>
        </w:trPr>
        <w:tc>
          <w:tcPr>
            <w:tcW w:w="1750" w:type="dxa"/>
            <w:tcBorders>
              <w:top w:val="nil"/>
              <w:left w:val="nil"/>
              <w:bottom w:val="nil"/>
              <w:right w:val="nil"/>
            </w:tcBorders>
            <w:shd w:val="clear" w:color="auto" w:fill="auto"/>
            <w:noWrap/>
            <w:tcMar>
              <w:top w:w="15" w:type="dxa"/>
              <w:left w:w="15" w:type="dxa"/>
              <w:right w:w="15" w:type="dxa"/>
            </w:tcMar>
            <w:vAlign w:val="center"/>
          </w:tcPr>
          <w:p w14:paraId="70EA2CF5">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上缴上级支出</w:t>
            </w:r>
          </w:p>
        </w:tc>
        <w:tc>
          <w:tcPr>
            <w:tcW w:w="2205" w:type="dxa"/>
            <w:tcBorders>
              <w:top w:val="nil"/>
              <w:left w:val="nil"/>
              <w:bottom w:val="nil"/>
              <w:right w:val="nil"/>
            </w:tcBorders>
            <w:shd w:val="clear" w:color="auto" w:fill="auto"/>
            <w:noWrap/>
            <w:tcMar>
              <w:top w:w="15" w:type="dxa"/>
              <w:left w:w="15" w:type="dxa"/>
              <w:right w:w="15" w:type="dxa"/>
            </w:tcMar>
            <w:vAlign w:val="center"/>
          </w:tcPr>
          <w:p w14:paraId="18BA4F25">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w:t>
            </w:r>
          </w:p>
        </w:tc>
        <w:tc>
          <w:tcPr>
            <w:tcW w:w="4014" w:type="dxa"/>
            <w:tcBorders>
              <w:top w:val="nil"/>
              <w:left w:val="nil"/>
              <w:bottom w:val="nil"/>
              <w:right w:val="nil"/>
            </w:tcBorders>
            <w:shd w:val="clear" w:color="auto" w:fill="auto"/>
            <w:noWrap/>
            <w:tcMar>
              <w:top w:w="15" w:type="dxa"/>
              <w:left w:w="15" w:type="dxa"/>
              <w:right w:w="15" w:type="dxa"/>
            </w:tcMar>
            <w:vAlign w:val="center"/>
          </w:tcPr>
          <w:p w14:paraId="4CD6FC03">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w:t>
            </w:r>
          </w:p>
        </w:tc>
      </w:tr>
      <w:tr w14:paraId="7A79CC92">
        <w:tblPrEx>
          <w:tblCellMar>
            <w:top w:w="0" w:type="dxa"/>
            <w:left w:w="0" w:type="dxa"/>
            <w:bottom w:w="0" w:type="dxa"/>
            <w:right w:w="0" w:type="dxa"/>
          </w:tblCellMar>
        </w:tblPrEx>
        <w:trPr>
          <w:trHeight w:val="270" w:hRule="atLeast"/>
        </w:trPr>
        <w:tc>
          <w:tcPr>
            <w:tcW w:w="1750" w:type="dxa"/>
            <w:tcBorders>
              <w:top w:val="nil"/>
              <w:left w:val="nil"/>
              <w:bottom w:val="nil"/>
              <w:right w:val="nil"/>
            </w:tcBorders>
            <w:shd w:val="clear" w:color="auto" w:fill="auto"/>
            <w:noWrap/>
            <w:tcMar>
              <w:top w:w="15" w:type="dxa"/>
              <w:left w:w="15" w:type="dxa"/>
              <w:right w:w="15" w:type="dxa"/>
            </w:tcMar>
            <w:vAlign w:val="center"/>
          </w:tcPr>
          <w:p w14:paraId="45975AC6">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经营支出</w:t>
            </w:r>
          </w:p>
        </w:tc>
        <w:tc>
          <w:tcPr>
            <w:tcW w:w="2205" w:type="dxa"/>
            <w:tcBorders>
              <w:top w:val="nil"/>
              <w:left w:val="nil"/>
              <w:bottom w:val="nil"/>
              <w:right w:val="nil"/>
            </w:tcBorders>
            <w:shd w:val="clear" w:color="auto" w:fill="auto"/>
            <w:noWrap/>
            <w:tcMar>
              <w:top w:w="15" w:type="dxa"/>
              <w:left w:w="15" w:type="dxa"/>
              <w:right w:w="15" w:type="dxa"/>
            </w:tcMar>
            <w:vAlign w:val="center"/>
          </w:tcPr>
          <w:p w14:paraId="44D27158">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w:t>
            </w:r>
          </w:p>
        </w:tc>
        <w:tc>
          <w:tcPr>
            <w:tcW w:w="4014" w:type="dxa"/>
            <w:tcBorders>
              <w:top w:val="nil"/>
              <w:left w:val="nil"/>
              <w:bottom w:val="nil"/>
              <w:right w:val="nil"/>
            </w:tcBorders>
            <w:shd w:val="clear" w:color="auto" w:fill="auto"/>
            <w:noWrap/>
            <w:tcMar>
              <w:top w:w="15" w:type="dxa"/>
              <w:left w:w="15" w:type="dxa"/>
              <w:right w:w="15" w:type="dxa"/>
            </w:tcMar>
            <w:vAlign w:val="center"/>
          </w:tcPr>
          <w:p w14:paraId="408B004A">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w:t>
            </w:r>
          </w:p>
        </w:tc>
      </w:tr>
      <w:tr w14:paraId="6517E5C3">
        <w:trPr>
          <w:trHeight w:val="656" w:hRule="atLeast"/>
        </w:trPr>
        <w:tc>
          <w:tcPr>
            <w:tcW w:w="1750" w:type="dxa"/>
            <w:tcBorders>
              <w:top w:val="nil"/>
              <w:left w:val="nil"/>
              <w:bottom w:val="nil"/>
              <w:right w:val="nil"/>
            </w:tcBorders>
            <w:shd w:val="clear" w:color="auto" w:fill="auto"/>
            <w:noWrap/>
            <w:tcMar>
              <w:top w:w="15" w:type="dxa"/>
              <w:left w:w="15" w:type="dxa"/>
              <w:right w:w="15" w:type="dxa"/>
            </w:tcMar>
            <w:vAlign w:val="center"/>
          </w:tcPr>
          <w:p w14:paraId="74D919CC">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对附属单位补助支出</w:t>
            </w:r>
          </w:p>
        </w:tc>
        <w:tc>
          <w:tcPr>
            <w:tcW w:w="2205" w:type="dxa"/>
            <w:tcBorders>
              <w:top w:val="nil"/>
              <w:left w:val="nil"/>
              <w:bottom w:val="nil"/>
              <w:right w:val="nil"/>
            </w:tcBorders>
            <w:shd w:val="clear" w:color="auto" w:fill="auto"/>
            <w:noWrap/>
            <w:tcMar>
              <w:top w:w="15" w:type="dxa"/>
              <w:left w:w="15" w:type="dxa"/>
              <w:right w:w="15" w:type="dxa"/>
            </w:tcMar>
            <w:vAlign w:val="center"/>
          </w:tcPr>
          <w:p w14:paraId="2F33D024">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w:t>
            </w:r>
          </w:p>
        </w:tc>
        <w:tc>
          <w:tcPr>
            <w:tcW w:w="4014" w:type="dxa"/>
            <w:tcBorders>
              <w:top w:val="nil"/>
              <w:left w:val="nil"/>
              <w:bottom w:val="nil"/>
              <w:right w:val="nil"/>
            </w:tcBorders>
            <w:shd w:val="clear" w:color="auto" w:fill="auto"/>
            <w:noWrap/>
            <w:tcMar>
              <w:top w:w="15" w:type="dxa"/>
              <w:left w:w="15" w:type="dxa"/>
              <w:right w:w="15" w:type="dxa"/>
            </w:tcMar>
            <w:vAlign w:val="center"/>
          </w:tcPr>
          <w:p w14:paraId="48D29203">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w:t>
            </w:r>
          </w:p>
        </w:tc>
      </w:tr>
    </w:tbl>
    <w:p w14:paraId="529F4338">
      <w:pPr>
        <w:spacing w:line="600" w:lineRule="exact"/>
        <w:ind w:firstLine="640" w:firstLineChars="200"/>
        <w:outlineLvl w:val="1"/>
        <w:rPr>
          <w:rFonts w:hint="default" w:ascii="Times New Roman" w:hAnsi="Times New Roman" w:eastAsia="黑体" w:cs="Times New Roman"/>
          <w:color w:val="auto"/>
          <w:sz w:val="32"/>
          <w:szCs w:val="32"/>
          <w:highlight w:val="none"/>
        </w:rPr>
      </w:pPr>
      <w:bookmarkStart w:id="36" w:name="_Toc15396606"/>
      <w:bookmarkStart w:id="37" w:name="_Toc14577"/>
      <w:bookmarkStart w:id="38" w:name="_Toc15377208"/>
    </w:p>
    <w:p w14:paraId="68F93D19">
      <w:pPr>
        <w:spacing w:line="600" w:lineRule="exact"/>
        <w:ind w:firstLine="640" w:firstLineChars="200"/>
        <w:outlineLvl w:val="1"/>
        <w:rPr>
          <w:rFonts w:hint="default" w:ascii="Times New Roman" w:hAnsi="Times New Roman" w:eastAsia="黑体" w:cs="Times New Roman"/>
          <w:color w:val="auto"/>
          <w:sz w:val="32"/>
          <w:szCs w:val="32"/>
          <w:highlight w:val="none"/>
        </w:rPr>
      </w:pPr>
    </w:p>
    <w:p w14:paraId="35C962A2">
      <w:pPr>
        <w:spacing w:line="600" w:lineRule="exact"/>
        <w:ind w:firstLine="640" w:firstLineChars="200"/>
        <w:outlineLvl w:val="1"/>
        <w:rPr>
          <w:rStyle w:val="29"/>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四、财</w:t>
      </w:r>
      <w:r>
        <w:rPr>
          <w:rStyle w:val="29"/>
          <w:rFonts w:hint="default" w:ascii="Times New Roman" w:hAnsi="Times New Roman" w:eastAsia="黑体" w:cs="Times New Roman"/>
          <w:b w:val="0"/>
          <w:color w:val="auto"/>
          <w:highlight w:val="none"/>
        </w:rPr>
        <w:t>政拨款收入支出决算总体情况说明</w:t>
      </w:r>
      <w:bookmarkEnd w:id="36"/>
      <w:bookmarkEnd w:id="37"/>
      <w:bookmarkEnd w:id="38"/>
    </w:p>
    <w:p w14:paraId="7D52170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630.35</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万元。与上年度相比，财政拨款收入、支出总计各减少17.09万元，下降2.6%。主要变动原因是</w:t>
      </w:r>
      <w:r>
        <w:rPr>
          <w:rFonts w:hint="default" w:ascii="Times New Roman" w:hAnsi="Times New Roman" w:eastAsia="方正仿宋_GB2312" w:cs="Times New Roman"/>
          <w:sz w:val="32"/>
          <w:szCs w:val="32"/>
        </w:rPr>
        <w:t>日常公用经费预算压缩、项目支出减少造成。</w:t>
      </w:r>
    </w:p>
    <w:p w14:paraId="46596B83">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drawing>
          <wp:inline distT="0" distB="0" distL="114300" distR="114300">
            <wp:extent cx="5080000" cy="3810000"/>
            <wp:effectExtent l="4445" t="4445" r="20955" b="1460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Pr>
        <w:tblStyle w:val="15"/>
        <w:tblpPr w:leftFromText="180" w:rightFromText="180" w:vertAnchor="text" w:horzAnchor="page" w:tblpX="3177" w:tblpY="152"/>
        <w:tblOverlap w:val="never"/>
        <w:tblW w:w="6500" w:type="dxa"/>
        <w:tblInd w:w="0" w:type="dxa"/>
        <w:shd w:val="clear" w:color="auto" w:fill="auto"/>
        <w:tblLayout w:type="fixed"/>
        <w:tblCellMar>
          <w:top w:w="0" w:type="dxa"/>
          <w:left w:w="0" w:type="dxa"/>
          <w:bottom w:w="0" w:type="dxa"/>
          <w:right w:w="0" w:type="dxa"/>
        </w:tblCellMar>
      </w:tblPr>
      <w:tblGrid>
        <w:gridCol w:w="1710"/>
        <w:gridCol w:w="1080"/>
        <w:gridCol w:w="1080"/>
        <w:gridCol w:w="1380"/>
        <w:gridCol w:w="1250"/>
      </w:tblGrid>
      <w:tr w14:paraId="3F1E5E92">
        <w:tblPrEx>
          <w:tblCellMar>
            <w:top w:w="0" w:type="dxa"/>
            <w:left w:w="0" w:type="dxa"/>
            <w:bottom w:w="0" w:type="dxa"/>
            <w:right w:w="0" w:type="dxa"/>
          </w:tblCellMar>
        </w:tblPrEx>
        <w:trPr>
          <w:trHeight w:val="270" w:hRule="atLeast"/>
        </w:trPr>
        <w:tc>
          <w:tcPr>
            <w:tcW w:w="1710" w:type="dxa"/>
            <w:tcBorders>
              <w:top w:val="nil"/>
              <w:left w:val="nil"/>
              <w:bottom w:val="nil"/>
              <w:right w:val="nil"/>
            </w:tcBorders>
            <w:shd w:val="clear" w:color="auto" w:fill="auto"/>
            <w:noWrap/>
            <w:tcMar>
              <w:top w:w="15" w:type="dxa"/>
              <w:left w:w="15" w:type="dxa"/>
              <w:right w:w="15" w:type="dxa"/>
            </w:tcMar>
            <w:vAlign w:val="center"/>
          </w:tcPr>
          <w:p w14:paraId="70B7301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p>
        </w:tc>
        <w:tc>
          <w:tcPr>
            <w:tcW w:w="1080" w:type="dxa"/>
            <w:tcBorders>
              <w:top w:val="nil"/>
              <w:left w:val="nil"/>
              <w:bottom w:val="nil"/>
              <w:right w:val="nil"/>
            </w:tcBorders>
            <w:shd w:val="clear" w:color="auto" w:fill="auto"/>
            <w:noWrap/>
            <w:tcMar>
              <w:top w:w="15" w:type="dxa"/>
              <w:left w:w="15" w:type="dxa"/>
              <w:right w:w="15" w:type="dxa"/>
            </w:tcMar>
            <w:vAlign w:val="center"/>
          </w:tcPr>
          <w:p w14:paraId="5BC0AEA7">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2025年度</w:t>
            </w:r>
          </w:p>
        </w:tc>
        <w:tc>
          <w:tcPr>
            <w:tcW w:w="1080" w:type="dxa"/>
            <w:tcBorders>
              <w:top w:val="nil"/>
              <w:left w:val="nil"/>
              <w:bottom w:val="nil"/>
              <w:right w:val="nil"/>
            </w:tcBorders>
            <w:shd w:val="clear" w:color="auto" w:fill="auto"/>
            <w:noWrap/>
            <w:tcMar>
              <w:top w:w="15" w:type="dxa"/>
              <w:left w:w="15" w:type="dxa"/>
              <w:right w:w="15" w:type="dxa"/>
            </w:tcMar>
            <w:vAlign w:val="center"/>
          </w:tcPr>
          <w:p w14:paraId="10A23E96">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2024年度</w:t>
            </w:r>
          </w:p>
        </w:tc>
        <w:tc>
          <w:tcPr>
            <w:tcW w:w="1380" w:type="dxa"/>
            <w:tcBorders>
              <w:top w:val="nil"/>
              <w:left w:val="nil"/>
              <w:bottom w:val="nil"/>
              <w:right w:val="nil"/>
            </w:tcBorders>
            <w:shd w:val="clear" w:color="auto" w:fill="auto"/>
            <w:noWrap/>
            <w:tcMar>
              <w:top w:w="15" w:type="dxa"/>
              <w:left w:w="15" w:type="dxa"/>
              <w:right w:w="15" w:type="dxa"/>
            </w:tcMar>
            <w:vAlign w:val="center"/>
          </w:tcPr>
          <w:p w14:paraId="60E9334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同比增减额</w:t>
            </w:r>
          </w:p>
        </w:tc>
        <w:tc>
          <w:tcPr>
            <w:tcW w:w="1250" w:type="dxa"/>
            <w:tcBorders>
              <w:top w:val="nil"/>
              <w:left w:val="nil"/>
              <w:bottom w:val="nil"/>
              <w:right w:val="nil"/>
            </w:tcBorders>
            <w:shd w:val="clear" w:color="auto" w:fill="auto"/>
            <w:noWrap/>
            <w:tcMar>
              <w:top w:w="15" w:type="dxa"/>
              <w:left w:w="15" w:type="dxa"/>
              <w:right w:w="15" w:type="dxa"/>
            </w:tcMar>
            <w:vAlign w:val="center"/>
          </w:tcPr>
          <w:p w14:paraId="5D4EADF6">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同比增减率</w:t>
            </w:r>
          </w:p>
        </w:tc>
      </w:tr>
      <w:tr w14:paraId="7EEC890D">
        <w:tblPrEx>
          <w:shd w:val="clear" w:color="auto" w:fill="auto"/>
          <w:tblCellMar>
            <w:top w:w="0" w:type="dxa"/>
            <w:left w:w="0" w:type="dxa"/>
            <w:bottom w:w="0" w:type="dxa"/>
            <w:right w:w="0" w:type="dxa"/>
          </w:tblCellMar>
        </w:tblPrEx>
        <w:trPr>
          <w:trHeight w:val="270" w:hRule="atLeast"/>
        </w:trPr>
        <w:tc>
          <w:tcPr>
            <w:tcW w:w="1710" w:type="dxa"/>
            <w:tcBorders>
              <w:top w:val="nil"/>
              <w:left w:val="nil"/>
              <w:bottom w:val="nil"/>
              <w:right w:val="nil"/>
            </w:tcBorders>
            <w:shd w:val="clear" w:color="auto" w:fill="auto"/>
            <w:noWrap/>
            <w:tcMar>
              <w:top w:w="15" w:type="dxa"/>
              <w:left w:w="15" w:type="dxa"/>
              <w:right w:w="15" w:type="dxa"/>
            </w:tcMar>
            <w:vAlign w:val="center"/>
          </w:tcPr>
          <w:p w14:paraId="4A2709C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财政拨款收入</w:t>
            </w:r>
          </w:p>
        </w:tc>
        <w:tc>
          <w:tcPr>
            <w:tcW w:w="1080" w:type="dxa"/>
            <w:tcBorders>
              <w:top w:val="nil"/>
              <w:left w:val="nil"/>
              <w:bottom w:val="nil"/>
              <w:right w:val="nil"/>
            </w:tcBorders>
            <w:shd w:val="clear" w:color="auto" w:fill="auto"/>
            <w:noWrap/>
            <w:tcMar>
              <w:top w:w="15" w:type="dxa"/>
              <w:left w:w="15" w:type="dxa"/>
              <w:right w:w="15" w:type="dxa"/>
            </w:tcMar>
            <w:vAlign w:val="center"/>
          </w:tcPr>
          <w:p w14:paraId="69296F4C">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630.35</w:t>
            </w:r>
          </w:p>
        </w:tc>
        <w:tc>
          <w:tcPr>
            <w:tcW w:w="1080" w:type="dxa"/>
            <w:tcBorders>
              <w:top w:val="nil"/>
              <w:left w:val="nil"/>
              <w:bottom w:val="nil"/>
              <w:right w:val="nil"/>
            </w:tcBorders>
            <w:shd w:val="clear" w:color="auto" w:fill="auto"/>
            <w:noWrap/>
            <w:tcMar>
              <w:top w:w="15" w:type="dxa"/>
              <w:left w:w="15" w:type="dxa"/>
              <w:right w:w="15" w:type="dxa"/>
            </w:tcMar>
            <w:vAlign w:val="center"/>
          </w:tcPr>
          <w:p w14:paraId="63BAFDDB">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647.44</w:t>
            </w:r>
          </w:p>
        </w:tc>
        <w:tc>
          <w:tcPr>
            <w:tcW w:w="1380" w:type="dxa"/>
            <w:tcBorders>
              <w:top w:val="nil"/>
              <w:left w:val="nil"/>
              <w:bottom w:val="nil"/>
              <w:right w:val="nil"/>
            </w:tcBorders>
            <w:shd w:val="clear" w:color="auto" w:fill="auto"/>
            <w:noWrap/>
            <w:tcMar>
              <w:top w:w="15" w:type="dxa"/>
              <w:left w:w="15" w:type="dxa"/>
              <w:right w:w="15" w:type="dxa"/>
            </w:tcMar>
            <w:vAlign w:val="center"/>
          </w:tcPr>
          <w:p w14:paraId="3D8C0C32">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-17.09</w:t>
            </w:r>
          </w:p>
        </w:tc>
        <w:tc>
          <w:tcPr>
            <w:tcW w:w="1250" w:type="dxa"/>
            <w:tcBorders>
              <w:top w:val="nil"/>
              <w:left w:val="nil"/>
              <w:bottom w:val="nil"/>
              <w:right w:val="nil"/>
            </w:tcBorders>
            <w:shd w:val="clear" w:color="auto" w:fill="auto"/>
            <w:noWrap/>
            <w:tcMar>
              <w:top w:w="15" w:type="dxa"/>
              <w:left w:w="15" w:type="dxa"/>
              <w:right w:w="15" w:type="dxa"/>
            </w:tcMar>
            <w:vAlign w:val="center"/>
          </w:tcPr>
          <w:p w14:paraId="15AE0E03">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-2.6%</w:t>
            </w:r>
          </w:p>
        </w:tc>
      </w:tr>
      <w:tr w14:paraId="282B6E0C">
        <w:tblPrEx>
          <w:shd w:val="clear" w:color="auto" w:fill="auto"/>
          <w:tblCellMar>
            <w:top w:w="0" w:type="dxa"/>
            <w:left w:w="0" w:type="dxa"/>
            <w:bottom w:w="0" w:type="dxa"/>
            <w:right w:w="0" w:type="dxa"/>
          </w:tblCellMar>
        </w:tblPrEx>
        <w:trPr>
          <w:trHeight w:val="540" w:hRule="atLeast"/>
        </w:trPr>
        <w:tc>
          <w:tcPr>
            <w:tcW w:w="1710" w:type="dxa"/>
            <w:tcBorders>
              <w:top w:val="nil"/>
              <w:left w:val="nil"/>
              <w:bottom w:val="nil"/>
              <w:right w:val="nil"/>
            </w:tcBorders>
            <w:shd w:val="clear" w:color="auto" w:fill="auto"/>
            <w:noWrap/>
            <w:tcMar>
              <w:top w:w="15" w:type="dxa"/>
              <w:left w:w="15" w:type="dxa"/>
              <w:right w:w="15" w:type="dxa"/>
            </w:tcMar>
            <w:vAlign w:val="center"/>
          </w:tcPr>
          <w:p w14:paraId="6BC7BFCF">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财政拨款支出</w:t>
            </w:r>
          </w:p>
        </w:tc>
        <w:tc>
          <w:tcPr>
            <w:tcW w:w="1080" w:type="dxa"/>
            <w:tcBorders>
              <w:top w:val="nil"/>
              <w:left w:val="nil"/>
              <w:bottom w:val="nil"/>
              <w:right w:val="nil"/>
            </w:tcBorders>
            <w:shd w:val="clear" w:color="auto" w:fill="auto"/>
            <w:noWrap/>
            <w:tcMar>
              <w:top w:w="15" w:type="dxa"/>
              <w:left w:w="15" w:type="dxa"/>
              <w:right w:w="15" w:type="dxa"/>
            </w:tcMar>
            <w:vAlign w:val="center"/>
          </w:tcPr>
          <w:p w14:paraId="56D5F795">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630.35</w:t>
            </w:r>
          </w:p>
        </w:tc>
        <w:tc>
          <w:tcPr>
            <w:tcW w:w="1080" w:type="dxa"/>
            <w:tcBorders>
              <w:top w:val="nil"/>
              <w:left w:val="nil"/>
              <w:bottom w:val="nil"/>
              <w:right w:val="nil"/>
            </w:tcBorders>
            <w:shd w:val="clear" w:color="auto" w:fill="auto"/>
            <w:noWrap/>
            <w:tcMar>
              <w:top w:w="15" w:type="dxa"/>
              <w:left w:w="15" w:type="dxa"/>
              <w:right w:w="15" w:type="dxa"/>
            </w:tcMar>
            <w:vAlign w:val="center"/>
          </w:tcPr>
          <w:p w14:paraId="297A11F2">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647.44</w:t>
            </w:r>
          </w:p>
        </w:tc>
        <w:tc>
          <w:tcPr>
            <w:tcW w:w="1380" w:type="dxa"/>
            <w:tcBorders>
              <w:top w:val="nil"/>
              <w:left w:val="nil"/>
              <w:bottom w:val="nil"/>
              <w:right w:val="nil"/>
            </w:tcBorders>
            <w:shd w:val="clear" w:color="auto" w:fill="auto"/>
            <w:noWrap/>
            <w:tcMar>
              <w:top w:w="15" w:type="dxa"/>
              <w:left w:w="15" w:type="dxa"/>
              <w:right w:w="15" w:type="dxa"/>
            </w:tcMar>
            <w:vAlign w:val="center"/>
          </w:tcPr>
          <w:p w14:paraId="46E2C406">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-17.09</w:t>
            </w:r>
          </w:p>
        </w:tc>
        <w:tc>
          <w:tcPr>
            <w:tcW w:w="1250" w:type="dxa"/>
            <w:tcBorders>
              <w:top w:val="nil"/>
              <w:left w:val="nil"/>
              <w:bottom w:val="nil"/>
              <w:right w:val="nil"/>
            </w:tcBorders>
            <w:shd w:val="clear" w:color="auto" w:fill="auto"/>
            <w:noWrap/>
            <w:tcMar>
              <w:top w:w="15" w:type="dxa"/>
              <w:left w:w="15" w:type="dxa"/>
              <w:right w:w="15" w:type="dxa"/>
            </w:tcMar>
            <w:vAlign w:val="center"/>
          </w:tcPr>
          <w:p w14:paraId="426D48F4">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-2.6%</w:t>
            </w:r>
          </w:p>
        </w:tc>
      </w:tr>
    </w:tbl>
    <w:p w14:paraId="57D30124">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2312" w:cs="Times New Roman"/>
          <w:sz w:val="32"/>
          <w:szCs w:val="32"/>
          <w:lang w:eastAsia="zh-CN"/>
        </w:rPr>
      </w:pPr>
    </w:p>
    <w:p w14:paraId="4B363720">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 xml:space="preserve">   </w:t>
      </w:r>
    </w:p>
    <w:p w14:paraId="0DF396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FF0000"/>
          <w:kern w:val="2"/>
          <w:sz w:val="32"/>
          <w:szCs w:val="32"/>
          <w:highlight w:val="none"/>
          <w:lang w:val="en-US" w:eastAsia="zh-CN" w:bidi="ar-SA"/>
        </w:rPr>
        <w:t xml:space="preserve">    </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（图4财政拨款收、支决算总计变动情况）</w:t>
      </w:r>
    </w:p>
    <w:p w14:paraId="7A0DF24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Style w:val="29"/>
          <w:rFonts w:hint="default" w:ascii="Times New Roman" w:hAnsi="Times New Roman" w:eastAsia="黑体" w:cs="Times New Roman"/>
          <w:b w:val="0"/>
          <w:color w:val="auto"/>
          <w:highlight w:val="none"/>
        </w:rPr>
      </w:pPr>
      <w:bookmarkStart w:id="39" w:name="_Toc11008"/>
      <w:bookmarkStart w:id="40" w:name="_Toc15396607"/>
      <w:bookmarkStart w:id="41"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般公共预算财政拨款支出决算情况说明</w:t>
      </w:r>
      <w:bookmarkEnd w:id="39"/>
      <w:bookmarkEnd w:id="40"/>
      <w:bookmarkEnd w:id="41"/>
    </w:p>
    <w:p w14:paraId="166754DC">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2"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42"/>
    </w:p>
    <w:p w14:paraId="0D81764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630.35</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%。与上年度相比，一般公共预算财政拨款支出减少17.09万元，下降2.6%。主要变动原因是</w:t>
      </w:r>
      <w:r>
        <w:rPr>
          <w:rFonts w:hint="default" w:ascii="Times New Roman" w:hAnsi="Times New Roman" w:eastAsia="方正仿宋_GB2312" w:cs="Times New Roman"/>
          <w:sz w:val="32"/>
          <w:szCs w:val="32"/>
        </w:rPr>
        <w:t>日常公用经费预算压缩、项目支出减少造成。</w:t>
      </w:r>
    </w:p>
    <w:p w14:paraId="1B7025E7">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drawing>
          <wp:inline distT="0" distB="0" distL="114300" distR="114300">
            <wp:extent cx="5080000" cy="3810000"/>
            <wp:effectExtent l="4445" t="4445" r="20955" b="146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Style w:val="15"/>
        <w:tblW w:w="6800" w:type="dxa"/>
        <w:tblInd w:w="960" w:type="dxa"/>
        <w:shd w:val="clear" w:color="auto" w:fill="auto"/>
        <w:tblLayout w:type="fixed"/>
        <w:tblCellMar>
          <w:top w:w="0" w:type="dxa"/>
          <w:left w:w="0" w:type="dxa"/>
          <w:bottom w:w="0" w:type="dxa"/>
          <w:right w:w="0" w:type="dxa"/>
        </w:tblCellMar>
      </w:tblPr>
      <w:tblGrid>
        <w:gridCol w:w="1410"/>
        <w:gridCol w:w="1207"/>
        <w:gridCol w:w="1250"/>
        <w:gridCol w:w="1283"/>
        <w:gridCol w:w="1650"/>
      </w:tblGrid>
      <w:tr w14:paraId="5E7F9293">
        <w:tblPrEx>
          <w:shd w:val="clear" w:color="auto" w:fill="auto"/>
          <w:tblCellMar>
            <w:top w:w="0" w:type="dxa"/>
            <w:left w:w="0" w:type="dxa"/>
            <w:bottom w:w="0" w:type="dxa"/>
            <w:right w:w="0" w:type="dxa"/>
          </w:tblCellMar>
        </w:tblPrEx>
        <w:trPr>
          <w:trHeight w:val="577" w:hRule="atLeast"/>
        </w:trPr>
        <w:tc>
          <w:tcPr>
            <w:tcW w:w="1410" w:type="dxa"/>
            <w:tcBorders>
              <w:top w:val="nil"/>
              <w:left w:val="nil"/>
              <w:bottom w:val="nil"/>
              <w:right w:val="nil"/>
            </w:tcBorders>
            <w:shd w:val="clear" w:color="auto" w:fill="auto"/>
            <w:noWrap/>
            <w:tcMar>
              <w:top w:w="15" w:type="dxa"/>
              <w:left w:w="15" w:type="dxa"/>
              <w:right w:w="15" w:type="dxa"/>
            </w:tcMar>
            <w:vAlign w:val="center"/>
          </w:tcPr>
          <w:p w14:paraId="444D184C">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 </w:t>
            </w:r>
          </w:p>
        </w:tc>
        <w:tc>
          <w:tcPr>
            <w:tcW w:w="1207" w:type="dxa"/>
            <w:tcBorders>
              <w:top w:val="nil"/>
              <w:left w:val="nil"/>
              <w:bottom w:val="nil"/>
              <w:right w:val="nil"/>
            </w:tcBorders>
            <w:shd w:val="clear" w:color="auto" w:fill="auto"/>
            <w:noWrap/>
            <w:tcMar>
              <w:top w:w="15" w:type="dxa"/>
              <w:left w:w="15" w:type="dxa"/>
              <w:right w:w="15" w:type="dxa"/>
            </w:tcMar>
            <w:vAlign w:val="center"/>
          </w:tcPr>
          <w:p w14:paraId="53C07C34">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2025年度</w:t>
            </w:r>
            <w:r>
              <w:rPr>
                <w:rFonts w:hint="eastAsia" w:cs="Times New Roman"/>
                <w:i w:val="0"/>
                <w:color w:val="000000"/>
                <w:kern w:val="0"/>
                <w:sz w:val="22"/>
                <w:szCs w:val="22"/>
                <w:u w:val="none"/>
                <w:lang w:val="en-US" w:eastAsia="zh-CN" w:bidi="ar"/>
              </w:rPr>
              <w:t>（</w:t>
            </w:r>
            <w:r>
              <w:rPr>
                <w:rFonts w:hint="default" w:ascii="Times New Roman" w:hAnsi="Times New Roman" w:eastAsia="宋体" w:cs="Times New Roman"/>
                <w:i w:val="0"/>
                <w:color w:val="000000"/>
                <w:kern w:val="0"/>
                <w:sz w:val="22"/>
                <w:szCs w:val="22"/>
                <w:u w:val="none"/>
                <w:lang w:val="en-US" w:eastAsia="zh-CN" w:bidi="ar"/>
              </w:rPr>
              <w:t>万元）</w:t>
            </w:r>
          </w:p>
        </w:tc>
        <w:tc>
          <w:tcPr>
            <w:tcW w:w="1250" w:type="dxa"/>
            <w:tcBorders>
              <w:top w:val="nil"/>
              <w:left w:val="nil"/>
              <w:bottom w:val="nil"/>
              <w:right w:val="nil"/>
            </w:tcBorders>
            <w:shd w:val="clear" w:color="auto" w:fill="auto"/>
            <w:noWrap/>
            <w:tcMar>
              <w:top w:w="15" w:type="dxa"/>
              <w:left w:w="15" w:type="dxa"/>
              <w:right w:w="15" w:type="dxa"/>
            </w:tcMar>
            <w:vAlign w:val="center"/>
          </w:tcPr>
          <w:p w14:paraId="1DEE51D8">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2024年度（万元）</w:t>
            </w:r>
          </w:p>
        </w:tc>
        <w:tc>
          <w:tcPr>
            <w:tcW w:w="1283" w:type="dxa"/>
            <w:tcBorders>
              <w:top w:val="nil"/>
              <w:left w:val="nil"/>
              <w:bottom w:val="nil"/>
              <w:right w:val="nil"/>
            </w:tcBorders>
            <w:shd w:val="clear" w:color="auto" w:fill="auto"/>
            <w:noWrap/>
            <w:tcMar>
              <w:top w:w="15" w:type="dxa"/>
              <w:left w:w="15" w:type="dxa"/>
              <w:right w:w="15" w:type="dxa"/>
            </w:tcMar>
            <w:vAlign w:val="center"/>
          </w:tcPr>
          <w:p w14:paraId="27D51593">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同期增减额（万元）</w:t>
            </w:r>
          </w:p>
        </w:tc>
        <w:tc>
          <w:tcPr>
            <w:tcW w:w="1650" w:type="dxa"/>
            <w:tcBorders>
              <w:top w:val="nil"/>
              <w:left w:val="nil"/>
              <w:bottom w:val="nil"/>
              <w:right w:val="nil"/>
            </w:tcBorders>
            <w:shd w:val="clear" w:color="auto" w:fill="auto"/>
            <w:noWrap/>
            <w:tcMar>
              <w:top w:w="15" w:type="dxa"/>
              <w:left w:w="15" w:type="dxa"/>
              <w:right w:w="15" w:type="dxa"/>
            </w:tcMar>
            <w:vAlign w:val="center"/>
          </w:tcPr>
          <w:p w14:paraId="04A711DD">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同期增减率</w:t>
            </w:r>
          </w:p>
        </w:tc>
      </w:tr>
      <w:tr w14:paraId="289A4F14">
        <w:tblPrEx>
          <w:shd w:val="clear" w:color="auto" w:fill="auto"/>
          <w:tblCellMar>
            <w:top w:w="0" w:type="dxa"/>
            <w:left w:w="0" w:type="dxa"/>
            <w:bottom w:w="0" w:type="dxa"/>
            <w:right w:w="0" w:type="dxa"/>
          </w:tblCellMar>
        </w:tblPrEx>
        <w:trPr>
          <w:trHeight w:val="960" w:hRule="atLeast"/>
        </w:trPr>
        <w:tc>
          <w:tcPr>
            <w:tcW w:w="1410" w:type="dxa"/>
            <w:tcBorders>
              <w:top w:val="nil"/>
              <w:left w:val="nil"/>
              <w:bottom w:val="nil"/>
              <w:right w:val="nil"/>
            </w:tcBorders>
            <w:shd w:val="clear" w:color="auto" w:fill="auto"/>
            <w:noWrap/>
            <w:tcMar>
              <w:top w:w="15" w:type="dxa"/>
              <w:left w:w="15" w:type="dxa"/>
              <w:right w:w="15" w:type="dxa"/>
            </w:tcMar>
            <w:vAlign w:val="center"/>
          </w:tcPr>
          <w:p w14:paraId="3538203A">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一般公共预算财政支出</w:t>
            </w:r>
          </w:p>
        </w:tc>
        <w:tc>
          <w:tcPr>
            <w:tcW w:w="1207" w:type="dxa"/>
            <w:tcBorders>
              <w:top w:val="nil"/>
              <w:left w:val="nil"/>
              <w:bottom w:val="nil"/>
              <w:right w:val="nil"/>
            </w:tcBorders>
            <w:shd w:val="clear" w:color="auto" w:fill="auto"/>
            <w:noWrap/>
            <w:tcMar>
              <w:top w:w="15" w:type="dxa"/>
              <w:left w:w="15" w:type="dxa"/>
              <w:right w:w="15" w:type="dxa"/>
            </w:tcMar>
            <w:vAlign w:val="center"/>
          </w:tcPr>
          <w:p w14:paraId="6B902803">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630.35</w:t>
            </w:r>
          </w:p>
        </w:tc>
        <w:tc>
          <w:tcPr>
            <w:tcW w:w="1250" w:type="dxa"/>
            <w:tcBorders>
              <w:top w:val="nil"/>
              <w:left w:val="nil"/>
              <w:bottom w:val="nil"/>
              <w:right w:val="nil"/>
            </w:tcBorders>
            <w:shd w:val="clear" w:color="auto" w:fill="auto"/>
            <w:noWrap/>
            <w:tcMar>
              <w:top w:w="15" w:type="dxa"/>
              <w:left w:w="15" w:type="dxa"/>
              <w:right w:w="15" w:type="dxa"/>
            </w:tcMar>
            <w:vAlign w:val="center"/>
          </w:tcPr>
          <w:p w14:paraId="11D04202">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647.44</w:t>
            </w:r>
          </w:p>
        </w:tc>
        <w:tc>
          <w:tcPr>
            <w:tcW w:w="1283" w:type="dxa"/>
            <w:tcBorders>
              <w:top w:val="nil"/>
              <w:left w:val="nil"/>
              <w:bottom w:val="nil"/>
              <w:right w:val="nil"/>
            </w:tcBorders>
            <w:shd w:val="clear" w:color="auto" w:fill="auto"/>
            <w:noWrap/>
            <w:tcMar>
              <w:top w:w="15" w:type="dxa"/>
              <w:left w:w="15" w:type="dxa"/>
              <w:right w:w="15" w:type="dxa"/>
            </w:tcMar>
            <w:vAlign w:val="center"/>
          </w:tcPr>
          <w:p w14:paraId="77F7538A">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-17.09</w:t>
            </w:r>
          </w:p>
        </w:tc>
        <w:tc>
          <w:tcPr>
            <w:tcW w:w="1650" w:type="dxa"/>
            <w:tcBorders>
              <w:top w:val="nil"/>
              <w:left w:val="nil"/>
              <w:bottom w:val="nil"/>
              <w:right w:val="nil"/>
            </w:tcBorders>
            <w:shd w:val="clear" w:color="auto" w:fill="auto"/>
            <w:noWrap/>
            <w:tcMar>
              <w:top w:w="15" w:type="dxa"/>
              <w:left w:w="15" w:type="dxa"/>
              <w:right w:w="15" w:type="dxa"/>
            </w:tcMar>
            <w:vAlign w:val="center"/>
          </w:tcPr>
          <w:p w14:paraId="2A677408">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-2.6%</w:t>
            </w:r>
          </w:p>
        </w:tc>
      </w:tr>
    </w:tbl>
    <w:p w14:paraId="36110CDB">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（图5：一般公共预算财政拨款支出决算变动情况）</w:t>
      </w:r>
    </w:p>
    <w:p w14:paraId="33D7436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3"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43"/>
    </w:p>
    <w:p w14:paraId="4167413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630.35</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0万元，占0%；教育支出0万元，占0%；科学技术支出0万元，占0%；文化旅游体育与传媒支出437.95万元，占69.5%；社会保障和就业支出123.49万元，占19.6%；卫生健康支出30.97万元，占4.9%；住房保障支出37.94万元，占6%。</w:t>
      </w:r>
    </w:p>
    <w:p w14:paraId="4A0B903E">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drawing>
          <wp:inline distT="0" distB="0" distL="114300" distR="114300">
            <wp:extent cx="5080000" cy="3810000"/>
            <wp:effectExtent l="4445" t="4445" r="20955" b="1460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Pr>
        <w:tblStyle w:val="15"/>
        <w:tblW w:w="7983" w:type="dxa"/>
        <w:tblInd w:w="560" w:type="dxa"/>
        <w:shd w:val="clear" w:color="auto" w:fill="auto"/>
        <w:tblLayout w:type="fixed"/>
        <w:tblCellMar>
          <w:top w:w="0" w:type="dxa"/>
          <w:left w:w="0" w:type="dxa"/>
          <w:bottom w:w="0" w:type="dxa"/>
          <w:right w:w="0" w:type="dxa"/>
        </w:tblCellMar>
      </w:tblPr>
      <w:tblGrid>
        <w:gridCol w:w="1783"/>
        <w:gridCol w:w="3700"/>
        <w:gridCol w:w="2500"/>
      </w:tblGrid>
      <w:tr w14:paraId="14C8265F">
        <w:tblPrEx>
          <w:shd w:val="clear" w:color="auto" w:fill="auto"/>
          <w:tblCellMar>
            <w:top w:w="0" w:type="dxa"/>
            <w:left w:w="0" w:type="dxa"/>
            <w:bottom w:w="0" w:type="dxa"/>
            <w:right w:w="0" w:type="dxa"/>
          </w:tblCellMar>
        </w:tblPrEx>
        <w:trPr>
          <w:trHeight w:val="270" w:hRule="atLeast"/>
        </w:trPr>
        <w:tc>
          <w:tcPr>
            <w:tcW w:w="1783" w:type="dxa"/>
            <w:tcBorders>
              <w:top w:val="nil"/>
              <w:left w:val="nil"/>
              <w:bottom w:val="nil"/>
              <w:right w:val="nil"/>
            </w:tcBorders>
            <w:shd w:val="clear" w:color="auto" w:fill="auto"/>
            <w:noWrap/>
            <w:tcMar>
              <w:top w:w="15" w:type="dxa"/>
              <w:left w:w="15" w:type="dxa"/>
              <w:right w:w="15" w:type="dxa"/>
            </w:tcMar>
            <w:vAlign w:val="center"/>
          </w:tcPr>
          <w:p w14:paraId="07E80A41">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 xml:space="preserve"> </w:t>
            </w:r>
          </w:p>
        </w:tc>
        <w:tc>
          <w:tcPr>
            <w:tcW w:w="3700" w:type="dxa"/>
            <w:tcBorders>
              <w:top w:val="nil"/>
              <w:left w:val="nil"/>
              <w:bottom w:val="nil"/>
              <w:right w:val="nil"/>
            </w:tcBorders>
            <w:shd w:val="clear" w:color="auto" w:fill="auto"/>
            <w:noWrap/>
            <w:tcMar>
              <w:top w:w="15" w:type="dxa"/>
              <w:left w:w="15" w:type="dxa"/>
              <w:right w:w="15" w:type="dxa"/>
            </w:tcMar>
            <w:vAlign w:val="center"/>
          </w:tcPr>
          <w:p w14:paraId="659F1656">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2025年度一般公共预算财政拨款支出（万元）</w:t>
            </w:r>
          </w:p>
        </w:tc>
        <w:tc>
          <w:tcPr>
            <w:tcW w:w="2500" w:type="dxa"/>
            <w:tcBorders>
              <w:top w:val="nil"/>
              <w:left w:val="nil"/>
              <w:bottom w:val="nil"/>
              <w:right w:val="nil"/>
            </w:tcBorders>
            <w:shd w:val="clear" w:color="auto" w:fill="auto"/>
            <w:noWrap/>
            <w:tcMar>
              <w:top w:w="15" w:type="dxa"/>
              <w:left w:w="15" w:type="dxa"/>
              <w:right w:w="15" w:type="dxa"/>
            </w:tcMar>
            <w:vAlign w:val="center"/>
          </w:tcPr>
          <w:p w14:paraId="34942428">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eastAsia" w:cs="Times New Roman"/>
                <w:i w:val="0"/>
                <w:color w:val="000000"/>
                <w:kern w:val="0"/>
                <w:sz w:val="22"/>
                <w:szCs w:val="22"/>
                <w:u w:val="none"/>
                <w:lang w:val="en-US" w:eastAsia="zh-CN" w:bidi="ar"/>
              </w:rPr>
              <w:t>百分</w:t>
            </w:r>
            <w:r>
              <w:rPr>
                <w:rFonts w:hint="default" w:ascii="Times New Roman" w:hAnsi="Times New Roman" w:eastAsia="宋体" w:cs="Times New Roman"/>
                <w:i w:val="0"/>
                <w:color w:val="000000"/>
                <w:kern w:val="0"/>
                <w:sz w:val="22"/>
                <w:szCs w:val="22"/>
                <w:u w:val="none"/>
                <w:lang w:val="en-US" w:eastAsia="zh-CN" w:bidi="ar"/>
              </w:rPr>
              <w:t>比</w:t>
            </w:r>
          </w:p>
        </w:tc>
      </w:tr>
      <w:tr w14:paraId="033312A7">
        <w:tblPrEx>
          <w:shd w:val="clear" w:color="auto" w:fill="auto"/>
          <w:tblCellMar>
            <w:top w:w="0" w:type="dxa"/>
            <w:left w:w="0" w:type="dxa"/>
            <w:bottom w:w="0" w:type="dxa"/>
            <w:right w:w="0" w:type="dxa"/>
          </w:tblCellMar>
        </w:tblPrEx>
        <w:trPr>
          <w:trHeight w:val="270" w:hRule="atLeast"/>
        </w:trPr>
        <w:tc>
          <w:tcPr>
            <w:tcW w:w="1783" w:type="dxa"/>
            <w:tcBorders>
              <w:top w:val="nil"/>
              <w:left w:val="nil"/>
              <w:bottom w:val="nil"/>
              <w:right w:val="nil"/>
            </w:tcBorders>
            <w:shd w:val="clear" w:color="auto" w:fill="auto"/>
            <w:noWrap/>
            <w:tcMar>
              <w:top w:w="15" w:type="dxa"/>
              <w:left w:w="15" w:type="dxa"/>
              <w:right w:w="15" w:type="dxa"/>
            </w:tcMar>
            <w:vAlign w:val="center"/>
          </w:tcPr>
          <w:p w14:paraId="7BBEE9B1">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文化旅游体育与传媒支出</w:t>
            </w:r>
          </w:p>
        </w:tc>
        <w:tc>
          <w:tcPr>
            <w:tcW w:w="3700" w:type="dxa"/>
            <w:tcBorders>
              <w:top w:val="nil"/>
              <w:left w:val="nil"/>
              <w:bottom w:val="nil"/>
              <w:right w:val="nil"/>
            </w:tcBorders>
            <w:shd w:val="clear" w:color="auto" w:fill="auto"/>
            <w:noWrap/>
            <w:tcMar>
              <w:top w:w="15" w:type="dxa"/>
              <w:left w:w="15" w:type="dxa"/>
              <w:right w:w="15" w:type="dxa"/>
            </w:tcMar>
            <w:vAlign w:val="center"/>
          </w:tcPr>
          <w:p w14:paraId="7CC6DC38">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437.95</w:t>
            </w:r>
          </w:p>
        </w:tc>
        <w:tc>
          <w:tcPr>
            <w:tcW w:w="2500" w:type="dxa"/>
            <w:tcBorders>
              <w:top w:val="nil"/>
              <w:left w:val="nil"/>
              <w:bottom w:val="nil"/>
              <w:right w:val="nil"/>
            </w:tcBorders>
            <w:shd w:val="clear" w:color="auto" w:fill="auto"/>
            <w:noWrap/>
            <w:tcMar>
              <w:top w:w="15" w:type="dxa"/>
              <w:left w:w="15" w:type="dxa"/>
              <w:right w:w="15" w:type="dxa"/>
            </w:tcMar>
            <w:vAlign w:val="center"/>
          </w:tcPr>
          <w:p w14:paraId="358DADA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69.5%</w:t>
            </w:r>
          </w:p>
        </w:tc>
      </w:tr>
      <w:tr w14:paraId="5B793D13">
        <w:tblPrEx>
          <w:shd w:val="clear" w:color="auto" w:fill="auto"/>
          <w:tblCellMar>
            <w:top w:w="0" w:type="dxa"/>
            <w:left w:w="0" w:type="dxa"/>
            <w:bottom w:w="0" w:type="dxa"/>
            <w:right w:w="0" w:type="dxa"/>
          </w:tblCellMar>
        </w:tblPrEx>
        <w:trPr>
          <w:trHeight w:val="270" w:hRule="atLeast"/>
        </w:trPr>
        <w:tc>
          <w:tcPr>
            <w:tcW w:w="1783" w:type="dxa"/>
            <w:tcBorders>
              <w:top w:val="nil"/>
              <w:left w:val="nil"/>
              <w:bottom w:val="nil"/>
              <w:right w:val="nil"/>
            </w:tcBorders>
            <w:shd w:val="clear" w:color="auto" w:fill="auto"/>
            <w:noWrap/>
            <w:tcMar>
              <w:top w:w="15" w:type="dxa"/>
              <w:left w:w="15" w:type="dxa"/>
              <w:right w:w="15" w:type="dxa"/>
            </w:tcMar>
            <w:vAlign w:val="center"/>
          </w:tcPr>
          <w:p w14:paraId="4764D34F">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社会保障和就业支出</w:t>
            </w:r>
          </w:p>
        </w:tc>
        <w:tc>
          <w:tcPr>
            <w:tcW w:w="3700" w:type="dxa"/>
            <w:tcBorders>
              <w:top w:val="nil"/>
              <w:left w:val="nil"/>
              <w:bottom w:val="nil"/>
              <w:right w:val="nil"/>
            </w:tcBorders>
            <w:shd w:val="clear" w:color="auto" w:fill="auto"/>
            <w:noWrap/>
            <w:tcMar>
              <w:top w:w="15" w:type="dxa"/>
              <w:left w:w="15" w:type="dxa"/>
              <w:right w:w="15" w:type="dxa"/>
            </w:tcMar>
            <w:vAlign w:val="center"/>
          </w:tcPr>
          <w:p w14:paraId="2472A131">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123.49</w:t>
            </w:r>
          </w:p>
        </w:tc>
        <w:tc>
          <w:tcPr>
            <w:tcW w:w="2500" w:type="dxa"/>
            <w:tcBorders>
              <w:top w:val="nil"/>
              <w:left w:val="nil"/>
              <w:bottom w:val="nil"/>
              <w:right w:val="nil"/>
            </w:tcBorders>
            <w:shd w:val="clear" w:color="auto" w:fill="auto"/>
            <w:noWrap/>
            <w:tcMar>
              <w:top w:w="15" w:type="dxa"/>
              <w:left w:w="15" w:type="dxa"/>
              <w:right w:w="15" w:type="dxa"/>
            </w:tcMar>
            <w:vAlign w:val="center"/>
          </w:tcPr>
          <w:p w14:paraId="226B265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19.6%</w:t>
            </w:r>
          </w:p>
        </w:tc>
      </w:tr>
      <w:tr w14:paraId="3C7A9824">
        <w:tblPrEx>
          <w:shd w:val="clear" w:color="auto" w:fill="auto"/>
          <w:tblCellMar>
            <w:top w:w="0" w:type="dxa"/>
            <w:left w:w="0" w:type="dxa"/>
            <w:bottom w:w="0" w:type="dxa"/>
            <w:right w:w="0" w:type="dxa"/>
          </w:tblCellMar>
        </w:tblPrEx>
        <w:trPr>
          <w:trHeight w:val="270" w:hRule="atLeast"/>
        </w:trPr>
        <w:tc>
          <w:tcPr>
            <w:tcW w:w="1783" w:type="dxa"/>
            <w:tcBorders>
              <w:top w:val="nil"/>
              <w:left w:val="nil"/>
              <w:bottom w:val="nil"/>
              <w:right w:val="nil"/>
            </w:tcBorders>
            <w:shd w:val="clear" w:color="auto" w:fill="auto"/>
            <w:noWrap/>
            <w:tcMar>
              <w:top w:w="15" w:type="dxa"/>
              <w:left w:w="15" w:type="dxa"/>
              <w:right w:w="15" w:type="dxa"/>
            </w:tcMar>
            <w:vAlign w:val="center"/>
          </w:tcPr>
          <w:p w14:paraId="31FDCAF8">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卫生健康支出</w:t>
            </w:r>
          </w:p>
        </w:tc>
        <w:tc>
          <w:tcPr>
            <w:tcW w:w="3700" w:type="dxa"/>
            <w:tcBorders>
              <w:top w:val="nil"/>
              <w:left w:val="nil"/>
              <w:bottom w:val="nil"/>
              <w:right w:val="nil"/>
            </w:tcBorders>
            <w:shd w:val="clear" w:color="auto" w:fill="auto"/>
            <w:noWrap/>
            <w:tcMar>
              <w:top w:w="15" w:type="dxa"/>
              <w:left w:w="15" w:type="dxa"/>
              <w:right w:w="15" w:type="dxa"/>
            </w:tcMar>
            <w:vAlign w:val="center"/>
          </w:tcPr>
          <w:p w14:paraId="4D493BF5">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30.97</w:t>
            </w:r>
          </w:p>
        </w:tc>
        <w:tc>
          <w:tcPr>
            <w:tcW w:w="2500" w:type="dxa"/>
            <w:tcBorders>
              <w:top w:val="nil"/>
              <w:left w:val="nil"/>
              <w:bottom w:val="nil"/>
              <w:right w:val="nil"/>
            </w:tcBorders>
            <w:shd w:val="clear" w:color="auto" w:fill="auto"/>
            <w:noWrap/>
            <w:tcMar>
              <w:top w:w="15" w:type="dxa"/>
              <w:left w:w="15" w:type="dxa"/>
              <w:right w:w="15" w:type="dxa"/>
            </w:tcMar>
            <w:vAlign w:val="center"/>
          </w:tcPr>
          <w:p w14:paraId="319ACDD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4.9%</w:t>
            </w:r>
          </w:p>
        </w:tc>
      </w:tr>
      <w:tr w14:paraId="3C8056E7">
        <w:tblPrEx>
          <w:shd w:val="clear" w:color="auto" w:fill="auto"/>
          <w:tblCellMar>
            <w:top w:w="0" w:type="dxa"/>
            <w:left w:w="0" w:type="dxa"/>
            <w:bottom w:w="0" w:type="dxa"/>
            <w:right w:w="0" w:type="dxa"/>
          </w:tblCellMar>
        </w:tblPrEx>
        <w:trPr>
          <w:trHeight w:val="270" w:hRule="atLeast"/>
        </w:trPr>
        <w:tc>
          <w:tcPr>
            <w:tcW w:w="1783" w:type="dxa"/>
            <w:tcBorders>
              <w:top w:val="nil"/>
              <w:left w:val="nil"/>
              <w:bottom w:val="nil"/>
              <w:right w:val="nil"/>
            </w:tcBorders>
            <w:shd w:val="clear" w:color="auto" w:fill="auto"/>
            <w:noWrap/>
            <w:tcMar>
              <w:top w:w="15" w:type="dxa"/>
              <w:left w:w="15" w:type="dxa"/>
              <w:right w:w="15" w:type="dxa"/>
            </w:tcMar>
            <w:vAlign w:val="center"/>
          </w:tcPr>
          <w:p w14:paraId="0680FB9D">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住房保障支出</w:t>
            </w:r>
          </w:p>
        </w:tc>
        <w:tc>
          <w:tcPr>
            <w:tcW w:w="3700" w:type="dxa"/>
            <w:tcBorders>
              <w:top w:val="nil"/>
              <w:left w:val="nil"/>
              <w:bottom w:val="nil"/>
              <w:right w:val="nil"/>
            </w:tcBorders>
            <w:shd w:val="clear" w:color="auto" w:fill="auto"/>
            <w:noWrap/>
            <w:tcMar>
              <w:top w:w="15" w:type="dxa"/>
              <w:left w:w="15" w:type="dxa"/>
              <w:right w:w="15" w:type="dxa"/>
            </w:tcMar>
            <w:vAlign w:val="center"/>
          </w:tcPr>
          <w:p w14:paraId="7A1E56E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37.94</w:t>
            </w:r>
          </w:p>
        </w:tc>
        <w:tc>
          <w:tcPr>
            <w:tcW w:w="2500" w:type="dxa"/>
            <w:tcBorders>
              <w:top w:val="nil"/>
              <w:left w:val="nil"/>
              <w:bottom w:val="nil"/>
              <w:right w:val="nil"/>
            </w:tcBorders>
            <w:shd w:val="clear" w:color="auto" w:fill="auto"/>
            <w:noWrap/>
            <w:tcMar>
              <w:top w:w="15" w:type="dxa"/>
              <w:left w:w="15" w:type="dxa"/>
              <w:right w:w="15" w:type="dxa"/>
            </w:tcMar>
            <w:vAlign w:val="center"/>
          </w:tcPr>
          <w:p w14:paraId="4F3B0CF5">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6%</w:t>
            </w:r>
          </w:p>
        </w:tc>
      </w:tr>
    </w:tbl>
    <w:p w14:paraId="64DAC8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（图6：一般公共预算财政拨款支出决算结构）</w:t>
      </w:r>
    </w:p>
    <w:p w14:paraId="70CAD10C">
      <w:pPr>
        <w:keepNext w:val="0"/>
        <w:keepLines w:val="0"/>
        <w:pageBreakBefore w:val="0"/>
        <w:widowControl w:val="0"/>
        <w:kinsoku/>
        <w:wordWrap/>
        <w:overflowPunct/>
        <w:topLinePunct w:val="0"/>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4"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44"/>
    </w:p>
    <w:p w14:paraId="1EA240D2">
      <w:pPr>
        <w:keepNext w:val="0"/>
        <w:keepLines w:val="0"/>
        <w:pageBreakBefore w:val="0"/>
        <w:widowControl w:val="0"/>
        <w:kinsoku/>
        <w:wordWrap/>
        <w:overflowPunct/>
        <w:topLinePunct w:val="0"/>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45" w:name="_Toc15378460"/>
      <w:bookmarkStart w:id="46" w:name="_Toc15377444"/>
      <w:bookmarkStart w:id="47"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sz w:val="32"/>
          <w:szCs w:val="32"/>
        </w:rPr>
        <w:t>630.35</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45"/>
      <w:bookmarkEnd w:id="46"/>
      <w:bookmarkEnd w:id="47"/>
    </w:p>
    <w:p w14:paraId="731AC717">
      <w:pPr>
        <w:keepNext w:val="0"/>
        <w:keepLines w:val="0"/>
        <w:pageBreakBefore w:val="0"/>
        <w:widowControl w:val="0"/>
        <w:kinsoku/>
        <w:wordWrap/>
        <w:overflowPunct/>
        <w:topLinePunct w:val="0"/>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方正仿宋_GB2312" w:cs="Times New Roman"/>
          <w:b w:val="0"/>
          <w:bCs/>
          <w:kern w:val="0"/>
          <w:sz w:val="32"/>
          <w:szCs w:val="32"/>
        </w:rPr>
        <w:t>文化旅游体育与传媒支出（类）文化和旅游（款）群众文化（项）：支出决算为</w:t>
      </w:r>
      <w:r>
        <w:rPr>
          <w:rFonts w:hint="default" w:ascii="Times New Roman" w:hAnsi="Times New Roman" w:eastAsia="方正仿宋_GB2312" w:cs="Times New Roman"/>
          <w:b w:val="0"/>
          <w:bCs/>
          <w:kern w:val="0"/>
          <w:sz w:val="32"/>
          <w:szCs w:val="32"/>
          <w:lang w:val="en-US" w:eastAsia="zh-CN"/>
        </w:rPr>
        <w:t>421.84</w:t>
      </w:r>
      <w:r>
        <w:rPr>
          <w:rFonts w:hint="default" w:ascii="Times New Roman" w:hAnsi="Times New Roman" w:eastAsia="方正仿宋_GB2312" w:cs="Times New Roman"/>
          <w:b w:val="0"/>
          <w:bCs/>
          <w:kern w:val="0"/>
          <w:sz w:val="32"/>
          <w:szCs w:val="32"/>
        </w:rPr>
        <w:t>万元，完成预算100%。</w:t>
      </w:r>
    </w:p>
    <w:p w14:paraId="2D8520BF">
      <w:pPr>
        <w:keepNext w:val="0"/>
        <w:keepLines w:val="0"/>
        <w:pageBreakBefore w:val="0"/>
        <w:widowControl w:val="0"/>
        <w:kinsoku/>
        <w:wordWrap/>
        <w:overflowPunct/>
        <w:topLinePunct w:val="0"/>
        <w:bidi w:val="0"/>
        <w:adjustRightInd/>
        <w:snapToGrid/>
        <w:spacing w:line="240" w:lineRule="auto"/>
        <w:ind w:firstLine="640" w:firstLineChars="200"/>
        <w:textAlignment w:val="auto"/>
        <w:rPr>
          <w:rFonts w:hint="default" w:ascii="Times New Roman" w:hAnsi="Times New Roman" w:eastAsia="方正仿宋_GB2312" w:cs="Times New Roman"/>
          <w:b w:val="0"/>
          <w:bCs/>
          <w:kern w:val="0"/>
          <w:sz w:val="32"/>
          <w:szCs w:val="32"/>
        </w:rPr>
      </w:pP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方正仿宋_GB2312" w:cs="Times New Roman"/>
          <w:b w:val="0"/>
          <w:bCs/>
          <w:kern w:val="0"/>
          <w:sz w:val="32"/>
          <w:szCs w:val="32"/>
        </w:rPr>
        <w:t>文化旅游体育与传媒支出（类）文化和旅游（款）其他文化</w:t>
      </w:r>
      <w:r>
        <w:rPr>
          <w:rFonts w:hint="default" w:ascii="Times New Roman" w:hAnsi="Times New Roman" w:eastAsia="方正仿宋_GB2312" w:cs="Times New Roman"/>
          <w:b w:val="0"/>
          <w:bCs/>
          <w:kern w:val="0"/>
          <w:sz w:val="32"/>
          <w:szCs w:val="32"/>
          <w:lang w:eastAsia="zh-CN"/>
        </w:rPr>
        <w:t>和</w:t>
      </w:r>
      <w:r>
        <w:rPr>
          <w:rFonts w:hint="default" w:ascii="Times New Roman" w:hAnsi="Times New Roman" w:eastAsia="方正仿宋_GB2312" w:cs="Times New Roman"/>
          <w:b w:val="0"/>
          <w:bCs/>
          <w:kern w:val="0"/>
          <w:sz w:val="32"/>
          <w:szCs w:val="32"/>
        </w:rPr>
        <w:t>旅游支出（项）：支出决算为</w:t>
      </w:r>
      <w:r>
        <w:rPr>
          <w:rFonts w:hint="default" w:ascii="Times New Roman" w:hAnsi="Times New Roman" w:eastAsia="方正仿宋_GB2312" w:cs="Times New Roman"/>
          <w:b w:val="0"/>
          <w:bCs/>
          <w:kern w:val="0"/>
          <w:sz w:val="32"/>
          <w:szCs w:val="32"/>
          <w:lang w:val="en-US" w:eastAsia="zh-CN"/>
        </w:rPr>
        <w:t>10.5</w:t>
      </w:r>
      <w:r>
        <w:rPr>
          <w:rFonts w:hint="default" w:ascii="Times New Roman" w:hAnsi="Times New Roman" w:eastAsia="方正仿宋_GB2312" w:cs="Times New Roman"/>
          <w:b w:val="0"/>
          <w:bCs/>
          <w:kern w:val="0"/>
          <w:sz w:val="32"/>
          <w:szCs w:val="32"/>
        </w:rPr>
        <w:t>万元，完成预算100%。</w:t>
      </w:r>
    </w:p>
    <w:p w14:paraId="043732A5">
      <w:pPr>
        <w:keepNext w:val="0"/>
        <w:keepLines w:val="0"/>
        <w:pageBreakBefore w:val="0"/>
        <w:widowControl w:val="0"/>
        <w:numPr>
          <w:ilvl w:val="0"/>
          <w:numId w:val="0"/>
        </w:numPr>
        <w:kinsoku/>
        <w:wordWrap/>
        <w:overflowPunct/>
        <w:topLinePunct w:val="0"/>
        <w:bidi w:val="0"/>
        <w:adjustRightInd/>
        <w:snapToGrid/>
        <w:spacing w:line="240" w:lineRule="auto"/>
        <w:ind w:firstLine="640" w:firstLineChars="200"/>
        <w:textAlignment w:val="auto"/>
        <w:rPr>
          <w:rFonts w:hint="default" w:ascii="Times New Roman" w:hAnsi="Times New Roman" w:eastAsia="方正仿宋_GB2312" w:cs="Times New Roman"/>
          <w:b w:val="0"/>
          <w:bCs/>
          <w:kern w:val="0"/>
          <w:sz w:val="32"/>
          <w:szCs w:val="32"/>
        </w:rPr>
      </w:pPr>
      <w:r>
        <w:rPr>
          <w:rFonts w:hint="default" w:ascii="Times New Roman" w:hAnsi="Times New Roman" w:eastAsia="方正仿宋_GB2312" w:cs="Times New Roman"/>
          <w:b w:val="0"/>
          <w:bCs/>
          <w:kern w:val="0"/>
          <w:sz w:val="32"/>
          <w:szCs w:val="32"/>
          <w:lang w:val="en-US" w:eastAsia="zh-CN"/>
        </w:rPr>
        <w:t>3.</w:t>
      </w:r>
      <w:r>
        <w:rPr>
          <w:rFonts w:hint="default" w:ascii="Times New Roman" w:hAnsi="Times New Roman" w:eastAsia="方正仿宋_GB2312" w:cs="Times New Roman"/>
          <w:b w:val="0"/>
          <w:bCs/>
          <w:kern w:val="0"/>
          <w:sz w:val="32"/>
          <w:szCs w:val="32"/>
        </w:rPr>
        <w:t>文化旅游体育与传媒支出（类）其他文化旅游体育与传媒支出（款）其他文化旅游体育与传媒支出（项）：支出决算为</w:t>
      </w:r>
      <w:r>
        <w:rPr>
          <w:rFonts w:hint="default" w:ascii="Times New Roman" w:hAnsi="Times New Roman" w:eastAsia="方正仿宋_GB2312" w:cs="Times New Roman"/>
          <w:b w:val="0"/>
          <w:bCs/>
          <w:kern w:val="0"/>
          <w:sz w:val="32"/>
          <w:szCs w:val="32"/>
          <w:lang w:val="en-US" w:eastAsia="zh-CN"/>
        </w:rPr>
        <w:t>5.62</w:t>
      </w:r>
      <w:r>
        <w:rPr>
          <w:rFonts w:hint="default" w:ascii="Times New Roman" w:hAnsi="Times New Roman" w:eastAsia="方正仿宋_GB2312" w:cs="Times New Roman"/>
          <w:b w:val="0"/>
          <w:bCs/>
          <w:kern w:val="0"/>
          <w:sz w:val="32"/>
          <w:szCs w:val="32"/>
        </w:rPr>
        <w:t>万元，完成预算100%。</w:t>
      </w:r>
    </w:p>
    <w:p w14:paraId="354A0809">
      <w:pPr>
        <w:pStyle w:val="8"/>
        <w:keepNext w:val="0"/>
        <w:keepLines w:val="0"/>
        <w:pageBreakBefore w:val="0"/>
        <w:widowControl w:val="0"/>
        <w:numPr>
          <w:ilvl w:val="0"/>
          <w:numId w:val="0"/>
        </w:numPr>
        <w:kinsoku/>
        <w:wordWrap/>
        <w:overflowPunct/>
        <w:topLinePunct w:val="0"/>
        <w:bidi w:val="0"/>
        <w:adjustRightInd/>
        <w:snapToGrid/>
        <w:spacing w:line="240" w:lineRule="auto"/>
        <w:ind w:firstLine="640" w:firstLineChars="200"/>
        <w:textAlignment w:val="auto"/>
        <w:rPr>
          <w:rFonts w:hint="default" w:ascii="Times New Roman" w:hAnsi="Times New Roman" w:eastAsia="方正仿宋_GB2312" w:cs="Times New Roman"/>
          <w:b w:val="0"/>
          <w:bCs/>
          <w:kern w:val="0"/>
          <w:sz w:val="32"/>
          <w:szCs w:val="32"/>
        </w:rPr>
      </w:pPr>
      <w:r>
        <w:rPr>
          <w:rFonts w:hint="default" w:ascii="Times New Roman" w:hAnsi="Times New Roman" w:eastAsia="方正仿宋_GB2312" w:cs="Times New Roman"/>
          <w:b w:val="0"/>
          <w:bCs/>
          <w:kern w:val="0"/>
          <w:sz w:val="32"/>
          <w:szCs w:val="32"/>
          <w:lang w:val="en-US" w:eastAsia="zh-CN"/>
        </w:rPr>
        <w:t>4.</w:t>
      </w:r>
      <w:r>
        <w:rPr>
          <w:rFonts w:hint="default" w:ascii="Times New Roman" w:hAnsi="Times New Roman" w:eastAsia="方正仿宋_GB2312" w:cs="Times New Roman"/>
          <w:b w:val="0"/>
          <w:bCs/>
          <w:kern w:val="0"/>
          <w:sz w:val="32"/>
          <w:szCs w:val="32"/>
        </w:rPr>
        <w:t>社会保障和就业支出（类）</w:t>
      </w:r>
      <w:r>
        <w:rPr>
          <w:rFonts w:hint="default" w:ascii="Times New Roman" w:hAnsi="Times New Roman" w:eastAsia="方正仿宋_GB2312" w:cs="Times New Roman"/>
          <w:b w:val="0"/>
          <w:bCs/>
          <w:kern w:val="0"/>
          <w:sz w:val="32"/>
          <w:szCs w:val="32"/>
          <w:lang w:eastAsia="zh-CN"/>
        </w:rPr>
        <w:t>人力资源和社会保障管理事务</w:t>
      </w:r>
      <w:r>
        <w:rPr>
          <w:rFonts w:hint="default" w:ascii="Times New Roman" w:hAnsi="Times New Roman" w:eastAsia="方正仿宋_GB2312" w:cs="Times New Roman"/>
          <w:b w:val="0"/>
          <w:bCs/>
          <w:kern w:val="0"/>
          <w:sz w:val="32"/>
          <w:szCs w:val="32"/>
        </w:rPr>
        <w:t>（款）</w:t>
      </w:r>
      <w:r>
        <w:rPr>
          <w:rFonts w:hint="default" w:ascii="Times New Roman" w:hAnsi="Times New Roman" w:eastAsia="方正仿宋_GB2312" w:cs="Times New Roman"/>
          <w:b w:val="0"/>
          <w:bCs/>
          <w:kern w:val="0"/>
          <w:sz w:val="32"/>
          <w:szCs w:val="32"/>
          <w:lang w:eastAsia="zh-CN"/>
        </w:rPr>
        <w:t>其他人力资源和社会保障管理事务支出</w:t>
      </w:r>
      <w:r>
        <w:rPr>
          <w:rFonts w:hint="default" w:ascii="Times New Roman" w:hAnsi="Times New Roman" w:eastAsia="方正仿宋_GB2312" w:cs="Times New Roman"/>
          <w:b w:val="0"/>
          <w:bCs/>
          <w:kern w:val="0"/>
          <w:sz w:val="32"/>
          <w:szCs w:val="32"/>
        </w:rPr>
        <w:t>（项）：支出决算为</w:t>
      </w:r>
      <w:r>
        <w:rPr>
          <w:rFonts w:hint="default" w:ascii="Times New Roman" w:hAnsi="Times New Roman" w:eastAsia="方正仿宋_GB2312" w:cs="Times New Roman"/>
          <w:b w:val="0"/>
          <w:bCs/>
          <w:kern w:val="0"/>
          <w:sz w:val="32"/>
          <w:szCs w:val="32"/>
          <w:lang w:val="en-US" w:eastAsia="zh-CN"/>
        </w:rPr>
        <w:t>1.44</w:t>
      </w:r>
      <w:r>
        <w:rPr>
          <w:rFonts w:hint="default" w:ascii="Times New Roman" w:hAnsi="Times New Roman" w:eastAsia="方正仿宋_GB2312" w:cs="Times New Roman"/>
          <w:b w:val="0"/>
          <w:bCs/>
          <w:kern w:val="0"/>
          <w:sz w:val="32"/>
          <w:szCs w:val="32"/>
        </w:rPr>
        <w:t>万元，完成预算100%。</w:t>
      </w:r>
    </w:p>
    <w:p w14:paraId="5D363156">
      <w:pPr>
        <w:keepNext w:val="0"/>
        <w:keepLines w:val="0"/>
        <w:pageBreakBefore w:val="0"/>
        <w:widowControl w:val="0"/>
        <w:numPr>
          <w:ilvl w:val="0"/>
          <w:numId w:val="0"/>
        </w:numPr>
        <w:kinsoku/>
        <w:wordWrap/>
        <w:overflowPunct/>
        <w:topLinePunct w:val="0"/>
        <w:bidi w:val="0"/>
        <w:adjustRightInd/>
        <w:snapToGrid/>
        <w:spacing w:line="240" w:lineRule="auto"/>
        <w:ind w:firstLine="640" w:firstLineChars="200"/>
        <w:textAlignment w:val="auto"/>
        <w:rPr>
          <w:rFonts w:hint="default" w:ascii="Times New Roman" w:hAnsi="Times New Roman" w:eastAsia="方正仿宋_GB2312" w:cs="Times New Roman"/>
          <w:b w:val="0"/>
          <w:bCs/>
          <w:kern w:val="0"/>
          <w:sz w:val="32"/>
          <w:szCs w:val="32"/>
        </w:rPr>
      </w:pPr>
      <w:r>
        <w:rPr>
          <w:rFonts w:hint="default" w:ascii="Times New Roman" w:hAnsi="Times New Roman" w:eastAsia="方正仿宋_GB2312" w:cs="Times New Roman"/>
          <w:b w:val="0"/>
          <w:bCs/>
          <w:kern w:val="0"/>
          <w:sz w:val="32"/>
          <w:szCs w:val="32"/>
          <w:lang w:val="en-US" w:eastAsia="zh-CN"/>
        </w:rPr>
        <w:t>5.</w:t>
      </w:r>
      <w:r>
        <w:rPr>
          <w:rFonts w:hint="default" w:ascii="Times New Roman" w:hAnsi="Times New Roman" w:eastAsia="方正仿宋_GB2312" w:cs="Times New Roman"/>
          <w:b w:val="0"/>
          <w:bCs/>
          <w:kern w:val="0"/>
          <w:sz w:val="32"/>
          <w:szCs w:val="32"/>
        </w:rPr>
        <w:t>社会保障和就业支出（类）行政事业单位养老支出（款）事业单位离退休（项）：支出决算为</w:t>
      </w:r>
      <w:r>
        <w:rPr>
          <w:rFonts w:hint="default" w:ascii="Times New Roman" w:hAnsi="Times New Roman" w:eastAsia="方正仿宋_GB2312" w:cs="Times New Roman"/>
          <w:b w:val="0"/>
          <w:bCs/>
          <w:kern w:val="0"/>
          <w:sz w:val="32"/>
          <w:szCs w:val="32"/>
          <w:lang w:val="en-US" w:eastAsia="zh-CN"/>
        </w:rPr>
        <w:t>70.14</w:t>
      </w:r>
      <w:r>
        <w:rPr>
          <w:rFonts w:hint="default" w:ascii="Times New Roman" w:hAnsi="Times New Roman" w:eastAsia="方正仿宋_GB2312" w:cs="Times New Roman"/>
          <w:b w:val="0"/>
          <w:bCs/>
          <w:kern w:val="0"/>
          <w:sz w:val="32"/>
          <w:szCs w:val="32"/>
        </w:rPr>
        <w:t>万元，完成预算100%。</w:t>
      </w:r>
    </w:p>
    <w:p w14:paraId="50045123">
      <w:pPr>
        <w:keepNext w:val="0"/>
        <w:keepLines w:val="0"/>
        <w:pageBreakBefore w:val="0"/>
        <w:widowControl w:val="0"/>
        <w:kinsoku/>
        <w:wordWrap/>
        <w:overflowPunct/>
        <w:topLinePunct w:val="0"/>
        <w:autoSpaceDE w:val="0"/>
        <w:autoSpaceDN w:val="0"/>
        <w:bidi w:val="0"/>
        <w:adjustRightInd/>
        <w:snapToGrid/>
        <w:spacing w:line="240" w:lineRule="auto"/>
        <w:ind w:firstLine="640" w:firstLineChars="200"/>
        <w:textAlignment w:val="auto"/>
        <w:rPr>
          <w:rFonts w:hint="default" w:ascii="Times New Roman" w:hAnsi="Times New Roman" w:eastAsia="方正仿宋_GB2312" w:cs="Times New Roman"/>
          <w:b w:val="0"/>
          <w:bCs/>
          <w:kern w:val="0"/>
          <w:sz w:val="32"/>
          <w:szCs w:val="32"/>
        </w:rPr>
      </w:pPr>
      <w:r>
        <w:rPr>
          <w:rFonts w:hint="default" w:ascii="Times New Roman" w:hAnsi="Times New Roman" w:eastAsia="方正仿宋_GB2312" w:cs="Times New Roman"/>
          <w:b w:val="0"/>
          <w:bCs/>
          <w:kern w:val="0"/>
          <w:sz w:val="32"/>
          <w:szCs w:val="32"/>
          <w:lang w:val="en-US" w:eastAsia="zh-CN"/>
        </w:rPr>
        <w:t>6.</w:t>
      </w:r>
      <w:r>
        <w:rPr>
          <w:rFonts w:hint="default" w:ascii="Times New Roman" w:hAnsi="Times New Roman" w:eastAsia="方正仿宋_GB2312" w:cs="Times New Roman"/>
          <w:b w:val="0"/>
          <w:bCs/>
          <w:kern w:val="0"/>
          <w:sz w:val="32"/>
          <w:szCs w:val="32"/>
        </w:rPr>
        <w:t>社会保障和就业支出（类）行政事业单位养老支出（款）机关事业单位基本养老保险缴费支出（项）：支出决算为</w:t>
      </w:r>
      <w:r>
        <w:rPr>
          <w:rFonts w:hint="default" w:ascii="Times New Roman" w:hAnsi="Times New Roman" w:eastAsia="方正仿宋_GB2312" w:cs="Times New Roman"/>
          <w:b w:val="0"/>
          <w:bCs/>
          <w:kern w:val="0"/>
          <w:sz w:val="32"/>
          <w:szCs w:val="32"/>
          <w:lang w:val="en-US" w:eastAsia="zh-CN"/>
        </w:rPr>
        <w:t>51.91</w:t>
      </w:r>
      <w:r>
        <w:rPr>
          <w:rFonts w:hint="default" w:ascii="Times New Roman" w:hAnsi="Times New Roman" w:eastAsia="方正仿宋_GB2312" w:cs="Times New Roman"/>
          <w:b w:val="0"/>
          <w:bCs/>
          <w:kern w:val="0"/>
          <w:sz w:val="32"/>
          <w:szCs w:val="32"/>
        </w:rPr>
        <w:t>万元，完成预算100%。</w:t>
      </w:r>
    </w:p>
    <w:p w14:paraId="777A36CA">
      <w:pPr>
        <w:pStyle w:val="8"/>
        <w:keepNext w:val="0"/>
        <w:keepLines w:val="0"/>
        <w:pageBreakBefore w:val="0"/>
        <w:widowControl w:val="0"/>
        <w:kinsoku/>
        <w:wordWrap/>
        <w:overflowPunct/>
        <w:topLinePunct w:val="0"/>
        <w:bidi w:val="0"/>
        <w:adjustRightInd/>
        <w:snapToGrid/>
        <w:spacing w:line="240" w:lineRule="auto"/>
        <w:ind w:firstLine="640" w:firstLineChars="200"/>
        <w:textAlignment w:val="auto"/>
        <w:rPr>
          <w:rFonts w:hint="default" w:ascii="Times New Roman" w:hAnsi="Times New Roman" w:eastAsia="方正仿宋_GB2312" w:cs="Times New Roman"/>
          <w:b w:val="0"/>
          <w:bCs/>
          <w:kern w:val="0"/>
          <w:sz w:val="32"/>
          <w:szCs w:val="32"/>
        </w:rPr>
      </w:pPr>
      <w:r>
        <w:rPr>
          <w:rFonts w:hint="default" w:ascii="Times New Roman" w:hAnsi="Times New Roman" w:eastAsia="方正仿宋_GB2312" w:cs="Times New Roman"/>
          <w:b w:val="0"/>
          <w:bCs/>
          <w:kern w:val="0"/>
          <w:sz w:val="32"/>
          <w:szCs w:val="32"/>
          <w:lang w:val="en-US" w:eastAsia="zh-CN"/>
        </w:rPr>
        <w:t>7.</w:t>
      </w:r>
      <w:r>
        <w:rPr>
          <w:rFonts w:hint="default" w:ascii="Times New Roman" w:hAnsi="Times New Roman" w:eastAsia="方正仿宋_GB2312" w:cs="Times New Roman"/>
          <w:b w:val="0"/>
          <w:bCs/>
          <w:kern w:val="0"/>
          <w:sz w:val="32"/>
          <w:szCs w:val="32"/>
          <w:lang w:eastAsia="zh-CN"/>
        </w:rPr>
        <w:t>卫生健康支出</w:t>
      </w:r>
      <w:r>
        <w:rPr>
          <w:rFonts w:hint="default" w:ascii="Times New Roman" w:hAnsi="Times New Roman" w:eastAsia="方正仿宋_GB2312" w:cs="Times New Roman"/>
          <w:b w:val="0"/>
          <w:bCs/>
          <w:kern w:val="0"/>
          <w:sz w:val="32"/>
          <w:szCs w:val="32"/>
        </w:rPr>
        <w:t>（类）</w:t>
      </w:r>
      <w:r>
        <w:rPr>
          <w:rFonts w:hint="default" w:ascii="Times New Roman" w:hAnsi="Times New Roman" w:eastAsia="方正仿宋_GB2312" w:cs="Times New Roman"/>
          <w:b w:val="0"/>
          <w:bCs/>
          <w:kern w:val="0"/>
          <w:sz w:val="32"/>
          <w:szCs w:val="32"/>
          <w:lang w:eastAsia="zh-CN"/>
        </w:rPr>
        <w:t>行政事业单位医疗</w:t>
      </w:r>
      <w:r>
        <w:rPr>
          <w:rFonts w:hint="default" w:ascii="Times New Roman" w:hAnsi="Times New Roman" w:eastAsia="方正仿宋_GB2312" w:cs="Times New Roman"/>
          <w:b w:val="0"/>
          <w:bCs/>
          <w:kern w:val="0"/>
          <w:sz w:val="32"/>
          <w:szCs w:val="32"/>
        </w:rPr>
        <w:t>（款）</w:t>
      </w:r>
      <w:r>
        <w:rPr>
          <w:rFonts w:hint="default" w:ascii="Times New Roman" w:hAnsi="Times New Roman" w:eastAsia="方正仿宋_GB2312" w:cs="Times New Roman"/>
          <w:b w:val="0"/>
          <w:bCs/>
          <w:kern w:val="0"/>
          <w:sz w:val="32"/>
          <w:szCs w:val="32"/>
          <w:lang w:eastAsia="zh-CN"/>
        </w:rPr>
        <w:t>事业单位医疗</w:t>
      </w:r>
      <w:r>
        <w:rPr>
          <w:rFonts w:hint="default" w:ascii="Times New Roman" w:hAnsi="Times New Roman" w:eastAsia="方正仿宋_GB2312" w:cs="Times New Roman"/>
          <w:b w:val="0"/>
          <w:bCs/>
          <w:kern w:val="0"/>
          <w:sz w:val="32"/>
          <w:szCs w:val="32"/>
        </w:rPr>
        <w:t>（项）：支出决算为</w:t>
      </w:r>
      <w:r>
        <w:rPr>
          <w:rFonts w:hint="default" w:ascii="Times New Roman" w:hAnsi="Times New Roman" w:eastAsia="方正仿宋_GB2312" w:cs="Times New Roman"/>
          <w:b w:val="0"/>
          <w:bCs/>
          <w:kern w:val="0"/>
          <w:sz w:val="32"/>
          <w:szCs w:val="32"/>
          <w:lang w:val="en-US" w:eastAsia="zh-CN"/>
        </w:rPr>
        <w:t>24.98</w:t>
      </w:r>
      <w:r>
        <w:rPr>
          <w:rFonts w:hint="default" w:ascii="Times New Roman" w:hAnsi="Times New Roman" w:eastAsia="方正仿宋_GB2312" w:cs="Times New Roman"/>
          <w:b w:val="0"/>
          <w:bCs/>
          <w:kern w:val="0"/>
          <w:sz w:val="32"/>
          <w:szCs w:val="32"/>
        </w:rPr>
        <w:t>万元，完成预算100%。</w:t>
      </w:r>
    </w:p>
    <w:p w14:paraId="1449A84F">
      <w:pPr>
        <w:keepNext w:val="0"/>
        <w:keepLines w:val="0"/>
        <w:pageBreakBefore w:val="0"/>
        <w:widowControl w:val="0"/>
        <w:kinsoku/>
        <w:wordWrap/>
        <w:overflowPunct/>
        <w:topLinePunct w:val="0"/>
        <w:bidi w:val="0"/>
        <w:adjustRightInd/>
        <w:snapToGrid/>
        <w:spacing w:line="240" w:lineRule="auto"/>
        <w:ind w:firstLine="640" w:firstLineChars="200"/>
        <w:textAlignment w:val="auto"/>
        <w:rPr>
          <w:rFonts w:hint="default" w:ascii="Times New Roman" w:hAnsi="Times New Roman" w:eastAsia="方正仿宋_GB2312" w:cs="Times New Roman"/>
          <w:b w:val="0"/>
          <w:bCs/>
          <w:kern w:val="0"/>
          <w:sz w:val="32"/>
          <w:szCs w:val="32"/>
        </w:rPr>
      </w:pPr>
      <w:r>
        <w:rPr>
          <w:rFonts w:hint="default" w:ascii="Times New Roman" w:hAnsi="Times New Roman" w:eastAsia="方正仿宋_GB2312" w:cs="Times New Roman"/>
          <w:b w:val="0"/>
          <w:bCs/>
          <w:kern w:val="0"/>
          <w:sz w:val="32"/>
          <w:szCs w:val="32"/>
          <w:lang w:val="en-US" w:eastAsia="zh-CN"/>
        </w:rPr>
        <w:t>8.</w:t>
      </w:r>
      <w:r>
        <w:rPr>
          <w:rFonts w:hint="default" w:ascii="Times New Roman" w:hAnsi="Times New Roman" w:eastAsia="方正仿宋_GB2312" w:cs="Times New Roman"/>
          <w:b w:val="0"/>
          <w:bCs/>
          <w:kern w:val="0"/>
          <w:sz w:val="32"/>
          <w:szCs w:val="32"/>
          <w:lang w:eastAsia="zh-CN"/>
        </w:rPr>
        <w:t>卫生健康支出</w:t>
      </w:r>
      <w:r>
        <w:rPr>
          <w:rFonts w:hint="default" w:ascii="Times New Roman" w:hAnsi="Times New Roman" w:eastAsia="方正仿宋_GB2312" w:cs="Times New Roman"/>
          <w:b w:val="0"/>
          <w:bCs/>
          <w:kern w:val="0"/>
          <w:sz w:val="32"/>
          <w:szCs w:val="32"/>
        </w:rPr>
        <w:t>（类）</w:t>
      </w:r>
      <w:r>
        <w:rPr>
          <w:rFonts w:hint="default" w:ascii="Times New Roman" w:hAnsi="Times New Roman" w:eastAsia="方正仿宋_GB2312" w:cs="Times New Roman"/>
          <w:b w:val="0"/>
          <w:bCs/>
          <w:kern w:val="0"/>
          <w:sz w:val="32"/>
          <w:szCs w:val="32"/>
          <w:lang w:eastAsia="zh-CN"/>
        </w:rPr>
        <w:t>行政事业单位医疗</w:t>
      </w:r>
      <w:r>
        <w:rPr>
          <w:rFonts w:hint="default" w:ascii="Times New Roman" w:hAnsi="Times New Roman" w:eastAsia="方正仿宋_GB2312" w:cs="Times New Roman"/>
          <w:b w:val="0"/>
          <w:bCs/>
          <w:kern w:val="0"/>
          <w:sz w:val="32"/>
          <w:szCs w:val="32"/>
        </w:rPr>
        <w:t>（款）</w:t>
      </w:r>
      <w:r>
        <w:rPr>
          <w:rFonts w:hint="default" w:ascii="Times New Roman" w:hAnsi="Times New Roman" w:eastAsia="方正仿宋_GB2312" w:cs="Times New Roman"/>
          <w:b w:val="0"/>
          <w:bCs/>
          <w:kern w:val="0"/>
          <w:sz w:val="32"/>
          <w:szCs w:val="32"/>
          <w:lang w:eastAsia="zh-CN"/>
        </w:rPr>
        <w:t>公务员医疗补助</w:t>
      </w:r>
      <w:r>
        <w:rPr>
          <w:rFonts w:hint="default" w:ascii="Times New Roman" w:hAnsi="Times New Roman" w:eastAsia="方正仿宋_GB2312" w:cs="Times New Roman"/>
          <w:b w:val="0"/>
          <w:bCs/>
          <w:kern w:val="0"/>
          <w:sz w:val="32"/>
          <w:szCs w:val="32"/>
        </w:rPr>
        <w:t>（项）：支出决算为</w:t>
      </w:r>
      <w:r>
        <w:rPr>
          <w:rFonts w:hint="default" w:ascii="Times New Roman" w:hAnsi="Times New Roman" w:eastAsia="方正仿宋_GB2312" w:cs="Times New Roman"/>
          <w:b w:val="0"/>
          <w:bCs/>
          <w:kern w:val="0"/>
          <w:sz w:val="32"/>
          <w:szCs w:val="32"/>
          <w:lang w:val="en-US" w:eastAsia="zh-CN"/>
        </w:rPr>
        <w:t>5.98</w:t>
      </w:r>
      <w:r>
        <w:rPr>
          <w:rFonts w:hint="default" w:ascii="Times New Roman" w:hAnsi="Times New Roman" w:eastAsia="方正仿宋_GB2312" w:cs="Times New Roman"/>
          <w:b w:val="0"/>
          <w:bCs/>
          <w:kern w:val="0"/>
          <w:sz w:val="32"/>
          <w:szCs w:val="32"/>
        </w:rPr>
        <w:t>万元，完成预算100%。</w:t>
      </w:r>
    </w:p>
    <w:p w14:paraId="4BB23557">
      <w:pPr>
        <w:pStyle w:val="8"/>
        <w:keepNext w:val="0"/>
        <w:keepLines w:val="0"/>
        <w:pageBreakBefore w:val="0"/>
        <w:widowControl w:val="0"/>
        <w:kinsoku/>
        <w:wordWrap/>
        <w:overflowPunct/>
        <w:topLinePunct w:val="0"/>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2312" w:cs="Times New Roman"/>
          <w:b w:val="0"/>
          <w:bCs/>
          <w:kern w:val="0"/>
          <w:sz w:val="32"/>
          <w:szCs w:val="32"/>
          <w:lang w:val="en-US" w:eastAsia="zh-CN"/>
        </w:rPr>
        <w:t>9.</w:t>
      </w:r>
      <w:r>
        <w:rPr>
          <w:rFonts w:hint="default" w:ascii="Times New Roman" w:hAnsi="Times New Roman" w:eastAsia="方正仿宋_GB2312" w:cs="Times New Roman"/>
          <w:b w:val="0"/>
          <w:bCs/>
          <w:kern w:val="0"/>
          <w:sz w:val="32"/>
          <w:szCs w:val="32"/>
        </w:rPr>
        <w:t>住房保障支出（类）住房改革支出（款）住房公积金（项）：支出决算为</w:t>
      </w:r>
      <w:r>
        <w:rPr>
          <w:rFonts w:hint="default" w:ascii="Times New Roman" w:hAnsi="Times New Roman" w:eastAsia="方正仿宋_GB2312" w:cs="Times New Roman"/>
          <w:b w:val="0"/>
          <w:bCs/>
          <w:kern w:val="0"/>
          <w:sz w:val="32"/>
          <w:szCs w:val="32"/>
          <w:lang w:val="en-US" w:eastAsia="zh-CN"/>
        </w:rPr>
        <w:t>37.94</w:t>
      </w:r>
      <w:r>
        <w:rPr>
          <w:rFonts w:hint="default" w:ascii="Times New Roman" w:hAnsi="Times New Roman" w:eastAsia="方正仿宋_GB2312" w:cs="Times New Roman"/>
          <w:b w:val="0"/>
          <w:bCs/>
          <w:kern w:val="0"/>
          <w:sz w:val="32"/>
          <w:szCs w:val="32"/>
        </w:rPr>
        <w:t>万元，完成预算100%。</w:t>
      </w:r>
    </w:p>
    <w:p w14:paraId="0CB0086E">
      <w:pPr>
        <w:keepNext w:val="0"/>
        <w:keepLines w:val="0"/>
        <w:pageBreakBefore w:val="0"/>
        <w:widowControl w:val="0"/>
        <w:tabs>
          <w:tab w:val="right" w:pos="8306"/>
        </w:tabs>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黑体" w:cs="Times New Roman"/>
          <w:color w:val="auto"/>
          <w:sz w:val="32"/>
          <w:szCs w:val="32"/>
          <w:highlight w:val="none"/>
        </w:rPr>
      </w:pPr>
      <w:bookmarkStart w:id="48" w:name="_Toc15377214"/>
      <w:bookmarkStart w:id="49" w:name="_Toc18988"/>
      <w:bookmarkStart w:id="50" w:name="_Toc15396608"/>
    </w:p>
    <w:p w14:paraId="47AE645A">
      <w:pPr>
        <w:keepNext w:val="0"/>
        <w:keepLines w:val="0"/>
        <w:pageBreakBefore w:val="0"/>
        <w:widowControl w:val="0"/>
        <w:tabs>
          <w:tab w:val="right" w:pos="8306"/>
        </w:tabs>
        <w:kinsoku/>
        <w:wordWrap/>
        <w:overflowPunct/>
        <w:topLinePunct w:val="0"/>
        <w:autoSpaceDE/>
        <w:autoSpaceDN/>
        <w:bidi w:val="0"/>
        <w:adjustRightInd/>
        <w:snapToGrid/>
        <w:spacing w:line="240" w:lineRule="auto"/>
        <w:ind w:firstLine="640" w:firstLineChars="200"/>
        <w:textAlignment w:val="auto"/>
        <w:outlineLvl w:val="1"/>
        <w:rPr>
          <w:rStyle w:val="29"/>
          <w:rFonts w:hint="default" w:ascii="Times New Roman" w:hAnsi="Times New Roman" w:cs="Times New Roman"/>
          <w:color w:val="auto"/>
          <w:highlight w:val="none"/>
        </w:rPr>
      </w:pPr>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般公共预算财政拨款基本支出决算情况说明</w:t>
      </w:r>
      <w:bookmarkEnd w:id="48"/>
      <w:bookmarkEnd w:id="49"/>
      <w:bookmarkEnd w:id="50"/>
      <w:r>
        <w:rPr>
          <w:rStyle w:val="29"/>
          <w:rFonts w:hint="default" w:ascii="Times New Roman" w:hAnsi="Times New Roman" w:eastAsia="黑体" w:cs="Times New Roman"/>
          <w:b w:val="0"/>
          <w:color w:val="auto"/>
          <w:highlight w:val="none"/>
        </w:rPr>
        <w:tab/>
      </w:r>
    </w:p>
    <w:p w14:paraId="74A2D24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566.73</w:t>
      </w:r>
      <w:r>
        <w:rPr>
          <w:rFonts w:hint="default" w:ascii="Times New Roman" w:hAnsi="Times New Roman" w:eastAsia="仿宋_GB2312" w:cs="Times New Roman"/>
          <w:color w:val="auto"/>
          <w:kern w:val="2"/>
          <w:sz w:val="32"/>
          <w:szCs w:val="32"/>
          <w:highlight w:val="none"/>
          <w:lang w:val="en-US" w:eastAsia="zh-CN" w:bidi="ar-SA"/>
        </w:rPr>
        <w:t>万元，其中：</w:t>
      </w:r>
    </w:p>
    <w:p w14:paraId="18B86BC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543.9</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auto"/>
          <w:kern w:val="2"/>
          <w:sz w:val="32"/>
          <w:szCs w:val="32"/>
          <w:highlight w:val="none"/>
          <w:lang w:val="en-US" w:eastAsia="zh-CN" w:bidi="ar-SA"/>
        </w:rPr>
        <w:t>万元，主要包括：基本工资146.58万元、津贴补贴13.44万元、奖金0.6万元、绩效工资179.54万元、机关事业单位基本养老保险缴费51.91万元、职工基本医疗保障缴费24.98万元、公务员医疗补助缴费5.98万元、其他社会保障缴费4.49万元、其他工资福利支出8.32万元、生活补助63.21万元、医疗费补助5.48万元、住房公积金37.94万元、其他对个人和家庭的补助支出1.44万元。</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xml:space="preserve">  公用经费</w:t>
      </w:r>
      <w:r>
        <w:rPr>
          <w:rFonts w:hint="default" w:ascii="Times New Roman" w:hAnsi="Times New Roman" w:eastAsia="仿宋_GB2312" w:cs="Times New Roman"/>
          <w:sz w:val="32"/>
          <w:szCs w:val="32"/>
        </w:rPr>
        <w:t>22.82</w:t>
      </w:r>
      <w:r>
        <w:rPr>
          <w:rFonts w:hint="default" w:ascii="Times New Roman" w:hAnsi="Times New Roman" w:eastAsia="仿宋_GB2312" w:cs="Times New Roman"/>
          <w:color w:val="auto"/>
          <w:kern w:val="2"/>
          <w:sz w:val="32"/>
          <w:szCs w:val="32"/>
          <w:highlight w:val="none"/>
          <w:lang w:val="en-US" w:eastAsia="zh-CN" w:bidi="ar-SA"/>
        </w:rPr>
        <w:t>万元，主要包括：办公费1.84万元、水费0.1万元、差旅费9.95万元、维修（护）费0.57万元、培训费0.12万元、委托业务费0.33万元、工会经费4.68万元、福利费1.42万元、公务用车运行维护费1.32万元、其他商品和服务支出2.49万元。</w:t>
      </w:r>
    </w:p>
    <w:p w14:paraId="1ADE939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Style w:val="29"/>
          <w:rFonts w:hint="default" w:ascii="Times New Roman" w:hAnsi="Times New Roman" w:eastAsia="黑体" w:cs="Times New Roman"/>
          <w:b w:val="0"/>
          <w:color w:val="auto"/>
          <w:highlight w:val="none"/>
        </w:rPr>
      </w:pPr>
      <w:bookmarkStart w:id="51" w:name="_Toc15396609"/>
      <w:bookmarkStart w:id="52" w:name="_Toc15377215"/>
      <w:bookmarkStart w:id="53" w:name="_Toc16462"/>
      <w:r>
        <w:rPr>
          <w:rFonts w:hint="default" w:ascii="Times New Roman" w:hAnsi="Times New Roman" w:eastAsia="黑体" w:cs="Times New Roman"/>
          <w:color w:val="auto"/>
          <w:sz w:val="32"/>
          <w:szCs w:val="32"/>
          <w:highlight w:val="none"/>
        </w:rPr>
        <w:t>七、</w:t>
      </w:r>
      <w:r>
        <w:rPr>
          <w:rStyle w:val="29"/>
          <w:rFonts w:hint="default" w:ascii="Times New Roman" w:hAnsi="Times New Roman" w:eastAsia="黑体" w:cs="Times New Roman"/>
          <w:b w:val="0"/>
          <w:color w:val="auto"/>
          <w:highlight w:val="none"/>
        </w:rPr>
        <w:t>财政拨款</w:t>
      </w:r>
      <w:r>
        <w:rPr>
          <w:rStyle w:val="29"/>
          <w:rFonts w:hint="default" w:ascii="Times New Roman" w:hAnsi="Times New Roman" w:eastAsia="黑体" w:cs="Times New Roman"/>
          <w:color w:val="auto"/>
          <w:highlight w:val="none"/>
        </w:rPr>
        <w:t>“</w:t>
      </w:r>
      <w:r>
        <w:rPr>
          <w:rStyle w:val="29"/>
          <w:rFonts w:hint="default" w:ascii="Times New Roman" w:hAnsi="Times New Roman" w:eastAsia="黑体" w:cs="Times New Roman"/>
          <w:b w:val="0"/>
          <w:color w:val="auto"/>
          <w:highlight w:val="none"/>
        </w:rPr>
        <w:t>三公”经费支出决算情况说明</w:t>
      </w:r>
      <w:bookmarkEnd w:id="51"/>
      <w:bookmarkEnd w:id="52"/>
      <w:bookmarkEnd w:id="53"/>
    </w:p>
    <w:p w14:paraId="6DF49175">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4"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54"/>
    </w:p>
    <w:p w14:paraId="4243B64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1.32</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%，较上年度减少1.26万元，下降48.8%。决算数与预算数持平的主要原因是</w:t>
      </w:r>
      <w:r>
        <w:rPr>
          <w:rFonts w:hint="default" w:ascii="Times New Roman" w:hAnsi="Times New Roman" w:eastAsia="方正仿宋_GB2312" w:cs="Times New Roman"/>
          <w:sz w:val="32"/>
          <w:szCs w:val="32"/>
        </w:rPr>
        <w:t>我单位严格按照预算拨款来使用“三公”经费。</w:t>
      </w:r>
    </w:p>
    <w:p w14:paraId="0B175779">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55"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55"/>
    </w:p>
    <w:p w14:paraId="6B40C88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1.32</w:t>
      </w:r>
      <w:r>
        <w:rPr>
          <w:rFonts w:hint="default" w:ascii="Times New Roman" w:hAnsi="Times New Roman" w:eastAsia="仿宋_GB2312" w:cs="Times New Roman"/>
          <w:color w:val="auto"/>
          <w:kern w:val="2"/>
          <w:sz w:val="32"/>
          <w:szCs w:val="32"/>
          <w:highlight w:val="none"/>
          <w:lang w:val="en-US" w:eastAsia="zh-CN" w:bidi="ar-SA"/>
        </w:rPr>
        <w:t>万元，占100%；公务接待费支出决算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万元，占0%。具体情况如下：</w:t>
      </w:r>
    </w:p>
    <w:p w14:paraId="4E58F634">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5080000" cy="3810000"/>
            <wp:effectExtent l="4445" t="4445" r="20955" b="1460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bl>
      <w:tblPr>
        <w:tblStyle w:val="15"/>
        <w:tblW w:w="6800" w:type="dxa"/>
        <w:tblInd w:w="1060" w:type="dxa"/>
        <w:shd w:val="clear" w:color="auto" w:fill="auto"/>
        <w:tblLayout w:type="fixed"/>
        <w:tblCellMar>
          <w:top w:w="0" w:type="dxa"/>
          <w:left w:w="0" w:type="dxa"/>
          <w:bottom w:w="0" w:type="dxa"/>
          <w:right w:w="0" w:type="dxa"/>
        </w:tblCellMar>
      </w:tblPr>
      <w:tblGrid>
        <w:gridCol w:w="2317"/>
        <w:gridCol w:w="4483"/>
      </w:tblGrid>
      <w:tr w14:paraId="6F7328E2">
        <w:tblPrEx>
          <w:shd w:val="clear" w:color="auto" w:fill="auto"/>
        </w:tblPrEx>
        <w:trPr>
          <w:trHeight w:val="270" w:hRule="atLeast"/>
        </w:trPr>
        <w:tc>
          <w:tcPr>
            <w:tcW w:w="2317" w:type="dxa"/>
            <w:tcBorders>
              <w:top w:val="nil"/>
              <w:left w:val="nil"/>
              <w:bottom w:val="nil"/>
              <w:right w:val="nil"/>
            </w:tcBorders>
            <w:shd w:val="clear" w:color="auto" w:fill="auto"/>
            <w:noWrap/>
            <w:tcMar>
              <w:top w:w="15" w:type="dxa"/>
              <w:left w:w="15" w:type="dxa"/>
              <w:right w:w="15" w:type="dxa"/>
            </w:tcMar>
            <w:vAlign w:val="center"/>
          </w:tcPr>
          <w:p w14:paraId="657A905A">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p>
        </w:tc>
        <w:tc>
          <w:tcPr>
            <w:tcW w:w="4483" w:type="dxa"/>
            <w:tcBorders>
              <w:top w:val="nil"/>
              <w:left w:val="nil"/>
              <w:bottom w:val="nil"/>
              <w:right w:val="nil"/>
            </w:tcBorders>
            <w:shd w:val="clear" w:color="auto" w:fill="auto"/>
            <w:noWrap/>
            <w:tcMar>
              <w:top w:w="15" w:type="dxa"/>
              <w:left w:w="15" w:type="dxa"/>
              <w:right w:w="15" w:type="dxa"/>
            </w:tcMar>
            <w:vAlign w:val="center"/>
          </w:tcPr>
          <w:p w14:paraId="064F4E14">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2025年度财政拨款“三公”经费支出决算</w:t>
            </w:r>
          </w:p>
        </w:tc>
      </w:tr>
      <w:tr w14:paraId="55536D4C">
        <w:tblPrEx>
          <w:shd w:val="clear" w:color="auto" w:fill="auto"/>
          <w:tblCellMar>
            <w:top w:w="0" w:type="dxa"/>
            <w:left w:w="0" w:type="dxa"/>
            <w:bottom w:w="0" w:type="dxa"/>
            <w:right w:w="0" w:type="dxa"/>
          </w:tblCellMar>
        </w:tblPrEx>
        <w:trPr>
          <w:trHeight w:val="270" w:hRule="atLeast"/>
        </w:trPr>
        <w:tc>
          <w:tcPr>
            <w:tcW w:w="2317" w:type="dxa"/>
            <w:tcBorders>
              <w:top w:val="nil"/>
              <w:left w:val="nil"/>
              <w:bottom w:val="nil"/>
              <w:right w:val="nil"/>
            </w:tcBorders>
            <w:shd w:val="clear" w:color="auto" w:fill="auto"/>
            <w:noWrap/>
            <w:tcMar>
              <w:top w:w="15" w:type="dxa"/>
              <w:left w:w="15" w:type="dxa"/>
              <w:right w:w="15" w:type="dxa"/>
            </w:tcMar>
            <w:vAlign w:val="center"/>
          </w:tcPr>
          <w:p w14:paraId="0827A1DE">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因公出国（境）费支出决算</w:t>
            </w:r>
          </w:p>
        </w:tc>
        <w:tc>
          <w:tcPr>
            <w:tcW w:w="4483" w:type="dxa"/>
            <w:tcBorders>
              <w:top w:val="nil"/>
              <w:left w:val="nil"/>
              <w:bottom w:val="nil"/>
              <w:right w:val="nil"/>
            </w:tcBorders>
            <w:shd w:val="clear" w:color="auto" w:fill="auto"/>
            <w:noWrap/>
            <w:tcMar>
              <w:top w:w="15" w:type="dxa"/>
              <w:left w:w="15" w:type="dxa"/>
              <w:right w:w="15" w:type="dxa"/>
            </w:tcMar>
            <w:vAlign w:val="center"/>
          </w:tcPr>
          <w:p w14:paraId="7276512C">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0万元</w:t>
            </w:r>
          </w:p>
        </w:tc>
      </w:tr>
      <w:tr w14:paraId="6E28C43B">
        <w:tblPrEx>
          <w:shd w:val="clear" w:color="auto" w:fill="auto"/>
          <w:tblCellMar>
            <w:top w:w="0" w:type="dxa"/>
            <w:left w:w="0" w:type="dxa"/>
            <w:bottom w:w="0" w:type="dxa"/>
            <w:right w:w="0" w:type="dxa"/>
          </w:tblCellMar>
        </w:tblPrEx>
        <w:trPr>
          <w:trHeight w:val="270" w:hRule="atLeast"/>
        </w:trPr>
        <w:tc>
          <w:tcPr>
            <w:tcW w:w="2317" w:type="dxa"/>
            <w:tcBorders>
              <w:top w:val="nil"/>
              <w:left w:val="nil"/>
              <w:bottom w:val="nil"/>
              <w:right w:val="nil"/>
            </w:tcBorders>
            <w:shd w:val="clear" w:color="auto" w:fill="auto"/>
            <w:noWrap/>
            <w:tcMar>
              <w:top w:w="15" w:type="dxa"/>
              <w:left w:w="15" w:type="dxa"/>
              <w:right w:w="15" w:type="dxa"/>
            </w:tcMar>
            <w:vAlign w:val="center"/>
          </w:tcPr>
          <w:p w14:paraId="0A7C720C">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公务用车购置及运行维护费支出决算</w:t>
            </w:r>
          </w:p>
        </w:tc>
        <w:tc>
          <w:tcPr>
            <w:tcW w:w="4483" w:type="dxa"/>
            <w:tcBorders>
              <w:top w:val="nil"/>
              <w:left w:val="nil"/>
              <w:bottom w:val="nil"/>
              <w:right w:val="nil"/>
            </w:tcBorders>
            <w:shd w:val="clear" w:color="auto" w:fill="auto"/>
            <w:noWrap/>
            <w:tcMar>
              <w:top w:w="15" w:type="dxa"/>
              <w:left w:w="15" w:type="dxa"/>
              <w:right w:w="15" w:type="dxa"/>
            </w:tcMar>
            <w:vAlign w:val="center"/>
          </w:tcPr>
          <w:p w14:paraId="6F92A5BA">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1.32万元</w:t>
            </w:r>
          </w:p>
        </w:tc>
      </w:tr>
      <w:tr w14:paraId="5C33C116">
        <w:tblPrEx>
          <w:shd w:val="clear" w:color="auto" w:fill="auto"/>
        </w:tblPrEx>
        <w:trPr>
          <w:trHeight w:val="270" w:hRule="atLeast"/>
        </w:trPr>
        <w:tc>
          <w:tcPr>
            <w:tcW w:w="2317" w:type="dxa"/>
            <w:tcBorders>
              <w:top w:val="nil"/>
              <w:left w:val="nil"/>
              <w:bottom w:val="nil"/>
              <w:right w:val="nil"/>
            </w:tcBorders>
            <w:shd w:val="clear" w:color="auto" w:fill="auto"/>
            <w:noWrap/>
            <w:tcMar>
              <w:top w:w="15" w:type="dxa"/>
              <w:left w:w="15" w:type="dxa"/>
              <w:right w:w="15" w:type="dxa"/>
            </w:tcMar>
            <w:vAlign w:val="center"/>
          </w:tcPr>
          <w:p w14:paraId="050905E0">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公务接待费支出决算</w:t>
            </w:r>
          </w:p>
        </w:tc>
        <w:tc>
          <w:tcPr>
            <w:tcW w:w="4483" w:type="dxa"/>
            <w:tcBorders>
              <w:top w:val="nil"/>
              <w:left w:val="nil"/>
              <w:bottom w:val="nil"/>
              <w:right w:val="nil"/>
            </w:tcBorders>
            <w:shd w:val="clear" w:color="auto" w:fill="auto"/>
            <w:noWrap/>
            <w:tcMar>
              <w:top w:w="15" w:type="dxa"/>
              <w:left w:w="15" w:type="dxa"/>
              <w:right w:w="15" w:type="dxa"/>
            </w:tcMar>
            <w:vAlign w:val="center"/>
          </w:tcPr>
          <w:p w14:paraId="713D4E59">
            <w:pPr>
              <w:keepNext w:val="0"/>
              <w:keepLines w:val="0"/>
              <w:widowControl/>
              <w:suppressLineNumbers w:val="0"/>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0万元</w:t>
            </w:r>
          </w:p>
        </w:tc>
      </w:tr>
    </w:tbl>
    <w:p w14:paraId="7D005620">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（图7：财政拨款“三公”经费支出结构）</w:t>
      </w:r>
    </w:p>
    <w:p w14:paraId="6C71532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方正仿宋_GB2312" w:cs="Times New Roman"/>
          <w:b w:val="0"/>
          <w:bCs/>
          <w:sz w:val="32"/>
          <w:szCs w:val="32"/>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w:t>
      </w:r>
      <w:r>
        <w:rPr>
          <w:rFonts w:hint="default" w:ascii="Times New Roman" w:hAnsi="Times New Roman" w:eastAsia="方正仿宋_GB2312" w:cs="Times New Roman"/>
          <w:b w:val="0"/>
          <w:bCs/>
          <w:sz w:val="32"/>
          <w:szCs w:val="32"/>
        </w:rPr>
        <w:t>主要原因是无预算。</w:t>
      </w:r>
    </w:p>
    <w:p w14:paraId="3339C9A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方正仿宋_GB2312" w:cs="Times New Roman"/>
          <w:b w:val="0"/>
          <w:bCs/>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2.公务用车购置及运行维护费支出1.32万元，完成预算100%。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w:t>
      </w:r>
      <w:r>
        <w:rPr>
          <w:rFonts w:hint="eastAsia" w:eastAsia="仿宋_GB2312" w:cs="Times New Roman"/>
          <w:color w:val="auto"/>
          <w:kern w:val="2"/>
          <w:sz w:val="32"/>
          <w:szCs w:val="32"/>
          <w:highlight w:val="none"/>
          <w:lang w:val="en-US" w:eastAsia="zh-CN" w:bidi="ar-SA"/>
        </w:rPr>
        <w:t>年度</w:t>
      </w:r>
      <w:r>
        <w:rPr>
          <w:rFonts w:hint="default" w:ascii="Times New Roman" w:hAnsi="Times New Roman" w:eastAsia="仿宋_GB2312" w:cs="Times New Roman"/>
          <w:color w:val="auto"/>
          <w:kern w:val="2"/>
          <w:sz w:val="32"/>
          <w:szCs w:val="32"/>
          <w:highlight w:val="none"/>
          <w:lang w:val="en-US" w:eastAsia="zh-CN" w:bidi="ar-SA"/>
        </w:rPr>
        <w:t>减少0.89万元，下降40.2%。</w:t>
      </w:r>
      <w:r>
        <w:rPr>
          <w:rFonts w:hint="eastAsia" w:eastAsia="仿宋_GB2312" w:cs="Times New Roman"/>
          <w:color w:val="auto"/>
          <w:kern w:val="2"/>
          <w:sz w:val="32"/>
          <w:szCs w:val="32"/>
          <w:highlight w:val="none"/>
          <w:lang w:val="en-US" w:eastAsia="zh-CN" w:bidi="ar-SA"/>
        </w:rPr>
        <w:t>主要原因是</w:t>
      </w:r>
      <w:r>
        <w:rPr>
          <w:rFonts w:hint="default" w:ascii="Times New Roman" w:hAnsi="Times New Roman" w:eastAsia="方正仿宋_GB2312" w:cs="Times New Roman"/>
          <w:b w:val="0"/>
          <w:bCs/>
          <w:sz w:val="32"/>
          <w:szCs w:val="32"/>
        </w:rPr>
        <w:t>控制公务车非必要不动车的原则，增加绿色出行。</w:t>
      </w:r>
    </w:p>
    <w:p w14:paraId="37B0012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2312" w:cs="Times New Roman"/>
          <w:b w:val="0"/>
          <w:bCs/>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w:t>
      </w:r>
      <w:r>
        <w:rPr>
          <w:rFonts w:hint="eastAsia" w:eastAsia="仿宋_GB2312" w:cs="Times New Roman"/>
          <w:color w:val="auto"/>
          <w:kern w:val="2"/>
          <w:sz w:val="32"/>
          <w:szCs w:val="32"/>
          <w:highlight w:val="none"/>
          <w:lang w:val="en-US" w:eastAsia="zh-CN" w:bidi="ar-SA"/>
        </w:rPr>
        <w:t>用车</w:t>
      </w:r>
      <w:r>
        <w:rPr>
          <w:rFonts w:hint="default" w:ascii="Times New Roman" w:hAnsi="Times New Roman" w:eastAsia="仿宋_GB2312" w:cs="Times New Roman"/>
          <w:color w:val="auto"/>
          <w:kern w:val="2"/>
          <w:sz w:val="32"/>
          <w:szCs w:val="32"/>
          <w:highlight w:val="none"/>
          <w:lang w:val="en-US" w:eastAsia="zh-CN" w:bidi="ar-SA"/>
        </w:rPr>
        <w:t>0辆，其中：轿车0辆、金额0万元，越野车0辆、金额0万元，载客汽车0辆、金额0万元。截至2025年12月31日，单位共有公务用车2辆，其中：轿车1辆、越野车0辆、载客汽车1辆。</w:t>
      </w:r>
    </w:p>
    <w:p w14:paraId="58851C0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2312" w:cs="Times New Roman"/>
          <w:b w:val="0"/>
          <w:bCs/>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1.32</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eastAsia="仿宋_GB2312" w:cs="Times New Roman"/>
          <w:color w:val="auto"/>
          <w:kern w:val="2"/>
          <w:sz w:val="32"/>
          <w:szCs w:val="32"/>
          <w:highlight w:val="none"/>
          <w:lang w:val="en-US" w:eastAsia="zh-CN" w:bidi="ar-SA"/>
        </w:rPr>
        <w:t>主要用于</w:t>
      </w:r>
      <w:r>
        <w:rPr>
          <w:rFonts w:hint="default" w:ascii="Times New Roman" w:hAnsi="Times New Roman" w:eastAsia="方正仿宋_GB2312" w:cs="Times New Roman"/>
          <w:b w:val="0"/>
          <w:bCs/>
          <w:sz w:val="32"/>
          <w:szCs w:val="32"/>
        </w:rPr>
        <w:t>公共文化服务免费开放活动下基层组织、指导、创作采风、非遗调研、挖掘等车辆使用、接送机</w:t>
      </w:r>
      <w:r>
        <w:rPr>
          <w:rFonts w:hint="default" w:ascii="Times New Roman" w:hAnsi="Times New Roman" w:eastAsia="方正仿宋_GB2312" w:cs="Times New Roman"/>
          <w:b w:val="0"/>
          <w:bCs/>
          <w:color w:val="auto"/>
          <w:sz w:val="32"/>
          <w:szCs w:val="32"/>
          <w:highlight w:val="none"/>
        </w:rPr>
        <w:t>等所需的公务用车燃料费、维修费、过路过桥费、保险费等支出。</w:t>
      </w:r>
    </w:p>
    <w:p w14:paraId="03D241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3.公务接待费支出0万元，完成预算0%。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公务接待费支出决算比上年度减少0.37万元，下降100%。主要原因是2025年度无公务接待。</w:t>
      </w:r>
    </w:p>
    <w:p w14:paraId="04E7A4E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1"/>
        <w:rPr>
          <w:rStyle w:val="29"/>
          <w:rFonts w:hint="default" w:ascii="Times New Roman" w:hAnsi="Times New Roman" w:eastAsia="黑体" w:cs="Times New Roman"/>
          <w:color w:val="auto"/>
          <w:highlight w:val="none"/>
        </w:rPr>
      </w:pPr>
      <w:bookmarkStart w:id="56" w:name="_Toc15396610"/>
      <w:bookmarkStart w:id="57" w:name="_Toc15377218"/>
      <w:bookmarkStart w:id="58" w:name="_Toc2025"/>
      <w:r>
        <w:rPr>
          <w:rFonts w:hint="default" w:ascii="Times New Roman" w:hAnsi="Times New Roman" w:eastAsia="黑体" w:cs="Times New Roman"/>
          <w:color w:val="auto"/>
          <w:sz w:val="32"/>
          <w:szCs w:val="32"/>
          <w:highlight w:val="none"/>
        </w:rPr>
        <w:t>八、</w:t>
      </w:r>
      <w:r>
        <w:rPr>
          <w:rStyle w:val="29"/>
          <w:rFonts w:hint="default" w:ascii="Times New Roman" w:hAnsi="Times New Roman" w:eastAsia="黑体" w:cs="Times New Roman"/>
          <w:b w:val="0"/>
          <w:color w:val="auto"/>
          <w:highlight w:val="none"/>
        </w:rPr>
        <w:t>政府性基金预算支出决算情况说明</w:t>
      </w:r>
      <w:bookmarkEnd w:id="56"/>
      <w:bookmarkEnd w:id="57"/>
      <w:bookmarkEnd w:id="58"/>
    </w:p>
    <w:p w14:paraId="7BF22EC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政府性基金预算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1EA20C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29"/>
          <w:rFonts w:hint="default" w:ascii="Times New Roman" w:hAnsi="Times New Roman" w:eastAsia="黑体" w:cs="Times New Roman"/>
          <w:b w:val="0"/>
          <w:color w:val="auto"/>
          <w:highlight w:val="none"/>
        </w:rPr>
      </w:pPr>
      <w:bookmarkStart w:id="59" w:name="_Toc15396611"/>
      <w:bookmarkStart w:id="60" w:name="_Toc15377219"/>
      <w:bookmarkStart w:id="61" w:name="_Toc1089"/>
      <w:r>
        <w:rPr>
          <w:rStyle w:val="29"/>
          <w:rFonts w:hint="default" w:ascii="Times New Roman" w:hAnsi="Times New Roman" w:eastAsia="黑体" w:cs="Times New Roman"/>
          <w:b w:val="0"/>
          <w:color w:val="auto"/>
          <w:highlight w:val="none"/>
          <w:lang w:eastAsia="zh-CN"/>
        </w:rPr>
        <w:t>九、</w:t>
      </w:r>
      <w:r>
        <w:rPr>
          <w:rStyle w:val="29"/>
          <w:rFonts w:hint="default" w:ascii="Times New Roman" w:hAnsi="Times New Roman" w:eastAsia="黑体" w:cs="Times New Roman"/>
          <w:b w:val="0"/>
          <w:color w:val="auto"/>
          <w:highlight w:val="none"/>
        </w:rPr>
        <w:t>国有资本经营预算支出决算情况说明</w:t>
      </w:r>
      <w:bookmarkEnd w:id="59"/>
      <w:bookmarkEnd w:id="60"/>
      <w:bookmarkEnd w:id="61"/>
    </w:p>
    <w:p w14:paraId="4774E3F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p>
    <w:p w14:paraId="62AF63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Style w:val="29"/>
          <w:rFonts w:hint="default" w:ascii="Times New Roman" w:hAnsi="Times New Roman" w:eastAsia="黑体" w:cs="Times New Roman"/>
          <w:b w:val="0"/>
          <w:color w:val="auto"/>
          <w:highlight w:val="none"/>
        </w:rPr>
      </w:pPr>
      <w:bookmarkStart w:id="62" w:name="_Toc25135"/>
      <w:bookmarkStart w:id="63" w:name="_Toc15396612"/>
      <w:bookmarkStart w:id="64" w:name="_Toc15377221"/>
      <w:r>
        <w:rPr>
          <w:rStyle w:val="29"/>
          <w:rFonts w:hint="default" w:ascii="Times New Roman" w:hAnsi="Times New Roman" w:eastAsia="黑体" w:cs="Times New Roman"/>
          <w:b w:val="0"/>
          <w:color w:val="auto"/>
          <w:highlight w:val="none"/>
          <w:lang w:eastAsia="zh-CN"/>
        </w:rPr>
        <w:t>十、</w:t>
      </w:r>
      <w:r>
        <w:rPr>
          <w:rStyle w:val="29"/>
          <w:rFonts w:hint="default" w:ascii="Times New Roman" w:hAnsi="Times New Roman" w:eastAsia="黑体" w:cs="Times New Roman"/>
          <w:b w:val="0"/>
          <w:color w:val="auto"/>
          <w:highlight w:val="none"/>
        </w:rPr>
        <w:t>其他重要事项的情况说明</w:t>
      </w:r>
      <w:bookmarkEnd w:id="62"/>
      <w:bookmarkEnd w:id="63"/>
      <w:bookmarkEnd w:id="64"/>
    </w:p>
    <w:p w14:paraId="7887707E">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65" w:name="_Toc15377222"/>
      <w:r>
        <w:rPr>
          <w:rFonts w:hint="default" w:ascii="Times New Roman" w:hAnsi="Times New Roman" w:eastAsia="楷体_GB2312" w:cs="Times New Roman"/>
          <w:b/>
          <w:color w:val="auto"/>
          <w:sz w:val="32"/>
          <w:szCs w:val="32"/>
          <w:highlight w:val="none"/>
        </w:rPr>
        <w:t>（一）机关运行经费支出情况</w:t>
      </w:r>
      <w:bookmarkEnd w:id="65"/>
    </w:p>
    <w:p w14:paraId="79A9FCE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攀枝花市文化馆</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方正仿宋_GB2312" w:cs="Times New Roman"/>
          <w:sz w:val="32"/>
          <w:szCs w:val="32"/>
        </w:rPr>
        <w:t>与202</w:t>
      </w:r>
      <w:r>
        <w:rPr>
          <w:rFonts w:hint="default" w:ascii="Times New Roman" w:hAnsi="Times New Roman" w:eastAsia="方正仿宋_GB2312" w:cs="Times New Roman"/>
          <w:sz w:val="32"/>
          <w:szCs w:val="32"/>
          <w:lang w:val="en-US" w:eastAsia="zh-CN"/>
        </w:rPr>
        <w:t>4</w:t>
      </w:r>
      <w:r>
        <w:rPr>
          <w:rFonts w:hint="default" w:ascii="Times New Roman" w:hAnsi="Times New Roman" w:eastAsia="方正仿宋_GB2312" w:cs="Times New Roman"/>
          <w:sz w:val="32"/>
          <w:szCs w:val="32"/>
        </w:rPr>
        <w:t>年决算数持平。主要原因是攀枝花市文化馆是事业单位，无机关运行经费。</w:t>
      </w:r>
    </w:p>
    <w:p w14:paraId="2BF917B5">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66" w:name="_Toc15377223"/>
      <w:r>
        <w:rPr>
          <w:rFonts w:hint="default" w:ascii="Times New Roman" w:hAnsi="Times New Roman" w:eastAsia="楷体_GB2312" w:cs="Times New Roman"/>
          <w:b/>
          <w:color w:val="auto"/>
          <w:sz w:val="32"/>
          <w:szCs w:val="32"/>
          <w:highlight w:val="none"/>
        </w:rPr>
        <w:t>（二）政府采购支出情况</w:t>
      </w:r>
      <w:bookmarkEnd w:id="66"/>
    </w:p>
    <w:p w14:paraId="1C2123B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攀枝花市文化馆</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1.6</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rPr>
        <w:t>1.6</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方正仿宋_GB2312" w:cs="Times New Roman"/>
          <w:color w:val="auto"/>
          <w:sz w:val="32"/>
          <w:szCs w:val="32"/>
          <w:highlight w:val="none"/>
          <w:lang w:val="en-US" w:eastAsia="zh-CN"/>
        </w:rPr>
        <w:t>公务车维修、加油、车保等费用</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方正仿宋_GB2312" w:cs="Times New Roman"/>
          <w:color w:val="auto"/>
          <w:sz w:val="32"/>
          <w:szCs w:val="32"/>
          <w:highlight w:val="none"/>
          <w:lang w:val="en-US" w:eastAsia="zh-CN"/>
        </w:rPr>
        <w:t>根据有关规定，公务用车维修等需政府采购</w:t>
      </w:r>
      <w:r>
        <w:rPr>
          <w:rFonts w:hint="default" w:ascii="Times New Roman" w:hAnsi="Times New Roman" w:eastAsia="仿宋_GB2312" w:cs="Times New Roman"/>
          <w:color w:val="auto"/>
          <w:kern w:val="2"/>
          <w:sz w:val="32"/>
          <w:szCs w:val="32"/>
          <w:highlight w:val="none"/>
          <w:lang w:val="en-US" w:eastAsia="zh-CN" w:bidi="ar-SA"/>
        </w:rPr>
        <w:t>）。授予中小企业合同金额</w:t>
      </w:r>
      <w:r>
        <w:rPr>
          <w:rFonts w:hint="default" w:ascii="Times New Roman" w:hAnsi="Times New Roman" w:eastAsia="仿宋_GB2312" w:cs="Times New Roman"/>
          <w:sz w:val="32"/>
          <w:szCs w:val="32"/>
        </w:rPr>
        <w:t>1.27</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79.</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sz w:val="32"/>
          <w:szCs w:val="32"/>
        </w:rPr>
        <w:t>1.27</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79.</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color w:val="auto"/>
          <w:kern w:val="2"/>
          <w:sz w:val="32"/>
          <w:szCs w:val="32"/>
          <w:highlight w:val="none"/>
          <w:lang w:val="en-US" w:eastAsia="zh-CN" w:bidi="ar-SA"/>
        </w:rPr>
        <w:t>%。（我单位公务用车维修保养与攀枝花市精驰汽车修理厂签订了车辆维修保养服务合同）</w:t>
      </w:r>
    </w:p>
    <w:p w14:paraId="6D6F7AFA">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67" w:name="_Toc15377224"/>
      <w:r>
        <w:rPr>
          <w:rFonts w:hint="default" w:ascii="Times New Roman" w:hAnsi="Times New Roman" w:eastAsia="楷体_GB2312" w:cs="Times New Roman"/>
          <w:b/>
          <w:color w:val="auto"/>
          <w:sz w:val="32"/>
          <w:szCs w:val="32"/>
          <w:highlight w:val="none"/>
        </w:rPr>
        <w:t>（三）国有资产占有使用情况</w:t>
      </w:r>
      <w:bookmarkEnd w:id="67"/>
    </w:p>
    <w:p w14:paraId="2F8894E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攀枝花市文化馆</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辆，其中：副部（省）级及以上领导用车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辆、执法执勤用车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辆、特种专业技术用车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辆、离退休干部服务用车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辆，其他用车主要是用于</w:t>
      </w:r>
      <w:r>
        <w:rPr>
          <w:rFonts w:hint="default" w:ascii="Times New Roman" w:hAnsi="Times New Roman" w:eastAsia="仿宋_GB2312" w:cs="Times New Roman"/>
          <w:sz w:val="32"/>
          <w:szCs w:val="32"/>
        </w:rPr>
        <w:t>公共文化服务免费开放活动下基层组织、指导、创作采风、非遗调研、挖掘等公务用车燃料费、维修费、过路过桥费、保险费等支出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6262980B">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67CBDCD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cs="Times New Roman"/>
        </w:rPr>
      </w:pPr>
      <w:r>
        <w:rPr>
          <w:rFonts w:hint="default" w:ascii="Times New Roman" w:hAnsi="Times New Roman" w:eastAsia="仿宋_GB2312" w:cs="Times New Roman"/>
          <w:color w:val="auto"/>
          <w:kern w:val="2"/>
          <w:sz w:val="32"/>
          <w:szCs w:val="32"/>
          <w:highlight w:val="none"/>
          <w:lang w:val="en-US" w:eastAsia="zh-CN" w:bidi="ar-SA"/>
        </w:rPr>
        <w:t>根据预算绩效管理要求，我单位在2025年度，组织对</w:t>
      </w:r>
      <w:r>
        <w:rPr>
          <w:rFonts w:hint="default" w:ascii="Times New Roman" w:hAnsi="Times New Roman" w:eastAsia="仿宋_GB2312" w:cs="Times New Roman"/>
          <w:i w:val="0"/>
          <w:caps w:val="0"/>
          <w:color w:val="000000"/>
          <w:spacing w:val="0"/>
          <w:sz w:val="32"/>
          <w:szCs w:val="32"/>
          <w:shd w:val="clear" w:fill="FFFFFF"/>
        </w:rPr>
        <w:t>公共文化服务成本性支出</w:t>
      </w:r>
      <w:r>
        <w:rPr>
          <w:rFonts w:hint="default" w:ascii="Times New Roman" w:hAnsi="Times New Roman" w:eastAsia="仿宋_GB2312" w:cs="Times New Roman"/>
          <w:i w:val="0"/>
          <w:caps w:val="0"/>
          <w:color w:val="000000"/>
          <w:spacing w:val="0"/>
          <w:sz w:val="32"/>
          <w:szCs w:val="32"/>
          <w:shd w:val="clear" w:fill="FFFFFF"/>
          <w:lang w:eastAsia="zh-CN"/>
        </w:rPr>
        <w:t>、</w:t>
      </w:r>
      <w:r>
        <w:rPr>
          <w:rFonts w:hint="default" w:ascii="Times New Roman" w:hAnsi="Times New Roman" w:eastAsia="仿宋_GB2312" w:cs="Times New Roman"/>
          <w:kern w:val="0"/>
          <w:sz w:val="32"/>
          <w:szCs w:val="32"/>
          <w:lang w:val="en-US" w:eastAsia="zh-CN" w:bidi="ar"/>
        </w:rPr>
        <w:t>博物馆、纪念馆免费开放补助和公共美术馆、图书馆、文化馆站免费开放补助（中央）、博物馆、纪念馆免费开放补助和公共美术馆、图书馆、文化馆站免费开放补助（省级）、免费开放市级配套资金、中央支持地方公共文化服务体系建设补助资金</w:t>
      </w:r>
      <w:r>
        <w:rPr>
          <w:rFonts w:hint="default" w:ascii="Times New Roman" w:hAnsi="Times New Roman" w:eastAsia="仿宋_GB2312" w:cs="Times New Roman"/>
          <w:color w:val="auto"/>
          <w:kern w:val="2"/>
          <w:sz w:val="32"/>
          <w:szCs w:val="32"/>
          <w:highlight w:val="none"/>
          <w:lang w:val="en-US" w:eastAsia="zh-CN" w:bidi="ar-SA"/>
        </w:rPr>
        <w:t>等5个项目涉及金额63.62万元开展了事前绩效评估，对5个项目编制了绩效目标</w:t>
      </w:r>
      <w:r>
        <w:rPr>
          <w:rFonts w:hint="eastAsia" w:eastAsia="仿宋_GB2312" w:cs="Times New Roman"/>
          <w:color w:val="auto"/>
          <w:kern w:val="2"/>
          <w:sz w:val="32"/>
          <w:szCs w:val="32"/>
          <w:highlight w:val="none"/>
          <w:lang w:val="en-US" w:eastAsia="zh-CN" w:bidi="ar-SA"/>
        </w:rPr>
        <w:t>，在</w:t>
      </w:r>
      <w:r>
        <w:rPr>
          <w:rFonts w:hint="default" w:ascii="Times New Roman" w:hAnsi="Times New Roman" w:eastAsia="仿宋_GB2312" w:cs="Times New Roman"/>
          <w:color w:val="auto"/>
          <w:kern w:val="2"/>
          <w:sz w:val="32"/>
          <w:szCs w:val="32"/>
          <w:highlight w:val="none"/>
          <w:lang w:val="en-US" w:eastAsia="zh-CN" w:bidi="ar-SA"/>
        </w:rPr>
        <w:t>预算执行过程中，选取5个项目开展绩效监控。</w:t>
      </w:r>
      <w:r>
        <w:rPr>
          <w:rFonts w:hint="default" w:ascii="Times New Roman" w:hAnsi="Times New Roman" w:eastAsia="仿宋_GB2312" w:cs="Times New Roman"/>
          <w:color w:val="auto"/>
          <w:sz w:val="32"/>
          <w:szCs w:val="32"/>
          <w:highlight w:val="none"/>
          <w:lang w:val="en-US" w:eastAsia="zh-CN"/>
        </w:rPr>
        <w:t>绩效自评表详见第四部分附件。</w:t>
      </w:r>
    </w:p>
    <w:p w14:paraId="19BC261E">
      <w:pPr>
        <w:rPr>
          <w:rFonts w:hint="default" w:ascii="Times New Roman" w:hAnsi="Times New Roman" w:eastAsia="仿宋_GB2312" w:cs="Times New Roman"/>
          <w:color w:val="auto"/>
          <w:kern w:val="2"/>
          <w:sz w:val="32"/>
          <w:szCs w:val="32"/>
          <w:highlight w:val="none"/>
          <w:lang w:val="en-US" w:eastAsia="zh-CN" w:bidi="ar-SA"/>
        </w:rPr>
      </w:pPr>
    </w:p>
    <w:p w14:paraId="7914497C">
      <w:pPr>
        <w:pStyle w:val="8"/>
        <w:rPr>
          <w:rFonts w:hint="default" w:ascii="Times New Roman" w:hAnsi="Times New Roman" w:eastAsia="仿宋_GB2312" w:cs="Times New Roman"/>
          <w:color w:val="auto"/>
          <w:kern w:val="2"/>
          <w:sz w:val="32"/>
          <w:szCs w:val="32"/>
          <w:highlight w:val="none"/>
          <w:lang w:val="en-US" w:eastAsia="zh-CN" w:bidi="ar-SA"/>
        </w:rPr>
      </w:pPr>
    </w:p>
    <w:p w14:paraId="14AE8A3C">
      <w:pPr>
        <w:rPr>
          <w:rFonts w:hint="default" w:ascii="Times New Roman" w:hAnsi="Times New Roman" w:eastAsia="仿宋_GB2312" w:cs="Times New Roman"/>
          <w:color w:val="auto"/>
          <w:kern w:val="2"/>
          <w:sz w:val="32"/>
          <w:szCs w:val="32"/>
          <w:highlight w:val="none"/>
          <w:lang w:val="en-US" w:eastAsia="zh-CN" w:bidi="ar-SA"/>
        </w:rPr>
      </w:pPr>
    </w:p>
    <w:p w14:paraId="420BA3F9">
      <w:pPr>
        <w:pStyle w:val="8"/>
        <w:rPr>
          <w:rFonts w:hint="default" w:ascii="Times New Roman" w:hAnsi="Times New Roman" w:eastAsia="仿宋_GB2312" w:cs="Times New Roman"/>
          <w:color w:val="auto"/>
          <w:kern w:val="2"/>
          <w:sz w:val="32"/>
          <w:szCs w:val="32"/>
          <w:highlight w:val="none"/>
          <w:lang w:val="en-US" w:eastAsia="zh-CN" w:bidi="ar-SA"/>
        </w:rPr>
      </w:pPr>
    </w:p>
    <w:p w14:paraId="5F636A58">
      <w:pPr>
        <w:rPr>
          <w:rFonts w:hint="default" w:ascii="Times New Roman" w:hAnsi="Times New Roman" w:eastAsia="仿宋_GB2312" w:cs="Times New Roman"/>
          <w:color w:val="auto"/>
          <w:kern w:val="2"/>
          <w:sz w:val="32"/>
          <w:szCs w:val="32"/>
          <w:highlight w:val="none"/>
          <w:lang w:val="en-US" w:eastAsia="zh-CN" w:bidi="ar-SA"/>
        </w:rPr>
      </w:pPr>
    </w:p>
    <w:p w14:paraId="1DE07FFB">
      <w:pPr>
        <w:pStyle w:val="8"/>
        <w:rPr>
          <w:rFonts w:hint="default" w:ascii="Times New Roman" w:hAnsi="Times New Roman" w:eastAsia="仿宋_GB2312" w:cs="Times New Roman"/>
          <w:color w:val="auto"/>
          <w:kern w:val="2"/>
          <w:sz w:val="32"/>
          <w:szCs w:val="32"/>
          <w:highlight w:val="none"/>
          <w:lang w:val="en-US" w:eastAsia="zh-CN" w:bidi="ar-SA"/>
        </w:rPr>
      </w:pPr>
    </w:p>
    <w:p w14:paraId="6BEF5B45">
      <w:pPr>
        <w:rPr>
          <w:rFonts w:hint="default" w:ascii="Times New Roman" w:hAnsi="Times New Roman" w:cs="Times New Roman"/>
          <w:lang w:val="en-US" w:eastAsia="zh-CN"/>
        </w:rPr>
      </w:pPr>
    </w:p>
    <w:p w14:paraId="2DB9407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p>
    <w:p w14:paraId="53E2A63E">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bookmarkStart w:id="68" w:name="_Toc15396613"/>
      <w:bookmarkStart w:id="69" w:name="_Toc15377225"/>
    </w:p>
    <w:p w14:paraId="34693554">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49ADDE8A">
      <w:pPr>
        <w:numPr>
          <w:ilvl w:val="0"/>
          <w:numId w:val="0"/>
        </w:numPr>
        <w:spacing w:line="600" w:lineRule="exact"/>
        <w:jc w:val="center"/>
        <w:outlineLvl w:val="0"/>
        <w:rPr>
          <w:rFonts w:hint="default" w:ascii="Times New Roman" w:hAnsi="Times New Roman" w:eastAsia="黑体" w:cs="Times New Roman"/>
          <w:color w:val="auto"/>
          <w:sz w:val="44"/>
          <w:szCs w:val="44"/>
          <w:highlight w:val="none"/>
        </w:rPr>
      </w:pPr>
    </w:p>
    <w:p w14:paraId="5B4B2A80">
      <w:pPr>
        <w:keepNext w:val="0"/>
        <w:keepLines w:val="0"/>
        <w:pageBreakBefore w:val="0"/>
        <w:widowControl w:val="0"/>
        <w:numPr>
          <w:ilvl w:val="0"/>
          <w:numId w:val="0"/>
        </w:numPr>
        <w:kinsoku/>
        <w:wordWrap/>
        <w:overflowPunct/>
        <w:topLinePunct w:val="0"/>
        <w:bidi w:val="0"/>
        <w:snapToGrid/>
        <w:spacing w:line="240" w:lineRule="auto"/>
        <w:ind w:firstLine="880" w:firstLineChars="200"/>
        <w:jc w:val="center"/>
        <w:textAlignment w:val="auto"/>
        <w:outlineLvl w:val="0"/>
        <w:rPr>
          <w:rFonts w:hint="default" w:ascii="Times New Roman" w:hAnsi="Times New Roman" w:eastAsia="方正小标宋简体" w:cs="Times New Roman"/>
          <w:sz w:val="44"/>
          <w:szCs w:val="44"/>
        </w:rPr>
      </w:pPr>
      <w:bookmarkStart w:id="70" w:name="_Toc10802"/>
    </w:p>
    <w:p w14:paraId="447C1685">
      <w:pPr>
        <w:keepNext w:val="0"/>
        <w:keepLines w:val="0"/>
        <w:pageBreakBefore w:val="0"/>
        <w:widowControl w:val="0"/>
        <w:numPr>
          <w:ilvl w:val="0"/>
          <w:numId w:val="0"/>
        </w:numPr>
        <w:kinsoku/>
        <w:wordWrap/>
        <w:overflowPunct/>
        <w:topLinePunct w:val="0"/>
        <w:bidi w:val="0"/>
        <w:snapToGrid/>
        <w:spacing w:line="240" w:lineRule="auto"/>
        <w:ind w:firstLine="880" w:firstLineChars="200"/>
        <w:jc w:val="center"/>
        <w:textAlignment w:val="auto"/>
        <w:outlineLvl w:val="0"/>
        <w:rPr>
          <w:rFonts w:hint="default" w:ascii="Times New Roman" w:hAnsi="Times New Roman" w:eastAsia="方正小标宋简体" w:cs="Times New Roman"/>
          <w:sz w:val="44"/>
          <w:szCs w:val="44"/>
        </w:rPr>
      </w:pPr>
    </w:p>
    <w:p w14:paraId="74FEB458">
      <w:pPr>
        <w:keepNext w:val="0"/>
        <w:keepLines w:val="0"/>
        <w:pageBreakBefore w:val="0"/>
        <w:widowControl w:val="0"/>
        <w:numPr>
          <w:ilvl w:val="0"/>
          <w:numId w:val="0"/>
        </w:numPr>
        <w:kinsoku/>
        <w:wordWrap/>
        <w:overflowPunct/>
        <w:topLinePunct w:val="0"/>
        <w:bidi w:val="0"/>
        <w:snapToGrid/>
        <w:spacing w:line="240" w:lineRule="auto"/>
        <w:ind w:firstLine="880" w:firstLineChars="200"/>
        <w:jc w:val="center"/>
        <w:textAlignment w:val="auto"/>
        <w:outlineLvl w:val="0"/>
        <w:rPr>
          <w:rFonts w:hint="default" w:ascii="Times New Roman" w:hAnsi="Times New Roman" w:eastAsia="方正小标宋简体" w:cs="Times New Roman"/>
          <w:sz w:val="44"/>
          <w:szCs w:val="44"/>
        </w:rPr>
      </w:pPr>
    </w:p>
    <w:p w14:paraId="62E60419">
      <w:pPr>
        <w:keepNext w:val="0"/>
        <w:keepLines w:val="0"/>
        <w:pageBreakBefore w:val="0"/>
        <w:widowControl w:val="0"/>
        <w:numPr>
          <w:ilvl w:val="0"/>
          <w:numId w:val="0"/>
        </w:numPr>
        <w:kinsoku/>
        <w:wordWrap/>
        <w:overflowPunct/>
        <w:topLinePunct w:val="0"/>
        <w:bidi w:val="0"/>
        <w:snapToGrid/>
        <w:spacing w:line="240" w:lineRule="auto"/>
        <w:ind w:firstLine="880" w:firstLineChars="200"/>
        <w:jc w:val="center"/>
        <w:textAlignment w:val="auto"/>
        <w:outlineLvl w:val="0"/>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eastAsia="zh-CN"/>
        </w:rPr>
        <w:t>三</w:t>
      </w:r>
      <w:r>
        <w:rPr>
          <w:rFonts w:hint="default" w:ascii="Times New Roman" w:hAnsi="Times New Roman" w:eastAsia="方正小标宋简体" w:cs="Times New Roman"/>
          <w:sz w:val="44"/>
          <w:szCs w:val="44"/>
        </w:rPr>
        <w:t>部分</w:t>
      </w:r>
      <w:r>
        <w:rPr>
          <w:rFonts w:hint="default" w:ascii="Times New Roman" w:hAnsi="Times New Roman" w:eastAsia="方正小标宋简体" w:cs="Times New Roman"/>
          <w:sz w:val="44"/>
          <w:szCs w:val="44"/>
          <w:lang w:val="en-US" w:eastAsia="zh-CN"/>
        </w:rPr>
        <w:t xml:space="preserve">  </w:t>
      </w:r>
      <w:r>
        <w:rPr>
          <w:rFonts w:hint="default" w:ascii="Times New Roman" w:hAnsi="Times New Roman" w:eastAsia="方正小标宋简体" w:cs="Times New Roman"/>
          <w:sz w:val="44"/>
          <w:szCs w:val="44"/>
        </w:rPr>
        <w:t>名词解释</w:t>
      </w:r>
      <w:bookmarkEnd w:id="68"/>
      <w:bookmarkEnd w:id="69"/>
      <w:bookmarkEnd w:id="70"/>
    </w:p>
    <w:p w14:paraId="41C0D5EA">
      <w:pPr>
        <w:keepNext w:val="0"/>
        <w:keepLines w:val="0"/>
        <w:pageBreakBefore w:val="0"/>
        <w:widowControl w:val="0"/>
        <w:kinsoku/>
        <w:wordWrap/>
        <w:overflowPunct/>
        <w:topLinePunct w:val="0"/>
        <w:bidi w:val="0"/>
        <w:snapToGrid/>
        <w:spacing w:line="240" w:lineRule="auto"/>
        <w:ind w:firstLine="643" w:firstLineChars="200"/>
        <w:jc w:val="left"/>
        <w:textAlignment w:val="auto"/>
        <w:rPr>
          <w:rFonts w:hint="default" w:ascii="Times New Roman" w:hAnsi="Times New Roman" w:eastAsia="仿宋_GB2312" w:cs="Times New Roman"/>
          <w:b/>
          <w:color w:val="auto"/>
          <w:sz w:val="32"/>
          <w:szCs w:val="32"/>
          <w:highlight w:val="none"/>
        </w:rPr>
      </w:pPr>
    </w:p>
    <w:p w14:paraId="5C3AD6C0">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79B4A67F">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sz w:val="32"/>
          <w:szCs w:val="32"/>
        </w:rPr>
        <w:t>年初结转和结余：指以前年度尚未完成、结转到本年按有关规定继续使用的资金。</w:t>
      </w:r>
    </w:p>
    <w:p w14:paraId="59A46C6C">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color w:val="auto"/>
          <w:sz w:val="32"/>
          <w:szCs w:val="32"/>
          <w:highlight w:val="none"/>
        </w:rPr>
        <w:t>年末结转和结余：指单位按有关规定结转到下年或以后年度继续使用的资金。</w:t>
      </w:r>
    </w:p>
    <w:p w14:paraId="50BDB347">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sz w:val="32"/>
          <w:szCs w:val="32"/>
        </w:rPr>
        <w:t>文化旅游体育与传媒支出（类）文化和旅游（款）群众文化（项）：反映群众文化方面的支出，包括基层文化馆（站）、群众艺术馆支出等。</w:t>
      </w:r>
    </w:p>
    <w:p w14:paraId="31F5FDCF">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sz w:val="32"/>
          <w:szCs w:val="32"/>
        </w:rPr>
        <w:t>文化旅游体育与传媒支出（类）文化和旅游（款）其他文化和旅游支出（项）：反映除上述项目以外其他用于文化和旅游方面的支出。</w:t>
      </w:r>
    </w:p>
    <w:p w14:paraId="06962296">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sz w:val="32"/>
          <w:szCs w:val="32"/>
        </w:rPr>
        <w:t>文化旅游体育与传媒支出（类）其他文化旅游体育与传媒支出（款）其他文化旅游体育与传媒支出（项）：反映除上述项目以外用于其他文化旅游体育与传媒方面的支出。</w:t>
      </w:r>
    </w:p>
    <w:p w14:paraId="3F73A836">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社会保障和就业支出（类）人力资源和社会保障管理事务（款）其他人力资源和社会保障管理事务支出（项）：反映除上述项目以外其他用于社会保障和就业方面的支出。</w:t>
      </w:r>
    </w:p>
    <w:p w14:paraId="790B6583">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社会保障和就业支出（类）行政事业单位养老支出（款）</w:t>
      </w:r>
      <w:r>
        <w:rPr>
          <w:rFonts w:hint="default" w:ascii="Times New Roman" w:hAnsi="Times New Roman" w:eastAsia="仿宋_GB2312" w:cs="Times New Roman"/>
          <w:sz w:val="32"/>
          <w:szCs w:val="32"/>
          <w:lang w:eastAsia="zh-CN"/>
        </w:rPr>
        <w:t>事业</w:t>
      </w:r>
      <w:r>
        <w:rPr>
          <w:rFonts w:hint="default" w:ascii="Times New Roman" w:hAnsi="Times New Roman" w:eastAsia="仿宋_GB2312" w:cs="Times New Roman"/>
          <w:sz w:val="32"/>
          <w:szCs w:val="32"/>
        </w:rPr>
        <w:t>单位离退休（项）：反映事业单位开支的离退休经费。</w:t>
      </w:r>
    </w:p>
    <w:p w14:paraId="7C8FF78C">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社会保障和就业支出（类）行政事业单位养老支出（款）机关事业单位基本养老保险缴费支出（项）：反映机关事业单位实施养老保险制度由单位缴纳的基本养老保险费支出。</w:t>
      </w:r>
    </w:p>
    <w:p w14:paraId="3491365A">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卫生健康支出（类）行政事业单位医疗（款）事业单位医疗（项）：反映财政部门安排的事业单位基本医疗保险缴费经费，未参加医疗保险的事业单位的公费医疗经费，按国家规定享受离休人员待遇的医疗经费。</w:t>
      </w:r>
    </w:p>
    <w:p w14:paraId="3CD95E0A">
      <w:pPr>
        <w:pStyle w:val="8"/>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11.卫生健康支出（类）行政事业单位医疗（款）公务员医疗补助（项）：反映财政部门安排的公务员医疗补助经费。</w:t>
      </w:r>
    </w:p>
    <w:p w14:paraId="03936B02">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住房保障支出（类）住房改革支出（款）住房公积金（项）：反映行政事业单位按人力资源和社会保障部、财政部规定的基本工资和津贴补贴以及规定比例为职工缴纳的住房公积金。</w:t>
      </w:r>
    </w:p>
    <w:p w14:paraId="14E06BC5">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基本支出：指为保障机构正常运转、完成日常工作任务而发生的人员支出和公用支出。</w:t>
      </w:r>
    </w:p>
    <w:p w14:paraId="3B217AB8">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项目支出：指在基本支出之外为完成特定行政任务和事业发展目标所发生的支出。</w:t>
      </w:r>
    </w:p>
    <w:p w14:paraId="40C591AA">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color w:val="auto"/>
          <w:sz w:val="32"/>
          <w:szCs w:val="32"/>
          <w:highlight w:val="none"/>
          <w:lang w:val="en-US" w:eastAsia="zh-CN"/>
        </w:rPr>
        <w:t>工资福利支出：反映单位开支的在职职工和编制外长期聘用人员的各类劳动报酬，以及为上述人员缴纳的各项社会保险费等</w:t>
      </w:r>
      <w:r>
        <w:rPr>
          <w:rFonts w:hint="default" w:ascii="Times New Roman" w:hAnsi="Times New Roman" w:eastAsia="仿宋_GB2312" w:cs="Times New Roman"/>
          <w:sz w:val="32"/>
          <w:szCs w:val="32"/>
        </w:rPr>
        <w:t>。</w:t>
      </w:r>
    </w:p>
    <w:p w14:paraId="5A225910">
      <w:pPr>
        <w:pStyle w:val="26"/>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16.商品和服务支出：反映单位购买商品和服务的支出，不包括用于购置固定资产、战略性和应急性物资储备等资本性支出</w:t>
      </w:r>
      <w:r>
        <w:rPr>
          <w:rFonts w:hint="default" w:ascii="Times New Roman" w:hAnsi="Times New Roman" w:eastAsia="仿宋_GB2312" w:cs="Times New Roman"/>
          <w:color w:val="auto"/>
          <w:sz w:val="32"/>
          <w:szCs w:val="32"/>
          <w:highlight w:val="none"/>
        </w:rPr>
        <w:t>。</w:t>
      </w:r>
    </w:p>
    <w:p w14:paraId="3FA92C20">
      <w:pPr>
        <w:pStyle w:val="26"/>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17.对个人和家庭的补助：反映政府用于对个人和家庭的补助支出。</w:t>
      </w:r>
    </w:p>
    <w:p w14:paraId="5E4B6BE2">
      <w:pPr>
        <w:pStyle w:val="26"/>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r>
        <w:rPr>
          <w:rFonts w:hint="default" w:ascii="Times New Roman" w:hAnsi="Times New Roman" w:eastAsia="仿宋_GB2312" w:cs="Times New Roman"/>
          <w:color w:val="auto"/>
          <w:sz w:val="32"/>
          <w:szCs w:val="32"/>
          <w:highlight w:val="none"/>
          <w:lang w:val="en-US" w:eastAsia="zh-CN"/>
        </w:rPr>
        <w:t>。</w:t>
      </w:r>
    </w:p>
    <w:p w14:paraId="3B2EE7D2">
      <w:pPr>
        <w:pStyle w:val="26"/>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19.</w:t>
      </w:r>
      <w:r>
        <w:rPr>
          <w:rFonts w:hint="default" w:ascii="Times New Roman" w:hAnsi="Times New Roman" w:eastAsia="仿宋_GB2312" w:cs="Times New Roman"/>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default" w:ascii="Times New Roman" w:hAnsi="Times New Roman" w:eastAsia="仿宋_GB2312" w:cs="Times New Roman"/>
          <w:color w:val="auto"/>
          <w:sz w:val="32"/>
          <w:szCs w:val="32"/>
          <w:highlight w:val="none"/>
          <w:lang w:val="en-US" w:eastAsia="zh-CN"/>
        </w:rPr>
        <w:t>。</w:t>
      </w:r>
    </w:p>
    <w:p w14:paraId="29F91B8A">
      <w:pPr>
        <w:spacing w:line="600" w:lineRule="exact"/>
        <w:jc w:val="center"/>
        <w:rPr>
          <w:rStyle w:val="28"/>
          <w:rFonts w:hint="default" w:ascii="Times New Roman" w:hAnsi="Times New Roman" w:eastAsia="方正小标宋简体" w:cs="Times New Roman"/>
          <w:b w:val="0"/>
          <w:color w:val="auto"/>
          <w:highlight w:val="none"/>
          <w:lang w:eastAsia="zh-CN"/>
        </w:rPr>
      </w:pPr>
      <w:bookmarkStart w:id="71"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72" w:name="_Toc15396614"/>
      <w:r>
        <w:rPr>
          <w:rFonts w:hint="default" w:ascii="Times New Roman" w:hAnsi="Times New Roman" w:eastAsia="方正小标宋简体" w:cs="Times New Roman"/>
          <w:sz w:val="44"/>
          <w:szCs w:val="44"/>
        </w:rPr>
        <w:t>第四部分</w:t>
      </w:r>
      <w:r>
        <w:rPr>
          <w:rFonts w:hint="default" w:ascii="Times New Roman" w:hAnsi="Times New Roman" w:eastAsia="方正小标宋简体" w:cs="Times New Roman"/>
          <w:sz w:val="44"/>
          <w:szCs w:val="44"/>
          <w:lang w:val="en-US" w:eastAsia="zh-CN"/>
        </w:rPr>
        <w:t xml:space="preserve"> </w:t>
      </w:r>
      <w:r>
        <w:rPr>
          <w:rFonts w:hint="default" w:ascii="Times New Roman" w:hAnsi="Times New Roman" w:eastAsia="方正小标宋简体" w:cs="Times New Roman"/>
          <w:sz w:val="44"/>
          <w:szCs w:val="44"/>
        </w:rPr>
        <w:t xml:space="preserve"> 附件</w:t>
      </w:r>
      <w:bookmarkEnd w:id="72"/>
    </w:p>
    <w:p w14:paraId="73500368">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FF0000"/>
          <w:sz w:val="32"/>
          <w:szCs w:val="32"/>
          <w:highlight w:val="none"/>
        </w:rPr>
      </w:pPr>
    </w:p>
    <w:p w14:paraId="5215A3AB">
      <w:pPr>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部门预算项目支出绩效自评表（202</w:t>
      </w:r>
      <w:r>
        <w:rPr>
          <w:rFonts w:hint="default" w:ascii="Times New Roman" w:hAnsi="Times New Roman" w:eastAsia="方正仿宋_GB2312" w:cs="Times New Roman"/>
          <w:sz w:val="32"/>
          <w:szCs w:val="32"/>
          <w:lang w:val="en-US" w:eastAsia="zh-CN"/>
        </w:rPr>
        <w:t>5</w:t>
      </w:r>
      <w:r>
        <w:rPr>
          <w:rFonts w:hint="default" w:ascii="Times New Roman" w:hAnsi="Times New Roman" w:eastAsia="方正仿宋_GB2312" w:cs="Times New Roman"/>
          <w:sz w:val="32"/>
          <w:szCs w:val="32"/>
        </w:rPr>
        <w:t>年度）见附件3。</w:t>
      </w:r>
    </w:p>
    <w:p w14:paraId="4F80C720">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sz w:val="32"/>
          <w:szCs w:val="32"/>
          <w:highlight w:val="yellow"/>
          <w:lang w:val="zh-CN" w:eastAsia="zh-CN"/>
        </w:rPr>
      </w:pPr>
    </w:p>
    <w:p w14:paraId="26CCE523">
      <w:pPr>
        <w:pStyle w:val="8"/>
        <w:rPr>
          <w:rFonts w:hint="default" w:ascii="Times New Roman" w:hAnsi="Times New Roman" w:cs="Times New Roman"/>
          <w:color w:val="FF0000"/>
          <w:kern w:val="0"/>
          <w:sz w:val="32"/>
          <w:szCs w:val="32"/>
          <w:highlight w:val="yellow"/>
          <w:shd w:val="clear" w:color="auto" w:fill="FFFFFF"/>
          <w:lang w:val="zh-CN"/>
        </w:rPr>
      </w:pPr>
    </w:p>
    <w:p w14:paraId="0A8C20CF">
      <w:pPr>
        <w:jc w:val="center"/>
        <w:rPr>
          <w:rFonts w:hint="default" w:ascii="Times New Roman" w:hAnsi="Times New Roman" w:eastAsia="方正小标宋简体" w:cs="Times New Roman"/>
          <w:sz w:val="44"/>
          <w:szCs w:val="44"/>
        </w:rPr>
      </w:pPr>
      <w:bookmarkStart w:id="73" w:name="_Toc15396618"/>
      <w:r>
        <w:rPr>
          <w:rFonts w:hint="default" w:ascii="Times New Roman" w:hAnsi="Times New Roman" w:eastAsia="仿宋_GB2312" w:cs="Times New Roman"/>
          <w:b w:val="0"/>
          <w:bCs w:val="0"/>
          <w:kern w:val="0"/>
          <w:position w:val="0"/>
          <w:sz w:val="32"/>
          <w:szCs w:val="32"/>
          <w:highlight w:val="none"/>
          <w:lang w:val="en-US" w:eastAsia="zh-CN" w:bidi="ar-SA"/>
        </w:rPr>
        <w:br w:type="page"/>
      </w:r>
      <w:r>
        <w:rPr>
          <w:rFonts w:hint="default" w:ascii="Times New Roman" w:hAnsi="Times New Roman" w:eastAsia="方正小标宋简体" w:cs="Times New Roman"/>
          <w:sz w:val="44"/>
          <w:szCs w:val="44"/>
        </w:rPr>
        <w:t>第五部分 附表</w:t>
      </w:r>
      <w:bookmarkEnd w:id="71"/>
      <w:bookmarkEnd w:id="73"/>
      <w:bookmarkStart w:id="74" w:name="_Toc15396619"/>
    </w:p>
    <w:p w14:paraId="77D147A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bookmarkEnd w:id="74"/>
    <w:p w14:paraId="647F828A">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p>
    <w:p w14:paraId="5E3ADD44">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75" w:name="_Toc15396620"/>
      <w:r>
        <w:rPr>
          <w:rFonts w:hint="default" w:ascii="Times New Roman" w:hAnsi="Times New Roman" w:eastAsia="仿宋_GB2312" w:cs="Times New Roman"/>
          <w:sz w:val="32"/>
          <w:szCs w:val="32"/>
        </w:rPr>
        <w:t>二、收入决算表</w:t>
      </w:r>
      <w:bookmarkEnd w:id="75"/>
    </w:p>
    <w:p w14:paraId="6566C327">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76" w:name="_Toc15396621"/>
      <w:r>
        <w:rPr>
          <w:rFonts w:hint="default" w:ascii="Times New Roman" w:hAnsi="Times New Roman" w:eastAsia="仿宋_GB2312" w:cs="Times New Roman"/>
          <w:sz w:val="32"/>
          <w:szCs w:val="32"/>
        </w:rPr>
        <w:t>三、支出决算表</w:t>
      </w:r>
      <w:bookmarkEnd w:id="76"/>
    </w:p>
    <w:p w14:paraId="3C483E80">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77" w:name="_Toc15396622"/>
      <w:r>
        <w:rPr>
          <w:rFonts w:hint="default" w:ascii="Times New Roman" w:hAnsi="Times New Roman" w:eastAsia="仿宋_GB2312" w:cs="Times New Roman"/>
          <w:sz w:val="32"/>
          <w:szCs w:val="32"/>
        </w:rPr>
        <w:t>四、财政拨款收入支出决算总表</w:t>
      </w:r>
      <w:bookmarkEnd w:id="77"/>
    </w:p>
    <w:p w14:paraId="5E33E422">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78" w:name="_Toc15396623"/>
      <w:r>
        <w:rPr>
          <w:rFonts w:hint="default" w:ascii="Times New Roman" w:hAnsi="Times New Roman" w:eastAsia="仿宋_GB2312" w:cs="Times New Roman"/>
          <w:sz w:val="32"/>
          <w:szCs w:val="32"/>
        </w:rPr>
        <w:t>五、财政拨款支出决算明细表</w:t>
      </w:r>
      <w:bookmarkEnd w:id="78"/>
      <w:bookmarkStart w:id="79" w:name="_Toc15396624"/>
    </w:p>
    <w:p w14:paraId="3E9B702B">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79"/>
    </w:p>
    <w:p w14:paraId="6DAE0911">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80" w:name="_Toc15396625"/>
      <w:r>
        <w:rPr>
          <w:rFonts w:hint="default" w:ascii="Times New Roman" w:hAnsi="Times New Roman" w:eastAsia="仿宋_GB2312" w:cs="Times New Roman"/>
          <w:sz w:val="32"/>
          <w:szCs w:val="32"/>
        </w:rPr>
        <w:t>七、一般公共预算财政拨款支出决算明细表</w:t>
      </w:r>
      <w:bookmarkEnd w:id="80"/>
    </w:p>
    <w:p w14:paraId="0029D64B">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81" w:name="_Toc15396626"/>
      <w:r>
        <w:rPr>
          <w:rFonts w:hint="default" w:ascii="Times New Roman" w:hAnsi="Times New Roman" w:eastAsia="仿宋_GB2312" w:cs="Times New Roman"/>
          <w:sz w:val="32"/>
          <w:szCs w:val="32"/>
        </w:rPr>
        <w:t>八、一般公共预算财政拨款基本支出决算表</w:t>
      </w:r>
      <w:bookmarkEnd w:id="81"/>
    </w:p>
    <w:p w14:paraId="69BF32EF">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82" w:name="_Toc15396627"/>
      <w:r>
        <w:rPr>
          <w:rFonts w:hint="default" w:ascii="Times New Roman" w:hAnsi="Times New Roman" w:eastAsia="仿宋_GB2312" w:cs="Times New Roman"/>
          <w:sz w:val="32"/>
          <w:szCs w:val="32"/>
        </w:rPr>
        <w:t>九、一般公共预算财政拨款项目支出决算表</w:t>
      </w:r>
      <w:bookmarkEnd w:id="82"/>
    </w:p>
    <w:p w14:paraId="318BAF78">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83" w:name="_Toc15396628"/>
      <w:r>
        <w:rPr>
          <w:rFonts w:hint="default" w:ascii="Times New Roman" w:hAnsi="Times New Roman" w:eastAsia="仿宋_GB2312" w:cs="Times New Roman"/>
          <w:sz w:val="32"/>
          <w:szCs w:val="32"/>
        </w:rPr>
        <w:t>十、</w:t>
      </w:r>
      <w:bookmarkEnd w:id="83"/>
      <w:r>
        <w:rPr>
          <w:rFonts w:hint="default" w:ascii="Times New Roman" w:hAnsi="Times New Roman" w:eastAsia="仿宋_GB2312" w:cs="Times New Roman"/>
          <w:sz w:val="32"/>
          <w:szCs w:val="32"/>
        </w:rPr>
        <w:t>政府性基金预算财政拨款收入支出决算表</w:t>
      </w:r>
    </w:p>
    <w:p w14:paraId="10F236E9">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84" w:name="_Toc15396629"/>
      <w:r>
        <w:rPr>
          <w:rFonts w:hint="default" w:ascii="Times New Roman" w:hAnsi="Times New Roman" w:eastAsia="仿宋_GB2312" w:cs="Times New Roman"/>
          <w:sz w:val="32"/>
          <w:szCs w:val="32"/>
        </w:rPr>
        <w:t>十一、</w:t>
      </w:r>
      <w:bookmarkEnd w:id="84"/>
      <w:r>
        <w:rPr>
          <w:rFonts w:hint="default" w:ascii="Times New Roman" w:hAnsi="Times New Roman" w:eastAsia="仿宋_GB2312" w:cs="Times New Roman"/>
          <w:sz w:val="32"/>
          <w:szCs w:val="32"/>
        </w:rPr>
        <w:t>国有资本经营预算财政拨款收入支出决算表</w:t>
      </w:r>
    </w:p>
    <w:p w14:paraId="42591514">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85" w:name="_Toc15396630"/>
      <w:r>
        <w:rPr>
          <w:rFonts w:hint="default" w:ascii="Times New Roman" w:hAnsi="Times New Roman" w:eastAsia="仿宋_GB2312" w:cs="Times New Roman"/>
          <w:sz w:val="32"/>
          <w:szCs w:val="32"/>
        </w:rPr>
        <w:t>十二、</w:t>
      </w:r>
      <w:bookmarkEnd w:id="85"/>
      <w:r>
        <w:rPr>
          <w:rFonts w:hint="default" w:ascii="Times New Roman" w:hAnsi="Times New Roman" w:eastAsia="仿宋_GB2312" w:cs="Times New Roman"/>
          <w:sz w:val="32"/>
          <w:szCs w:val="32"/>
        </w:rPr>
        <w:t>国有资本经营预算财政拨款支出决算表</w:t>
      </w:r>
    </w:p>
    <w:p w14:paraId="1BC83982">
      <w:pPr>
        <w:pStyle w:val="14"/>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仿宋_GB2312" w:cs="Times New Roman"/>
          <w:sz w:val="32"/>
          <w:szCs w:val="32"/>
        </w:rPr>
      </w:pPr>
      <w:bookmarkStart w:id="86" w:name="_Toc15396631"/>
      <w:r>
        <w:rPr>
          <w:rFonts w:hint="default" w:ascii="Times New Roman" w:hAnsi="Times New Roman" w:eastAsia="仿宋_GB2312" w:cs="Times New Roman"/>
          <w:sz w:val="32"/>
          <w:szCs w:val="32"/>
        </w:rPr>
        <w:t>十三、</w:t>
      </w:r>
      <w:bookmarkEnd w:id="86"/>
      <w:r>
        <w:rPr>
          <w:rFonts w:hint="default" w:ascii="Times New Roman" w:hAnsi="Times New Roman" w:eastAsia="仿宋_GB2312" w:cs="Times New Roman"/>
          <w:sz w:val="32"/>
          <w:szCs w:val="32"/>
        </w:rPr>
        <w:t>财政拨款“三公”经费支出决算表</w:t>
      </w:r>
    </w:p>
    <w:p w14:paraId="657C6BF2">
      <w:pPr>
        <w:keepNext w:val="0"/>
        <w:keepLines w:val="0"/>
        <w:pageBreakBefore w:val="0"/>
        <w:widowControl w:val="0"/>
        <w:kinsoku/>
        <w:wordWrap/>
        <w:overflowPunct/>
        <w:topLinePunct w:val="0"/>
        <w:autoSpaceDE/>
        <w:autoSpaceDN/>
        <w:bidi w:val="0"/>
        <w:spacing w:line="480" w:lineRule="auto"/>
        <w:ind w:firstLine="640" w:firstLineChars="200"/>
        <w:textAlignment w:val="auto"/>
        <w:rPr>
          <w:rFonts w:hint="default" w:ascii="Times New Roman" w:hAnsi="Times New Roman" w:cs="Times New Roman"/>
          <w:sz w:val="32"/>
          <w:szCs w:val="32"/>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BEB48">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8373F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D8373F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6944517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E4441">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6CA0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456CA0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C5439">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3060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5A3060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62010116">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1E2A8">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E8BE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49E8BE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5E214">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84AB1"/>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455F4E"/>
    <w:rsid w:val="056648A0"/>
    <w:rsid w:val="05716C82"/>
    <w:rsid w:val="05EA3277"/>
    <w:rsid w:val="061E35DE"/>
    <w:rsid w:val="06633895"/>
    <w:rsid w:val="066E0107"/>
    <w:rsid w:val="07996F6E"/>
    <w:rsid w:val="07DFD8BA"/>
    <w:rsid w:val="080E028F"/>
    <w:rsid w:val="08DB07E4"/>
    <w:rsid w:val="09867E8F"/>
    <w:rsid w:val="0A2032A3"/>
    <w:rsid w:val="0A28062D"/>
    <w:rsid w:val="0C6C4794"/>
    <w:rsid w:val="0CA8290A"/>
    <w:rsid w:val="0D35B1ED"/>
    <w:rsid w:val="0DE07E2B"/>
    <w:rsid w:val="0E2755DC"/>
    <w:rsid w:val="0E63310F"/>
    <w:rsid w:val="0F677D8B"/>
    <w:rsid w:val="0F98263C"/>
    <w:rsid w:val="101860EC"/>
    <w:rsid w:val="10C055FF"/>
    <w:rsid w:val="10E94B27"/>
    <w:rsid w:val="115B08EB"/>
    <w:rsid w:val="11772AA4"/>
    <w:rsid w:val="118107EC"/>
    <w:rsid w:val="11E43A88"/>
    <w:rsid w:val="12FD333D"/>
    <w:rsid w:val="13957196"/>
    <w:rsid w:val="13D50BC4"/>
    <w:rsid w:val="14022904"/>
    <w:rsid w:val="14FB6677"/>
    <w:rsid w:val="150C2D67"/>
    <w:rsid w:val="152F2A07"/>
    <w:rsid w:val="159416C1"/>
    <w:rsid w:val="15C74AA0"/>
    <w:rsid w:val="165E0673"/>
    <w:rsid w:val="16BB723D"/>
    <w:rsid w:val="16F13FCB"/>
    <w:rsid w:val="183567E4"/>
    <w:rsid w:val="186504BB"/>
    <w:rsid w:val="1938089F"/>
    <w:rsid w:val="19A445FC"/>
    <w:rsid w:val="1AB70783"/>
    <w:rsid w:val="1B7D550C"/>
    <w:rsid w:val="1BE8440E"/>
    <w:rsid w:val="1D155CEE"/>
    <w:rsid w:val="1D9F024F"/>
    <w:rsid w:val="1DE178F3"/>
    <w:rsid w:val="1E740ACF"/>
    <w:rsid w:val="1F065E3B"/>
    <w:rsid w:val="1FF35744"/>
    <w:rsid w:val="1FF6BC77"/>
    <w:rsid w:val="20F546B7"/>
    <w:rsid w:val="21962A9E"/>
    <w:rsid w:val="21AE7C77"/>
    <w:rsid w:val="22BC3C41"/>
    <w:rsid w:val="22FF42F9"/>
    <w:rsid w:val="23860B96"/>
    <w:rsid w:val="240371BF"/>
    <w:rsid w:val="25E00653"/>
    <w:rsid w:val="260F557C"/>
    <w:rsid w:val="2733600E"/>
    <w:rsid w:val="27447DCA"/>
    <w:rsid w:val="281408E2"/>
    <w:rsid w:val="29FD04D3"/>
    <w:rsid w:val="2BFF7BC6"/>
    <w:rsid w:val="2C8A61B5"/>
    <w:rsid w:val="2CA1063F"/>
    <w:rsid w:val="2D2E01CF"/>
    <w:rsid w:val="2D6738C0"/>
    <w:rsid w:val="2DF04E50"/>
    <w:rsid w:val="2E9545B0"/>
    <w:rsid w:val="2F040D46"/>
    <w:rsid w:val="2FAE5751"/>
    <w:rsid w:val="2FB1A395"/>
    <w:rsid w:val="2FD9A7D8"/>
    <w:rsid w:val="315133BD"/>
    <w:rsid w:val="319F7F4E"/>
    <w:rsid w:val="321B2544"/>
    <w:rsid w:val="3304709D"/>
    <w:rsid w:val="34281836"/>
    <w:rsid w:val="349D6851"/>
    <w:rsid w:val="35BA6CAF"/>
    <w:rsid w:val="35D37231"/>
    <w:rsid w:val="364D14C1"/>
    <w:rsid w:val="36AA5135"/>
    <w:rsid w:val="36BE0DA7"/>
    <w:rsid w:val="37202E91"/>
    <w:rsid w:val="376B6AA6"/>
    <w:rsid w:val="376D39B2"/>
    <w:rsid w:val="37E16F03"/>
    <w:rsid w:val="37F53A3B"/>
    <w:rsid w:val="389B6C89"/>
    <w:rsid w:val="38D469F0"/>
    <w:rsid w:val="39627CCD"/>
    <w:rsid w:val="397BAF1F"/>
    <w:rsid w:val="3A286929"/>
    <w:rsid w:val="3AB79AF3"/>
    <w:rsid w:val="3B7EF35A"/>
    <w:rsid w:val="3B9FDB6C"/>
    <w:rsid w:val="3BF5BC2F"/>
    <w:rsid w:val="3C4759D7"/>
    <w:rsid w:val="3CD25648"/>
    <w:rsid w:val="3CEBA265"/>
    <w:rsid w:val="3D98207C"/>
    <w:rsid w:val="3D9B0D99"/>
    <w:rsid w:val="3DEE7CF3"/>
    <w:rsid w:val="3DF02244"/>
    <w:rsid w:val="3E78745D"/>
    <w:rsid w:val="3FF4CAE0"/>
    <w:rsid w:val="3FF7B227"/>
    <w:rsid w:val="40E54C45"/>
    <w:rsid w:val="41313393"/>
    <w:rsid w:val="420654AA"/>
    <w:rsid w:val="43A407DF"/>
    <w:rsid w:val="44515BEA"/>
    <w:rsid w:val="449C06F2"/>
    <w:rsid w:val="44E268DA"/>
    <w:rsid w:val="453F7E5B"/>
    <w:rsid w:val="46657EC9"/>
    <w:rsid w:val="47F43242"/>
    <w:rsid w:val="481E4D43"/>
    <w:rsid w:val="486A6C7A"/>
    <w:rsid w:val="49176D9B"/>
    <w:rsid w:val="494006BD"/>
    <w:rsid w:val="4A627F82"/>
    <w:rsid w:val="4B0E749A"/>
    <w:rsid w:val="4B4F25DA"/>
    <w:rsid w:val="4BDA0CFB"/>
    <w:rsid w:val="4BE068DB"/>
    <w:rsid w:val="4D3C0CCC"/>
    <w:rsid w:val="4D577224"/>
    <w:rsid w:val="4DBF1CEB"/>
    <w:rsid w:val="4E066FF8"/>
    <w:rsid w:val="4EAB630A"/>
    <w:rsid w:val="4ECE2238"/>
    <w:rsid w:val="4F6218A1"/>
    <w:rsid w:val="4F833267"/>
    <w:rsid w:val="4FE9BD67"/>
    <w:rsid w:val="4FFB052F"/>
    <w:rsid w:val="51BA53CE"/>
    <w:rsid w:val="51FB611B"/>
    <w:rsid w:val="526F04B9"/>
    <w:rsid w:val="52CE51A8"/>
    <w:rsid w:val="52D24862"/>
    <w:rsid w:val="53083A92"/>
    <w:rsid w:val="537E6D0A"/>
    <w:rsid w:val="53AF27A2"/>
    <w:rsid w:val="53F74C96"/>
    <w:rsid w:val="54D334F7"/>
    <w:rsid w:val="556045D2"/>
    <w:rsid w:val="56E47B74"/>
    <w:rsid w:val="57BD3DD4"/>
    <w:rsid w:val="58184B0E"/>
    <w:rsid w:val="597B5551"/>
    <w:rsid w:val="59AF3EEB"/>
    <w:rsid w:val="59D22F6C"/>
    <w:rsid w:val="5AF92295"/>
    <w:rsid w:val="5BDD79E6"/>
    <w:rsid w:val="5BF561CA"/>
    <w:rsid w:val="5BFF5DFC"/>
    <w:rsid w:val="5C3D6D58"/>
    <w:rsid w:val="5CD71FC4"/>
    <w:rsid w:val="5D1F11B5"/>
    <w:rsid w:val="5D7F30AC"/>
    <w:rsid w:val="5D8D309C"/>
    <w:rsid w:val="5DAE1B18"/>
    <w:rsid w:val="5DE7D9E5"/>
    <w:rsid w:val="5E341DBE"/>
    <w:rsid w:val="5E7056C4"/>
    <w:rsid w:val="5ECEC941"/>
    <w:rsid w:val="5F493CB7"/>
    <w:rsid w:val="5FBF9FF3"/>
    <w:rsid w:val="5FCD4E2C"/>
    <w:rsid w:val="5FD15F49"/>
    <w:rsid w:val="5FEF394A"/>
    <w:rsid w:val="5FF67715"/>
    <w:rsid w:val="61C174DA"/>
    <w:rsid w:val="62BF3928"/>
    <w:rsid w:val="62E3615D"/>
    <w:rsid w:val="647F5392"/>
    <w:rsid w:val="655967F7"/>
    <w:rsid w:val="664B1D71"/>
    <w:rsid w:val="66964E82"/>
    <w:rsid w:val="67202610"/>
    <w:rsid w:val="67AA3209"/>
    <w:rsid w:val="681C4F0D"/>
    <w:rsid w:val="68671871"/>
    <w:rsid w:val="688644E9"/>
    <w:rsid w:val="69046D0F"/>
    <w:rsid w:val="698D0931"/>
    <w:rsid w:val="6A1D37DA"/>
    <w:rsid w:val="6A993CED"/>
    <w:rsid w:val="6B053271"/>
    <w:rsid w:val="6BCE6674"/>
    <w:rsid w:val="6C084E47"/>
    <w:rsid w:val="6C4A05C8"/>
    <w:rsid w:val="6C8742B8"/>
    <w:rsid w:val="6C8A170F"/>
    <w:rsid w:val="6CB54609"/>
    <w:rsid w:val="6D3715A4"/>
    <w:rsid w:val="6D72050A"/>
    <w:rsid w:val="6DBF5E93"/>
    <w:rsid w:val="6DC502BD"/>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23700E"/>
    <w:rsid w:val="70433EAE"/>
    <w:rsid w:val="70496804"/>
    <w:rsid w:val="711424B9"/>
    <w:rsid w:val="712A28F1"/>
    <w:rsid w:val="715C0E4B"/>
    <w:rsid w:val="72233669"/>
    <w:rsid w:val="72734D90"/>
    <w:rsid w:val="7332FE48"/>
    <w:rsid w:val="733C7E7A"/>
    <w:rsid w:val="73AB61DA"/>
    <w:rsid w:val="73AD73D5"/>
    <w:rsid w:val="73B6EB34"/>
    <w:rsid w:val="73FA497D"/>
    <w:rsid w:val="744731E5"/>
    <w:rsid w:val="74527205"/>
    <w:rsid w:val="74BBD01D"/>
    <w:rsid w:val="74ED5379"/>
    <w:rsid w:val="74FC2395"/>
    <w:rsid w:val="750B0B6B"/>
    <w:rsid w:val="75292987"/>
    <w:rsid w:val="75696B21"/>
    <w:rsid w:val="75DEEEC2"/>
    <w:rsid w:val="76E3355F"/>
    <w:rsid w:val="76FF5125"/>
    <w:rsid w:val="776F6FFA"/>
    <w:rsid w:val="778769C8"/>
    <w:rsid w:val="77DC22F5"/>
    <w:rsid w:val="79086DAD"/>
    <w:rsid w:val="79974F09"/>
    <w:rsid w:val="79D7FD79"/>
    <w:rsid w:val="79EE5BA4"/>
    <w:rsid w:val="7A894339"/>
    <w:rsid w:val="7AFF7572"/>
    <w:rsid w:val="7B2D2298"/>
    <w:rsid w:val="7B6C7DFB"/>
    <w:rsid w:val="7BBFBED0"/>
    <w:rsid w:val="7BC3E394"/>
    <w:rsid w:val="7C1F3737"/>
    <w:rsid w:val="7CBFC87B"/>
    <w:rsid w:val="7CFE0F48"/>
    <w:rsid w:val="7D7EC23E"/>
    <w:rsid w:val="7D916348"/>
    <w:rsid w:val="7E0A1AA3"/>
    <w:rsid w:val="7E8ADEBF"/>
    <w:rsid w:val="7EEF11D3"/>
    <w:rsid w:val="7F0971A6"/>
    <w:rsid w:val="7F0C7541"/>
    <w:rsid w:val="7F3F679B"/>
    <w:rsid w:val="7F4FC4EF"/>
    <w:rsid w:val="7F5E4D54"/>
    <w:rsid w:val="7F693917"/>
    <w:rsid w:val="7F6E0135"/>
    <w:rsid w:val="7FA30C79"/>
    <w:rsid w:val="7FAF8ABF"/>
    <w:rsid w:val="7FB7269E"/>
    <w:rsid w:val="7FBB1931"/>
    <w:rsid w:val="7FC96657"/>
    <w:rsid w:val="7FDA9588"/>
    <w:rsid w:val="7FDF220F"/>
    <w:rsid w:val="7FEDC5F7"/>
    <w:rsid w:val="7FEDD9DE"/>
    <w:rsid w:val="7FF5890D"/>
    <w:rsid w:val="7FF93490"/>
    <w:rsid w:val="99FF2014"/>
    <w:rsid w:val="9BBF7672"/>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next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delete val="1"/>
          </c:dLbls>
          <c:cat>
            <c:strRef>
              <c:f>Sheet1!$A$2:$A$5</c:f>
              <c:strCache>
                <c:ptCount val="4"/>
                <c:pt idx="0">
                  <c:v>全年收入（万元）</c:v>
                </c:pt>
                <c:pt idx="1">
                  <c:v>全年支出（万元）</c:v>
                </c:pt>
                <c:pt idx="2">
                  <c:v>减少（万元）</c:v>
                </c:pt>
                <c:pt idx="3">
                  <c:v>下降率（%）</c:v>
                </c:pt>
              </c:strCache>
            </c:strRef>
          </c:cat>
          <c:val>
            <c:numRef>
              <c:f>Sheet1!$B$2:$B$5</c:f>
              <c:numCache>
                <c:formatCode>General</c:formatCode>
                <c:ptCount val="4"/>
                <c:pt idx="0">
                  <c:v>630.35</c:v>
                </c:pt>
                <c:pt idx="1">
                  <c:v>630.35</c:v>
                </c:pt>
                <c:pt idx="2">
                  <c:v>17.09</c:v>
                </c:pt>
                <c:pt idx="3">
                  <c:v>2.64</c:v>
                </c:pt>
              </c:numCache>
            </c:numRef>
          </c:val>
        </c:ser>
        <c:ser>
          <c:idx val="1"/>
          <c:order val="1"/>
          <c:tx>
            <c:strRef>
              <c:f>Sheet1!$C$1</c:f>
              <c:strCache>
                <c:ptCount val="1"/>
                <c:pt idx="0">
                  <c:v>2024年</c:v>
                </c:pt>
              </c:strCache>
            </c:strRef>
          </c:tx>
          <c:spPr>
            <a:solidFill>
              <a:schemeClr val="accent2"/>
            </a:solidFill>
            <a:ln>
              <a:noFill/>
            </a:ln>
            <a:effectLst/>
          </c:spPr>
          <c:invertIfNegative val="0"/>
          <c:dLbls>
            <c:delete val="1"/>
          </c:dLbls>
          <c:cat>
            <c:strRef>
              <c:f>Sheet1!$A$2:$A$5</c:f>
              <c:strCache>
                <c:ptCount val="4"/>
                <c:pt idx="0">
                  <c:v>全年收入（万元）</c:v>
                </c:pt>
                <c:pt idx="1">
                  <c:v>全年支出（万元）</c:v>
                </c:pt>
                <c:pt idx="2">
                  <c:v>减少（万元）</c:v>
                </c:pt>
                <c:pt idx="3">
                  <c:v>下降率（%）</c:v>
                </c:pt>
              </c:strCache>
            </c:strRef>
          </c:cat>
          <c:val>
            <c:numRef>
              <c:f>Sheet1!$C$2:$C$5</c:f>
              <c:numCache>
                <c:formatCode>General</c:formatCode>
                <c:ptCount val="4"/>
                <c:pt idx="0">
                  <c:v>647.44</c:v>
                </c:pt>
                <c:pt idx="1">
                  <c:v>647.44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全年收入（万元）</c:v>
                </c:pt>
                <c:pt idx="1">
                  <c:v>全年支出（万元）</c:v>
                </c:pt>
                <c:pt idx="2">
                  <c:v>减少（万元）</c:v>
                </c:pt>
                <c:pt idx="3">
                  <c:v>下降率（%）</c:v>
                </c:pt>
              </c:strCache>
            </c:strRef>
          </c:cat>
          <c:val>
            <c:numRef>
              <c:f>Sheet1!$D$2:$D$5</c:f>
            </c:numRef>
          </c:val>
        </c:ser>
        <c:dLbls>
          <c:showLegendKey val="0"/>
          <c:showVal val="0"/>
          <c:showCatName val="0"/>
          <c:showSerName val="0"/>
          <c:showPercent val="0"/>
          <c:showBubbleSize val="0"/>
        </c:dLbls>
        <c:gapWidth val="219"/>
        <c:overlap val="-27"/>
        <c:axId val="994470491"/>
        <c:axId val="596235722"/>
      </c:barChart>
      <c:catAx>
        <c:axId val="9944704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235722"/>
        <c:crosses val="autoZero"/>
        <c:auto val="1"/>
        <c:lblAlgn val="ctr"/>
        <c:lblOffset val="100"/>
        <c:noMultiLvlLbl val="0"/>
      </c:catAx>
      <c:valAx>
        <c:axId val="59623572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4704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6a193a-f8b4-46f1-904a-c85d74ee21b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630.35</c:v>
                </c:pt>
                <c:pt idx="1" c:formatCode="#,##0.00_ ">
                  <c:v>0</c:v>
                </c:pt>
                <c:pt idx="2" c:formatCode="#,##0.00_ ">
                  <c:v>0</c:v>
                </c:pt>
                <c:pt idx="3" c:formatCode="#,##0.00_ ">
                  <c:v>0</c:v>
                </c:pt>
                <c:pt idx="4" c:formatCode="#,##0.00_ ">
                  <c:v>0</c:v>
                </c:pt>
                <c:pt idx="5" c:formatCode="#,##0.00_ ">
                  <c:v>0</c:v>
                </c:pt>
                <c:pt idx="6" c:formatCode="#,##0.00_ ">
                  <c:v>0</c:v>
                </c:pt>
                <c:pt idx="7" c:formatCode="#,##0.00_ ">
                  <c:v>0</c:v>
                </c:pt>
              </c:numCache>
            </c:numRef>
          </c:val>
        </c:ser>
        <c:ser>
          <c:idx val="1"/>
          <c:order val="1"/>
          <c:tx>
            <c:strRef>
              <c:f>Sheet1!$C$1</c:f>
              <c:strCache>
                <c:ptCount val="1"/>
                <c:pt idx="0">
                  <c:v>百分占比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Sheet1!$C$2:$C$9</c:f>
              <c:numCache>
                <c:formatCode>0%</c:formatCode>
                <c:ptCount val="8"/>
                <c:pt idx="0">
                  <c:v>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e1e29ea-2c95-4b9a-9d9d-e561422e94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2025年度支出决算图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175868864088706"/>
                  <c:y val="-0.15123200779419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基本支出566.73元，占</a:t>
                    </a:r>
                    <a:r>
                      <a:rPr lang="en-US" altLang="zh-CN"/>
                      <a:t>89.9%</a:t>
                    </a:r>
                    <a:r>
                      <a:rPr altLang="en-US"/>
                      <a:t>。</a:t>
                    </a:r>
                    <a:endParaRPr alt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83625"/>
                      <c:h val="0.131166666666667"/>
                    </c:manualLayout>
                  </c15:layout>
                </c:ext>
              </c:extLst>
            </c:dLbl>
            <c:dLbl>
              <c:idx val="1"/>
              <c:layout>
                <c:manualLayout>
                  <c:x val="-0.158281255879564"/>
                  <c:y val="0.013020542720166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项目支出63.62万元，占</a:t>
                    </a:r>
                    <a:r>
                      <a:rPr lang="en-US" altLang="zh-CN"/>
                      <a:t>10.1%</a:t>
                    </a:r>
                    <a:r>
                      <a:rPr altLang="en-US"/>
                      <a:t>。</a:t>
                    </a:r>
                    <a:endParaRPr alt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13625"/>
                      <c:h val="0.0951666666666667"/>
                    </c:manualLayout>
                  </c15:layout>
                </c:ext>
              </c:extLst>
            </c:dLbl>
            <c:dLbl>
              <c:idx val="2"/>
              <c:layout>
                <c:manualLayout>
                  <c:x val="0.104125"/>
                  <c:y val="0.0026666666666666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2025</a:t>
                    </a:r>
                    <a:r>
                      <a:rPr altLang="en-US"/>
                      <a:t>年本年支出</a:t>
                    </a:r>
                    <a:r>
                      <a:rPr lang="en-US" altLang="zh-CN"/>
                      <a:t>630.35</a:t>
                    </a:r>
                    <a:r>
                      <a:rPr altLang="en-US"/>
                      <a:t>万元</a:t>
                    </a:r>
                    <a:endParaRPr alt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3655"/>
                      <c:h val="0.0871666666666667"/>
                    </c:manualLayout>
                  </c15:layout>
                </c:ext>
              </c:extLst>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566.73</c:v>
                </c:pt>
                <c:pt idx="1">
                  <c:v>63.62</c:v>
                </c:pt>
                <c:pt idx="2">
                  <c:v>0</c:v>
                </c:pt>
                <c:pt idx="3">
                  <c:v>0</c:v>
                </c:pt>
                <c:pt idx="4">
                  <c:v>0</c:v>
                </c:pt>
              </c:numCache>
            </c:numRef>
          </c:val>
        </c:ser>
        <c:ser>
          <c:idx val="1"/>
          <c:order val="1"/>
          <c:tx>
            <c:strRef>
              <c:f>Sheet1!$C$1</c:f>
              <c:strCache>
                <c:ptCount val="1"/>
                <c:pt idx="0">
                  <c:v>百分占比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Sheet1!$A$2:$A$6</c:f>
              <c:strCache>
                <c:ptCount val="5"/>
                <c:pt idx="0">
                  <c:v>基本支出</c:v>
                </c:pt>
                <c:pt idx="1">
                  <c:v>项目支出</c:v>
                </c:pt>
                <c:pt idx="2">
                  <c:v>上缴上级支出</c:v>
                </c:pt>
                <c:pt idx="3">
                  <c:v>经营支出</c:v>
                </c:pt>
                <c:pt idx="4">
                  <c:v>对附属单位补助支出</c:v>
                </c:pt>
              </c:strCache>
            </c:strRef>
          </c:cat>
          <c:val>
            <c:numRef>
              <c:f>Sheet1!$C$2:$C$6</c:f>
              <c:numCache>
                <c:formatCode>0.00%</c:formatCode>
                <c:ptCount val="5"/>
                <c:pt idx="0">
                  <c:v>0.8991</c:v>
                </c:pt>
                <c:pt idx="1">
                  <c:v>0.1009</c:v>
                </c:pt>
                <c:pt idx="2" c:formatCode="0%">
                  <c:v>0</c:v>
                </c:pt>
                <c:pt idx="3" c:formatCode="0%">
                  <c:v>0</c:v>
                </c:pt>
                <c:pt idx="4" c:formatCode="0%">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64a8d34-e012-41e4-8279-fb35db9058b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财政收入、支出决算总体情况对比图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2025年度</c:v>
                </c:pt>
              </c:strCache>
            </c:strRef>
          </c:tx>
          <c:spPr>
            <a:solidFill>
              <a:schemeClr val="accent1"/>
            </a:solidFill>
            <a:ln>
              <a:noFill/>
            </a:ln>
            <a:effectLst/>
          </c:spPr>
          <c:invertIfNegative val="0"/>
          <c:dLbls>
            <c:delete val="1"/>
          </c:dLbls>
          <c:cat>
            <c:strRef>
              <c:f>Sheet1!$A$2:$A$3</c:f>
              <c:strCache>
                <c:ptCount val="2"/>
                <c:pt idx="0">
                  <c:v>财政拨款收入</c:v>
                </c:pt>
                <c:pt idx="1">
                  <c:v>财政拨款支出</c:v>
                </c:pt>
              </c:strCache>
            </c:strRef>
          </c:cat>
          <c:val>
            <c:numRef>
              <c:f>Sheet1!$B$2:$B$3</c:f>
              <c:numCache>
                <c:formatCode>General</c:formatCode>
                <c:ptCount val="2"/>
                <c:pt idx="0">
                  <c:v>630.35</c:v>
                </c:pt>
                <c:pt idx="1">
                  <c:v>630.35</c:v>
                </c:pt>
              </c:numCache>
            </c:numRef>
          </c:val>
        </c:ser>
        <c:ser>
          <c:idx val="1"/>
          <c:order val="1"/>
          <c:tx>
            <c:strRef>
              <c:f>Sheet1!$C$1</c:f>
              <c:strCache>
                <c:ptCount val="1"/>
                <c:pt idx="0">
                  <c:v>2024年度</c:v>
                </c:pt>
              </c:strCache>
            </c:strRef>
          </c:tx>
          <c:spPr>
            <a:solidFill>
              <a:schemeClr val="accent2"/>
            </a:solidFill>
            <a:ln>
              <a:noFill/>
            </a:ln>
            <a:effectLst/>
          </c:spPr>
          <c:invertIfNegative val="0"/>
          <c:dLbls>
            <c:delete val="1"/>
          </c:dLbls>
          <c:cat>
            <c:strRef>
              <c:f>Sheet1!$A$2:$A$3</c:f>
              <c:strCache>
                <c:ptCount val="2"/>
                <c:pt idx="0">
                  <c:v>财政拨款收入</c:v>
                </c:pt>
                <c:pt idx="1">
                  <c:v>财政拨款支出</c:v>
                </c:pt>
              </c:strCache>
            </c:strRef>
          </c:cat>
          <c:val>
            <c:numRef>
              <c:f>Sheet1!$C$2:$C$3</c:f>
              <c:numCache>
                <c:formatCode>General</c:formatCode>
                <c:ptCount val="2"/>
                <c:pt idx="0">
                  <c:v>647.44</c:v>
                </c:pt>
                <c:pt idx="1">
                  <c:v>647.44</c:v>
                </c:pt>
              </c:numCache>
            </c:numRef>
          </c:val>
        </c:ser>
        <c:ser>
          <c:idx val="2"/>
          <c:order val="2"/>
          <c:tx>
            <c:strRef>
              <c:f>Sheet1!$D$1</c:f>
              <c:strCache>
                <c:ptCount val="1"/>
                <c:pt idx="0">
                  <c:v>同比增减额</c:v>
                </c:pt>
              </c:strCache>
            </c:strRef>
          </c:tx>
          <c:spPr>
            <a:solidFill>
              <a:schemeClr val="accent3"/>
            </a:solidFill>
            <a:ln>
              <a:noFill/>
            </a:ln>
            <a:effectLst/>
          </c:spPr>
          <c:invertIfNegative val="0"/>
          <c:dLbls>
            <c:delete val="1"/>
          </c:dLbls>
          <c:cat>
            <c:strRef>
              <c:f>Sheet1!$A$2:$A$3</c:f>
              <c:strCache>
                <c:ptCount val="2"/>
                <c:pt idx="0">
                  <c:v>财政拨款收入</c:v>
                </c:pt>
                <c:pt idx="1">
                  <c:v>财政拨款支出</c:v>
                </c:pt>
              </c:strCache>
            </c:strRef>
          </c:cat>
          <c:val>
            <c:numRef>
              <c:f>Sheet1!$D$2:$D$3</c:f>
              <c:numCache>
                <c:formatCode>General</c:formatCode>
                <c:ptCount val="2"/>
                <c:pt idx="0">
                  <c:v>-17.09</c:v>
                </c:pt>
                <c:pt idx="1">
                  <c:v>-17.09</c:v>
                </c:pt>
              </c:numCache>
            </c:numRef>
          </c:val>
        </c:ser>
        <c:ser>
          <c:idx val="3"/>
          <c:order val="3"/>
          <c:tx>
            <c:strRef>
              <c:f>Sheet1!$E$1</c:f>
              <c:strCache>
                <c:ptCount val="1"/>
                <c:pt idx="0">
                  <c:v>同比增减率</c:v>
                </c:pt>
              </c:strCache>
            </c:strRef>
          </c:tx>
          <c:spPr>
            <a:solidFill>
              <a:schemeClr val="accent4"/>
            </a:solidFill>
            <a:ln>
              <a:noFill/>
            </a:ln>
            <a:effectLst/>
          </c:spPr>
          <c:invertIfNegative val="0"/>
          <c:dLbls>
            <c:delete val="1"/>
          </c:dLbls>
          <c:cat>
            <c:strRef>
              <c:f>Sheet1!$A$2:$A$3</c:f>
              <c:strCache>
                <c:ptCount val="2"/>
                <c:pt idx="0">
                  <c:v>财政拨款收入</c:v>
                </c:pt>
                <c:pt idx="1">
                  <c:v>财政拨款支出</c:v>
                </c:pt>
              </c:strCache>
            </c:strRef>
          </c:cat>
          <c:val>
            <c:numRef>
              <c:f>Sheet1!$E$2:$E$3</c:f>
              <c:numCache>
                <c:formatCode>0.00%</c:formatCode>
                <c:ptCount val="2"/>
                <c:pt idx="0">
                  <c:v>-0.0264</c:v>
                </c:pt>
                <c:pt idx="1">
                  <c:v>-0.0264</c:v>
                </c:pt>
              </c:numCache>
            </c:numRef>
          </c:val>
        </c:ser>
        <c:dLbls>
          <c:showLegendKey val="0"/>
          <c:showVal val="0"/>
          <c:showCatName val="0"/>
          <c:showSerName val="0"/>
          <c:showPercent val="0"/>
          <c:showBubbleSize val="0"/>
        </c:dLbls>
        <c:gapWidth val="219"/>
        <c:overlap val="-27"/>
        <c:axId val="105249314"/>
        <c:axId val="315941746"/>
      </c:barChart>
      <c:catAx>
        <c:axId val="10524931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5941746"/>
        <c:crosses val="autoZero"/>
        <c:auto val="1"/>
        <c:lblAlgn val="ctr"/>
        <c:lblOffset val="100"/>
        <c:noMultiLvlLbl val="0"/>
      </c:catAx>
      <c:valAx>
        <c:axId val="31594174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52493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8144e1a-7906-47a5-ac0e-dcd474d173a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spc="120" normalizeH="0" baseline="0">
                <a:solidFill>
                  <a:schemeClr val="tx1">
                    <a:lumMod val="65000"/>
                    <a:lumOff val="35000"/>
                  </a:schemeClr>
                </a:solidFill>
                <a:latin typeface="+mn-lt"/>
                <a:ea typeface="+mn-ea"/>
                <a:cs typeface="+mn-cs"/>
              </a:defRPr>
            </a:pPr>
            <a:r>
              <a:t>一般公共预算财政拨款支出决算图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2025年度(万元）</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一般公共预算财政支出</c:v>
                </c:pt>
              </c:strCache>
            </c:strRef>
          </c:cat>
          <c:val>
            <c:numRef>
              <c:f>Sheet1!$B$2</c:f>
              <c:numCache>
                <c:formatCode>General</c:formatCode>
                <c:ptCount val="1"/>
                <c:pt idx="0">
                  <c:v>630.35</c:v>
                </c:pt>
              </c:numCache>
            </c:numRef>
          </c:val>
        </c:ser>
        <c:ser>
          <c:idx val="1"/>
          <c:order val="1"/>
          <c:tx>
            <c:strRef>
              <c:f>Sheet1!$C$1</c:f>
              <c:strCache>
                <c:ptCount val="1"/>
                <c:pt idx="0">
                  <c:v>2024年度（万元）</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一般公共预算财政支出</c:v>
                </c:pt>
              </c:strCache>
            </c:strRef>
          </c:cat>
          <c:val>
            <c:numRef>
              <c:f>Sheet1!$C$2</c:f>
              <c:numCache>
                <c:formatCode>General</c:formatCode>
                <c:ptCount val="1"/>
                <c:pt idx="0">
                  <c:v>647.44</c:v>
                </c:pt>
              </c:numCache>
            </c:numRef>
          </c:val>
        </c:ser>
        <c:ser>
          <c:idx val="2"/>
          <c:order val="2"/>
          <c:tx>
            <c:strRef>
              <c:f>Sheet1!$D$1</c:f>
              <c:strCache>
                <c:ptCount val="1"/>
                <c:pt idx="0">
                  <c:v>同期增减额（万元）</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一般公共预算财政支出</c:v>
                </c:pt>
              </c:strCache>
            </c:strRef>
          </c:cat>
          <c:val>
            <c:numRef>
              <c:f>Sheet1!$D$2</c:f>
              <c:numCache>
                <c:formatCode>General</c:formatCode>
                <c:ptCount val="1"/>
                <c:pt idx="0">
                  <c:v>-17.09</c:v>
                </c:pt>
              </c:numCache>
            </c:numRef>
          </c:val>
        </c:ser>
        <c:ser>
          <c:idx val="3"/>
          <c:order val="3"/>
          <c:tx>
            <c:strRef>
              <c:f>Sheet1!$E$1</c:f>
              <c:strCache>
                <c:ptCount val="1"/>
                <c:pt idx="0">
                  <c:v>同期增减率</c:v>
                </c:pt>
              </c:strCache>
            </c:strRef>
          </c:tx>
          <c:spPr>
            <a:solidFill>
              <a:schemeClr val="accent4"/>
            </a:solidFill>
            <a:ln>
              <a:noFill/>
            </a:ln>
            <a:effectLst/>
          </c:spPr>
          <c:invertIfNegative val="0"/>
          <c:dLbls>
            <c:numFmt formatCode="General" sourceLinked="1"/>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一般公共预算财政支出</c:v>
                </c:pt>
              </c:strCache>
            </c:strRef>
          </c:cat>
          <c:val>
            <c:numRef>
              <c:f>Sheet1!$E$2</c:f>
              <c:numCache>
                <c:formatCode>0.00%</c:formatCode>
                <c:ptCount val="1"/>
                <c:pt idx="0">
                  <c:v>-0.0264</c:v>
                </c:pt>
              </c:numCache>
            </c:numRef>
          </c:val>
        </c:ser>
        <c:dLbls>
          <c:showLegendKey val="0"/>
          <c:showVal val="1"/>
          <c:showCatName val="0"/>
          <c:showSerName val="0"/>
          <c:showPercent val="0"/>
          <c:showBubbleSize val="0"/>
        </c:dLbls>
        <c:gapWidth val="444"/>
        <c:overlap val="-90"/>
        <c:axId val="242355214"/>
        <c:axId val="595403171"/>
      </c:barChart>
      <c:catAx>
        <c:axId val="242355214"/>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cap="all" spc="120" normalizeH="0" baseline="0">
                <a:solidFill>
                  <a:schemeClr val="tx1">
                    <a:lumMod val="65000"/>
                    <a:lumOff val="35000"/>
                  </a:schemeClr>
                </a:solidFill>
                <a:latin typeface="+mn-lt"/>
                <a:ea typeface="+mn-ea"/>
                <a:cs typeface="+mn-cs"/>
              </a:defRPr>
            </a:pPr>
          </a:p>
        </c:txPr>
        <c:crossAx val="595403171"/>
        <c:crosses val="autoZero"/>
        <c:auto val="1"/>
        <c:lblAlgn val="ctr"/>
        <c:lblOffset val="100"/>
        <c:noMultiLvlLbl val="0"/>
      </c:catAx>
      <c:valAx>
        <c:axId val="595403171"/>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355214"/>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f2d3634-4b95-4697-8a70-458e6c26dede}"/>
      </c:ext>
    </c:extLst>
  </c:chart>
  <c:spPr>
    <a:solidFill>
      <a:schemeClr val="lt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2025年度一般公共预算财政拨款支出（万元）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437.95</c:v>
                </c:pt>
                <c:pt idx="1">
                  <c:v>123.49</c:v>
                </c:pt>
                <c:pt idx="2">
                  <c:v>30.97</c:v>
                </c:pt>
                <c:pt idx="3">
                  <c:v>37.94</c:v>
                </c:pt>
              </c:numCache>
            </c:numRef>
          </c:val>
        </c:ser>
        <c:ser>
          <c:idx val="1"/>
          <c:order val="1"/>
          <c:tx>
            <c:strRef>
              <c:f>Sheet1!$C$1</c:f>
              <c:strCache>
                <c:ptCount val="1"/>
                <c:pt idx="0">
                  <c:v>百分占比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文化旅游体育与传媒支出</c:v>
                </c:pt>
                <c:pt idx="1">
                  <c:v>社会保障和就业支出</c:v>
                </c:pt>
                <c:pt idx="2">
                  <c:v>卫生健康支出</c:v>
                </c:pt>
                <c:pt idx="3">
                  <c:v>住房保障支出</c:v>
                </c:pt>
              </c:strCache>
            </c:strRef>
          </c:cat>
          <c:val>
            <c:numRef>
              <c:f>Sheet1!$C$2:$C$5</c:f>
              <c:numCache>
                <c:formatCode>0.00%</c:formatCode>
                <c:ptCount val="4"/>
                <c:pt idx="0">
                  <c:v>0.6948</c:v>
                </c:pt>
                <c:pt idx="1">
                  <c:v>0.1959</c:v>
                </c:pt>
                <c:pt idx="2">
                  <c:v>0.0491</c:v>
                </c:pt>
                <c:pt idx="3">
                  <c:v>0.0602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ae56c63-cd1e-4393-b21d-c96d1e9e79f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2025年度财政拨款“三公”经费支出决算图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因公出国（境）费支出决算</c:v>
                </c:pt>
                <c:pt idx="1">
                  <c:v>公务用车购置及运行维护费支出决算</c:v>
                </c:pt>
                <c:pt idx="2">
                  <c:v>公务接待费支出决算</c:v>
                </c:pt>
              </c:strCache>
            </c:strRef>
          </c:cat>
          <c:val>
            <c:numRef>
              <c:f>Sheet1!$B$2:$B$5</c:f>
              <c:numCache>
                <c:formatCode>General</c:formatCode>
                <c:ptCount val="4"/>
                <c:pt idx="0">
                  <c:v>0</c:v>
                </c:pt>
                <c:pt idx="1">
                  <c:v>1.32</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fb93038-1f16-4196-a434-b0d23e2105c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4a47902a-99dc-44e7-bd3d-914618ca0cbd</errorID>
      <errorWord xmlns="http://schemas.wps.cn/vas-ai-hub/contract-review">应急性物资储备</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应急物资储备</item>
      </candidateList>
      <explain xmlns="http://schemas.wps.cn/vas-ai-hub/contract-review">词汇“应急物资储备”在特定场景下为固定表述形式，请确认此处的“应急性物资储备”是否存在不当。</explain>
      <paraID xmlns="http://schemas.wps.cn/vas-ai-hub/contract-review">5A225910</paraID>
      <start xmlns="http://schemas.wps.cn/vas-ai-hub/contract-review">42</start>
      <end xmlns="http://schemas.wps.cn/vas-ai-hub/contract-review">49</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ac45cd-83a7-4cea-8a62-f68c22b62ede}">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4306</Words>
  <Characters>4975</Characters>
  <Lines>61</Lines>
  <Paragraphs>17</Paragraphs>
  <TotalTime>44</TotalTime>
  <ScaleCrop>false</ScaleCrop>
  <LinksUpToDate>false</LinksUpToDate>
  <CharactersWithSpaces>5039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2026-08-31T17:29:00Z</cp:lastPrinted>
  <dcterms:modified xsi:type="dcterms:W3CDTF">2026-09-14T09:54:13Z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400D301575C74348A5277D00A7902E06</vt:lpwstr>
  </property>
  <property fmtid="{D5CDD505-2E9C-101B-9397-08002B2CF9AE}" pid="4" name="KSOTemplateDocerSaveRecord">
    <vt:lpwstr>eyJoZGlkIjoiZmVmOTI3YTc4NDYwNTNlOTE3YjdkYWU4ZDk5YTU5NjEiLCJ1c2VySWQiOiIzMzk3MDMxNTgifQ==</vt:lpwstr>
  </property>
</Properties>
</file>