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27DA1">
      <w:pPr>
        <w:pStyle w:val="6"/>
        <w:spacing w:before="93"/>
        <w:rPr>
          <w:rFonts w:hint="default" w:ascii="Times New Roman" w:hAnsi="Times New Roman" w:eastAsia="黑体" w:cs="Times New Roman"/>
          <w:kern w:val="2"/>
          <w:sz w:val="32"/>
          <w:szCs w:val="32"/>
        </w:rPr>
      </w:pPr>
      <w:bookmarkStart w:id="0" w:name="_Toc15396597"/>
      <w:bookmarkStart w:id="1" w:name="_Toc15396475"/>
      <w:bookmarkStart w:id="2" w:name="_Toc15378441"/>
      <w:bookmarkStart w:id="3" w:name="_Toc15377425"/>
      <w:bookmarkStart w:id="4" w:name="_Toc15377193"/>
      <w:bookmarkStart w:id="5" w:name="_Toc15306267"/>
    </w:p>
    <w:p w14:paraId="2300EBD4">
      <w:pPr>
        <w:pStyle w:val="6"/>
        <w:spacing w:before="93"/>
        <w:rPr>
          <w:rFonts w:hint="default" w:ascii="Times New Roman" w:hAnsi="Times New Roman" w:eastAsia="方正小标宋简体" w:cs="Times New Roman"/>
          <w:kern w:val="2"/>
          <w:sz w:val="72"/>
          <w:szCs w:val="72"/>
        </w:rPr>
      </w:pPr>
    </w:p>
    <w:p w14:paraId="74714E78">
      <w:pPr>
        <w:pStyle w:val="6"/>
        <w:spacing w:before="93"/>
        <w:rPr>
          <w:rFonts w:hint="default" w:ascii="Times New Roman" w:hAnsi="Times New Roman" w:eastAsia="方正小标宋简体" w:cs="Times New Roman"/>
          <w:kern w:val="2"/>
          <w:sz w:val="72"/>
          <w:szCs w:val="72"/>
        </w:rPr>
      </w:pPr>
    </w:p>
    <w:p w14:paraId="64E0D71A">
      <w:pPr>
        <w:pStyle w:val="6"/>
        <w:spacing w:before="93"/>
        <w:rPr>
          <w:rFonts w:hint="default" w:ascii="Times New Roman" w:hAnsi="Times New Roman" w:eastAsia="方正小标宋简体" w:cs="Times New Roman"/>
          <w:kern w:val="2"/>
          <w:sz w:val="72"/>
          <w:szCs w:val="72"/>
        </w:rPr>
      </w:pPr>
    </w:p>
    <w:p w14:paraId="13D5161C">
      <w:pPr>
        <w:pStyle w:val="6"/>
        <w:spacing w:before="93"/>
        <w:rPr>
          <w:rFonts w:hint="default" w:ascii="Times New Roman" w:hAnsi="Times New Roman" w:eastAsia="方正小标宋简体" w:cs="Times New Roman"/>
          <w:kern w:val="2"/>
          <w:sz w:val="72"/>
          <w:szCs w:val="72"/>
        </w:rPr>
      </w:pPr>
    </w:p>
    <w:p w14:paraId="75213A74">
      <w:pPr>
        <w:pStyle w:val="6"/>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2025年度</w:t>
      </w:r>
    </w:p>
    <w:p w14:paraId="5A9740D6">
      <w:pPr>
        <w:pStyle w:val="6"/>
        <w:spacing w:before="93"/>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攀枝花市文化市场综合行政执法支队</w:t>
      </w:r>
    </w:p>
    <w:p w14:paraId="4097CC7F">
      <w:pPr>
        <w:pStyle w:val="6"/>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决算公开</w:t>
      </w:r>
      <w:r>
        <w:rPr>
          <w:rFonts w:hint="default" w:ascii="Times New Roman" w:hAnsi="Times New Roman" w:eastAsia="方正小标宋简体" w:cs="Times New Roman"/>
          <w:kern w:val="2"/>
          <w:sz w:val="44"/>
          <w:szCs w:val="44"/>
          <w:lang w:eastAsia="zh-CN"/>
        </w:rPr>
        <w:t>编制</w:t>
      </w:r>
      <w:r>
        <w:rPr>
          <w:rFonts w:hint="default" w:ascii="Times New Roman" w:hAnsi="Times New Roman" w:eastAsia="方正小标宋简体" w:cs="Times New Roman"/>
          <w:kern w:val="2"/>
          <w:sz w:val="44"/>
          <w:szCs w:val="44"/>
        </w:rPr>
        <w:t>说明</w:t>
      </w:r>
    </w:p>
    <w:p w14:paraId="65427FCE">
      <w:pPr>
        <w:spacing w:line="600" w:lineRule="exact"/>
        <w:jc w:val="center"/>
        <w:outlineLvl w:val="0"/>
        <w:rPr>
          <w:rFonts w:hint="default" w:ascii="Times New Roman" w:hAnsi="Times New Roman" w:eastAsia="方正小标宋简体" w:cs="Times New Roman"/>
          <w:sz w:val="72"/>
          <w:szCs w:val="72"/>
        </w:rPr>
      </w:pPr>
    </w:p>
    <w:p w14:paraId="35121694">
      <w:pPr>
        <w:pStyle w:val="2"/>
        <w:rPr>
          <w:rFonts w:hint="default" w:ascii="Times New Roman" w:hAnsi="Times New Roman" w:cs="Times New Roman"/>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425" w:num="1"/>
          <w:titlePg/>
          <w:docGrid w:type="lines" w:linePitch="312" w:charSpace="0"/>
        </w:sectPr>
      </w:pPr>
    </w:p>
    <w:p w14:paraId="119BCE95">
      <w:pPr>
        <w:rPr>
          <w:rFonts w:hint="default" w:ascii="Times New Roman" w:hAnsi="Times New Roman" w:cs="Times New Roman"/>
        </w:rPr>
      </w:pPr>
    </w:p>
    <w:p w14:paraId="0D6DE7F6">
      <w:pPr>
        <w:pStyle w:val="6"/>
        <w:spacing w:before="93"/>
        <w:jc w:val="center"/>
        <w:rPr>
          <w:rFonts w:hint="default" w:ascii="Times New Roman" w:hAnsi="Times New Roman" w:eastAsia="方正小标宋简体" w:cs="Times New Roman"/>
          <w:kern w:val="2"/>
          <w:sz w:val="44"/>
          <w:szCs w:val="44"/>
        </w:rPr>
      </w:pPr>
    </w:p>
    <w:p w14:paraId="19AD4F5B">
      <w:pPr>
        <w:pStyle w:val="6"/>
        <w:spacing w:before="93"/>
        <w:jc w:val="center"/>
        <w:rPr>
          <w:rFonts w:hint="default" w:ascii="Times New Roman" w:hAnsi="Times New Roman" w:eastAsia="方正小标宋简体" w:cs="Times New Roman"/>
          <w:kern w:val="2"/>
          <w:sz w:val="44"/>
          <w:szCs w:val="44"/>
        </w:rPr>
      </w:pPr>
    </w:p>
    <w:p w14:paraId="399731D0">
      <w:pPr>
        <w:pStyle w:val="6"/>
        <w:spacing w:before="93"/>
        <w:jc w:val="center"/>
        <w:rPr>
          <w:rFonts w:hint="default" w:ascii="Times New Roman" w:hAnsi="Times New Roman" w:eastAsia="方正小标宋简体" w:cs="Times New Roman"/>
          <w:kern w:val="2"/>
          <w:sz w:val="44"/>
          <w:szCs w:val="44"/>
        </w:rPr>
      </w:pPr>
    </w:p>
    <w:p w14:paraId="5F8E8067">
      <w:pPr>
        <w:pStyle w:val="6"/>
        <w:spacing w:before="93"/>
        <w:jc w:val="center"/>
        <w:rPr>
          <w:rFonts w:hint="default" w:ascii="Times New Roman" w:hAnsi="Times New Roman" w:eastAsia="方正小标宋简体" w:cs="Times New Roman"/>
          <w:kern w:val="2"/>
          <w:sz w:val="44"/>
          <w:szCs w:val="44"/>
        </w:rPr>
      </w:pPr>
    </w:p>
    <w:bookmarkEnd w:id="0"/>
    <w:bookmarkEnd w:id="1"/>
    <w:bookmarkEnd w:id="2"/>
    <w:bookmarkEnd w:id="3"/>
    <w:bookmarkEnd w:id="4"/>
    <w:p w14:paraId="7459D789">
      <w:pPr>
        <w:pStyle w:val="6"/>
        <w:spacing w:before="93"/>
        <w:jc w:val="center"/>
        <w:rPr>
          <w:rFonts w:hint="default" w:ascii="Times New Roman" w:hAnsi="Times New Roman" w:eastAsia="方正小标宋简体" w:cs="Times New Roman"/>
          <w:kern w:val="2"/>
          <w:sz w:val="44"/>
          <w:szCs w:val="44"/>
        </w:rPr>
      </w:pPr>
      <w:bookmarkStart w:id="6" w:name="_Toc15377426"/>
      <w:bookmarkStart w:id="7" w:name="_Toc15396476"/>
      <w:bookmarkStart w:id="8" w:name="_Toc15377194"/>
      <w:bookmarkStart w:id="9" w:name="_Toc15378442"/>
      <w:bookmarkStart w:id="10" w:name="_Toc15396598"/>
      <w:r>
        <w:rPr>
          <w:rFonts w:hint="default" w:ascii="Times New Roman" w:hAnsi="Times New Roman" w:eastAsia="方正小标宋简体" w:cs="Times New Roman"/>
          <w:kern w:val="2"/>
          <w:sz w:val="44"/>
          <w:szCs w:val="44"/>
        </w:rPr>
        <w:t>2025年度</w:t>
      </w:r>
      <w:bookmarkEnd w:id="5"/>
      <w:bookmarkStart w:id="11" w:name="_Toc15306268"/>
    </w:p>
    <w:p w14:paraId="6CBD8127">
      <w:pPr>
        <w:pStyle w:val="6"/>
        <w:spacing w:before="93"/>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攀枝花市文化市场综合行政执法支队</w:t>
      </w:r>
    </w:p>
    <w:p w14:paraId="09D69DD2">
      <w:pPr>
        <w:pStyle w:val="6"/>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sz w:val="44"/>
          <w:szCs w:val="44"/>
          <w:lang w:eastAsia="zh-CN"/>
        </w:rPr>
        <w:t>单位</w:t>
      </w:r>
      <w:r>
        <w:rPr>
          <w:rFonts w:hint="default" w:ascii="Times New Roman" w:hAnsi="Times New Roman" w:eastAsia="方正小标宋简体" w:cs="Times New Roman"/>
          <w:kern w:val="2"/>
          <w:sz w:val="44"/>
          <w:szCs w:val="44"/>
        </w:rPr>
        <w:t>决算</w:t>
      </w:r>
      <w:bookmarkEnd w:id="6"/>
      <w:bookmarkEnd w:id="7"/>
      <w:bookmarkEnd w:id="8"/>
      <w:bookmarkEnd w:id="9"/>
      <w:bookmarkEnd w:id="10"/>
      <w:bookmarkEnd w:id="11"/>
    </w:p>
    <w:p w14:paraId="5E8991E6">
      <w:pPr>
        <w:pStyle w:val="16"/>
        <w:adjustRightInd w:val="0"/>
        <w:snapToGrid w:val="0"/>
        <w:spacing w:line="560" w:lineRule="exact"/>
        <w:jc w:val="left"/>
        <w:rPr>
          <w:rFonts w:hint="default" w:ascii="Times New Roman" w:hAnsi="Times New Roman" w:eastAsia="黑体" w:cs="Times New Roman"/>
          <w:sz w:val="48"/>
          <w:szCs w:val="48"/>
        </w:rPr>
        <w:sectPr>
          <w:footerReference r:id="rId9" w:type="first"/>
          <w:footerReference r:id="rId8" w:type="default"/>
          <w:pgSz w:w="11906" w:h="16838"/>
          <w:pgMar w:top="1440" w:right="1800" w:bottom="1440" w:left="1800" w:header="851" w:footer="992" w:gutter="0"/>
          <w:cols w:space="425" w:num="1"/>
          <w:titlePg/>
          <w:docGrid w:type="lines" w:linePitch="312" w:charSpace="0"/>
        </w:sectPr>
      </w:pPr>
    </w:p>
    <w:p w14:paraId="6726393D">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14:paraId="1B0313B2">
      <w:pPr>
        <w:widowControl/>
        <w:jc w:val="center"/>
        <w:rPr>
          <w:rFonts w:hint="default" w:ascii="Times New Roman" w:hAnsi="Times New Roman" w:eastAsia="黑体" w:cs="Times New Roman"/>
          <w:sz w:val="28"/>
          <w:szCs w:val="28"/>
        </w:rPr>
      </w:pPr>
    </w:p>
    <w:p w14:paraId="48E5A844">
      <w:pPr>
        <w:pStyle w:val="1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w:t>
      </w:r>
      <w:bookmarkStart w:id="67" w:name="_GoBack"/>
      <w:bookmarkEnd w:id="67"/>
      <w:r>
        <w:rPr>
          <w:rFonts w:hint="default" w:ascii="Times New Roman" w:hAnsi="Times New Roman" w:eastAsia="仿宋_GB2312" w:cs="Times New Roman"/>
          <w:sz w:val="32"/>
          <w:szCs w:val="32"/>
        </w:rPr>
        <w:t>日</w:t>
      </w:r>
    </w:p>
    <w:p w14:paraId="54A5F3E2">
      <w:pPr>
        <w:rPr>
          <w:rFonts w:hint="default" w:ascii="Times New Roman" w:hAnsi="Times New Roman" w:cs="Times New Roman"/>
        </w:rPr>
      </w:pPr>
    </w:p>
    <w:p w14:paraId="095951B7">
      <w:pPr>
        <w:pStyle w:val="14"/>
        <w:adjustRightInd w:val="0"/>
        <w:snapToGrid w:val="0"/>
        <w:spacing w:before="0" w:line="560" w:lineRule="exact"/>
        <w:jc w:val="left"/>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rPr>
        <w:t xml:space="preserve">第一部分 </w:t>
      </w:r>
      <w:r>
        <w:rPr>
          <w:rFonts w:hint="default"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概况</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5</w:t>
      </w:r>
    </w:p>
    <w:p w14:paraId="2BA88845">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职责</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5</w:t>
      </w:r>
    </w:p>
    <w:p w14:paraId="58C08B62">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二、机构设置</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6</w:t>
      </w:r>
    </w:p>
    <w:p w14:paraId="70E9A5CF">
      <w:pPr>
        <w:pStyle w:val="14"/>
        <w:adjustRightInd w:val="0"/>
        <w:snapToGrid w:val="0"/>
        <w:spacing w:before="0" w:line="560" w:lineRule="exact"/>
        <w:jc w:val="left"/>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rPr>
        <w:t>第二部分 2025年度</w:t>
      </w:r>
      <w:r>
        <w:rPr>
          <w:rFonts w:hint="default"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7</w:t>
      </w:r>
    </w:p>
    <w:p w14:paraId="52F5FB19">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一、收入支出决算总体情况说明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7</w:t>
      </w:r>
    </w:p>
    <w:p w14:paraId="4976ED8E">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二、收入决算情况说明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7</w:t>
      </w:r>
    </w:p>
    <w:p w14:paraId="3114B516">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三、支出决算情况说明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8</w:t>
      </w:r>
    </w:p>
    <w:p w14:paraId="4635E549">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四、财政拨款收入支出决算总体情况说明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8</w:t>
      </w:r>
    </w:p>
    <w:p w14:paraId="1AF100BC">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五、一般公共预算财政拨款支出决算情况说明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9</w:t>
      </w:r>
    </w:p>
    <w:p w14:paraId="0F3CA1A6">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六、一般公共预算财政拨款基本支出决算情况说明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12</w:t>
      </w:r>
    </w:p>
    <w:p w14:paraId="60160A21">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七、财政拨款“三公”经费支出决算情况说明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12</w:t>
      </w:r>
    </w:p>
    <w:p w14:paraId="5C1A7C44">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八、政府性基金预算支出决算情况说明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13</w:t>
      </w:r>
    </w:p>
    <w:p w14:paraId="11AE8EE6">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九、国有资本经营预算支出决算情况说明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13</w:t>
      </w:r>
    </w:p>
    <w:p w14:paraId="669ED887">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十、其他重要事项的情况说明</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14</w:t>
      </w:r>
    </w:p>
    <w:p w14:paraId="1643AE20">
      <w:pPr>
        <w:pStyle w:val="14"/>
        <w:adjustRightInd w:val="0"/>
        <w:snapToGrid w:val="0"/>
        <w:spacing w:before="0" w:line="560" w:lineRule="exact"/>
        <w:jc w:val="left"/>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rPr>
        <w:t>第三部分 名词解释</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15</w:t>
      </w:r>
    </w:p>
    <w:p w14:paraId="7E92F5D6">
      <w:pPr>
        <w:pStyle w:val="14"/>
        <w:adjustRightInd w:val="0"/>
        <w:snapToGrid w:val="0"/>
        <w:spacing w:before="0" w:line="560" w:lineRule="exact"/>
        <w:jc w:val="left"/>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rPr>
        <w:t>第四部分 附件</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18</w:t>
      </w:r>
    </w:p>
    <w:p w14:paraId="7ED1236F">
      <w:pPr>
        <w:pStyle w:val="14"/>
        <w:adjustRightInd w:val="0"/>
        <w:snapToGrid w:val="0"/>
        <w:spacing w:before="0" w:line="560" w:lineRule="exact"/>
        <w:jc w:val="left"/>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rPr>
        <w:t>第五部分 附表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414EB7E2">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一、收入支出决算总表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3AE86A25">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二、收入决算表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60F440A0">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三、支出决算表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153E2AA2">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四、财政拨款收入支出决算总表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3451C58A">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五、财政拨款支出决算明细表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2C7B3C9F">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六、一般公共预算财政拨款支出决算表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71105A84">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七、一般公共预算财政拨款支出决算明细表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0D6D700B">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八、一般公共预算财政拨款基本支出决算明细表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0BB2B830">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九、一般公共预算财政拨款项目支出决算表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5F455C79">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十、政府性基金预算财政拨款收入支出决算表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63AAD811">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十一、国有资本经营预算财政拨款收入支出决算表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4B082707">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十二、国有资本经营预算财政拨款支出决算表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1D863431">
      <w:pPr>
        <w:pStyle w:val="16"/>
        <w:adjustRightInd w:val="0"/>
        <w:snapToGrid w:val="0"/>
        <w:spacing w:line="560" w:lineRule="exact"/>
        <w:ind w:left="0" w:leftChars="0"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sz w:val="32"/>
          <w:szCs w:val="32"/>
        </w:rPr>
        <w:t>十三、财政拨款“三公”经费支出决算表</w:t>
      </w:r>
      <w:r>
        <w:rPr>
          <w:rFonts w:hint="default" w:ascii="Times New Roman" w:hAnsi="Times New Roman" w:eastAsia="方正仿宋_GB2312" w:cs="Times New Roman"/>
          <w:sz w:val="32"/>
          <w:szCs w:val="32"/>
        </w:rPr>
        <w:tab/>
      </w:r>
      <w:r>
        <w:rPr>
          <w:rFonts w:hint="default" w:ascii="Times New Roman" w:hAnsi="Times New Roman" w:eastAsia="方正仿宋_GB2312" w:cs="Times New Roman"/>
          <w:sz w:val="32"/>
          <w:szCs w:val="32"/>
          <w:lang w:val="en-US" w:eastAsia="zh-CN"/>
        </w:rPr>
        <w:t>19</w:t>
      </w:r>
    </w:p>
    <w:p w14:paraId="150D7869">
      <w:pPr>
        <w:widowControl/>
        <w:spacing w:line="560" w:lineRule="exact"/>
        <w:jc w:val="left"/>
        <w:rPr>
          <w:rFonts w:hint="default" w:ascii="Times New Roman" w:hAnsi="Times New Roman" w:eastAsia="仿宋_GB2312" w:cs="Times New Roman"/>
          <w:bCs/>
          <w:kern w:val="44"/>
          <w:sz w:val="32"/>
          <w:szCs w:val="32"/>
        </w:rPr>
      </w:pPr>
      <w:bookmarkStart w:id="12" w:name="_Toc15396599"/>
      <w:bookmarkStart w:id="13" w:name="_Toc15377196"/>
      <w:r>
        <w:rPr>
          <w:rFonts w:hint="default" w:ascii="Times New Roman" w:hAnsi="Times New Roman" w:eastAsia="仿宋_GB2312" w:cs="Times New Roman"/>
          <w:b/>
          <w:sz w:val="32"/>
          <w:szCs w:val="32"/>
        </w:rPr>
        <w:br w:type="page"/>
      </w:r>
    </w:p>
    <w:p w14:paraId="31743209">
      <w:pPr>
        <w:pStyle w:val="3"/>
        <w:jc w:val="center"/>
        <w:rPr>
          <w:rStyle w:val="29"/>
          <w:rFonts w:hint="default" w:ascii="Times New Roman" w:hAnsi="Times New Roman" w:eastAsia="方正小标宋简体" w:cs="Times New Roman"/>
          <w:b/>
          <w:bCs w:val="0"/>
        </w:rPr>
      </w:pPr>
      <w:r>
        <w:rPr>
          <w:rFonts w:hint="default" w:ascii="Times New Roman" w:hAnsi="Times New Roman" w:eastAsia="方正小标宋简体" w:cs="Times New Roman"/>
          <w:b w:val="0"/>
        </w:rPr>
        <w:t>第一部分</w:t>
      </w:r>
      <w:r>
        <w:rPr>
          <w:rFonts w:hint="default" w:ascii="Times New Roman" w:hAnsi="Times New Roman" w:eastAsia="方正小标宋简体" w:cs="Times New Roman"/>
          <w:b w:val="0"/>
          <w:lang w:eastAsia="zh-CN"/>
        </w:rPr>
        <w:t>单位</w:t>
      </w:r>
      <w:r>
        <w:rPr>
          <w:rStyle w:val="29"/>
          <w:rFonts w:hint="default" w:ascii="Times New Roman" w:hAnsi="Times New Roman" w:eastAsia="方正小标宋简体" w:cs="Times New Roman"/>
          <w:b w:val="0"/>
          <w:bCs w:val="0"/>
        </w:rPr>
        <w:t>概况</w:t>
      </w:r>
      <w:bookmarkEnd w:id="12"/>
      <w:bookmarkEnd w:id="13"/>
    </w:p>
    <w:p w14:paraId="69792549">
      <w:pPr>
        <w:widowControl/>
        <w:jc w:val="left"/>
        <w:rPr>
          <w:rFonts w:hint="default" w:ascii="Times New Roman" w:hAnsi="Times New Roman" w:eastAsia="黑体" w:cs="Times New Roman"/>
          <w:sz w:val="32"/>
          <w:szCs w:val="32"/>
        </w:rPr>
      </w:pPr>
    </w:p>
    <w:p w14:paraId="00B6C602">
      <w:pPr>
        <w:pStyle w:val="4"/>
        <w:numPr>
          <w:ilvl w:val="0"/>
          <w:numId w:val="1"/>
        </w:numPr>
        <w:rPr>
          <w:rFonts w:hint="default" w:ascii="Times New Roman" w:hAnsi="Times New Roman" w:eastAsia="黑体" w:cs="Times New Roman"/>
          <w:b w:val="0"/>
        </w:rPr>
      </w:pPr>
      <w:r>
        <w:rPr>
          <w:rFonts w:hint="default" w:ascii="Times New Roman" w:hAnsi="Times New Roman" w:eastAsia="黑体" w:cs="Times New Roman"/>
          <w:b w:val="0"/>
          <w:lang w:eastAsia="zh-CN"/>
        </w:rPr>
        <w:t>单位</w:t>
      </w:r>
      <w:r>
        <w:rPr>
          <w:rFonts w:hint="default" w:ascii="Times New Roman" w:hAnsi="Times New Roman" w:eastAsia="黑体" w:cs="Times New Roman"/>
          <w:b w:val="0"/>
        </w:rPr>
        <w:t>职责</w:t>
      </w:r>
    </w:p>
    <w:p w14:paraId="442BCE99">
      <w:pPr>
        <w:pStyle w:val="28"/>
        <w:numPr>
          <w:ilvl w:val="0"/>
          <w:numId w:val="0"/>
        </w:numPr>
        <w:spacing w:line="600" w:lineRule="exact"/>
        <w:ind w:firstLine="640" w:firstLineChars="200"/>
        <w:outlineLvl w:val="1"/>
        <w:rPr>
          <w:rFonts w:hint="default" w:ascii="Times New Roman" w:hAnsi="Times New Roman" w:cs="Times New Roman"/>
        </w:rPr>
      </w:pPr>
      <w:r>
        <w:rPr>
          <w:rFonts w:hint="default" w:ascii="Times New Roman" w:hAnsi="Times New Roman" w:eastAsia="仿宋_GB2312" w:cs="Times New Roman"/>
          <w:b w:val="0"/>
          <w:bCs w:val="0"/>
          <w:sz w:val="32"/>
          <w:szCs w:val="32"/>
        </w:rPr>
        <w:t>依法查处娱乐场所、互联网上网服务营业场所的违法行为，查处演出、艺术品经营及进出口、文物经营等活动中的违法行为；查处文化艺术经营、展览展播活动中的违法行为；查处除制作、播出、传输等机构外的企业、个人和社会组织从事广播、电影、电视活动中的违法行为，查处电影放映单位的违法行为，查处安装和设置卫星电视广播地面接收设施、传送境外卫星</w:t>
      </w:r>
      <w:r>
        <w:rPr>
          <w:rFonts w:hint="default" w:ascii="Times New Roman" w:hAnsi="Times New Roman" w:eastAsia="仿宋_GB2312" w:cs="Times New Roman"/>
          <w:b w:val="0"/>
          <w:bCs w:val="0"/>
          <w:sz w:val="32"/>
          <w:szCs w:val="32"/>
          <w:lang w:eastAsia="zh-CN"/>
        </w:rPr>
        <w:t>电视节目</w:t>
      </w:r>
      <w:r>
        <w:rPr>
          <w:rFonts w:hint="default" w:ascii="Times New Roman" w:hAnsi="Times New Roman" w:eastAsia="仿宋_GB2312" w:cs="Times New Roman"/>
          <w:b w:val="0"/>
          <w:bCs w:val="0"/>
          <w:sz w:val="32"/>
          <w:szCs w:val="32"/>
        </w:rPr>
        <w:t>的违法行为，查处放映未取得《电影片公映许可证》的电影片和走私放映盗版影片等违法活动；查处图书、音像制品、电子出版物等方面的违法出版活动和印刷、复制、出版物发行中的违法经营活动，查处非法出版单位和个人的违法出版活动；查处著作权侵权行为；查处网络文化、网络视听、网络出版等方面的违法经营活动；配合查处生产、销售、使用“伪基站”设备的违法行为；在网信办统筹协调下承担互联网信息内容的有关执法工作；负责权限范围内旅游市场综合执法工作；承担“扫黄打非”有关行政执法工作任务；依法履行法律法规规章及地方政府赋予的其他职责。</w:t>
      </w:r>
    </w:p>
    <w:p w14:paraId="7265852A">
      <w:pPr>
        <w:pStyle w:val="4"/>
        <w:rPr>
          <w:rStyle w:val="30"/>
          <w:rFonts w:hint="default" w:ascii="Times New Roman" w:hAnsi="Times New Roman" w:cs="Times New Roman"/>
          <w:b w:val="0"/>
          <w:bCs w:val="0"/>
        </w:rPr>
      </w:pPr>
      <w:bookmarkStart w:id="14" w:name="_Toc15396601"/>
      <w:bookmarkStart w:id="15" w:name="_Toc15377200"/>
      <w:r>
        <w:rPr>
          <w:rFonts w:hint="default" w:ascii="Times New Roman" w:hAnsi="Times New Roman" w:eastAsia="黑体" w:cs="Times New Roman"/>
          <w:b w:val="0"/>
        </w:rPr>
        <w:t>二、机</w:t>
      </w:r>
      <w:r>
        <w:rPr>
          <w:rStyle w:val="30"/>
          <w:rFonts w:hint="default" w:ascii="Times New Roman" w:hAnsi="Times New Roman" w:eastAsia="黑体" w:cs="Times New Roman"/>
          <w:b w:val="0"/>
          <w:bCs w:val="0"/>
        </w:rPr>
        <w:t>构设置</w:t>
      </w:r>
      <w:bookmarkEnd w:id="14"/>
      <w:bookmarkEnd w:id="15"/>
    </w:p>
    <w:p w14:paraId="27A5EC71">
      <w:pPr>
        <w:pStyle w:val="28"/>
        <w:numPr>
          <w:ilvl w:val="0"/>
          <w:numId w:val="0"/>
        </w:numPr>
        <w:spacing w:line="600" w:lineRule="exact"/>
        <w:ind w:firstLine="640" w:firstLineChars="200"/>
        <w:outlineLvl w:val="1"/>
        <w:rPr>
          <w:rFonts w:hint="default" w:ascii="Times New Roman" w:hAnsi="Times New Roman" w:eastAsia="仿宋" w:cs="Times New Roman"/>
          <w:kern w:val="0"/>
          <w:sz w:val="32"/>
          <w:szCs w:val="32"/>
        </w:rPr>
      </w:pPr>
      <w:r>
        <w:rPr>
          <w:rFonts w:hint="default" w:ascii="Times New Roman" w:hAnsi="Times New Roman" w:eastAsia="仿宋_GB2312" w:cs="Times New Roman"/>
          <w:b w:val="0"/>
          <w:bCs w:val="0"/>
          <w:sz w:val="32"/>
          <w:szCs w:val="32"/>
          <w:lang w:eastAsia="zh-CN"/>
        </w:rPr>
        <w:t>攀枝花市文化市场综合行政执法支队是攀枝花市文化广播电视和旅游局下属二级单位，属于独立核算的参照公务员法管理的事业单位。</w:t>
      </w:r>
      <w:r>
        <w:rPr>
          <w:rFonts w:hint="default" w:ascii="Times New Roman" w:hAnsi="Times New Roman" w:eastAsia="仿宋" w:cs="Times New Roman"/>
          <w:sz w:val="32"/>
          <w:szCs w:val="32"/>
        </w:rPr>
        <w:br w:type="page"/>
      </w:r>
    </w:p>
    <w:p w14:paraId="35CCDAA5">
      <w:pPr>
        <w:pStyle w:val="3"/>
        <w:jc w:val="center"/>
        <w:rPr>
          <w:rFonts w:hint="default" w:ascii="Times New Roman" w:hAnsi="Times New Roman" w:eastAsia="方正小标宋简体" w:cs="Times New Roman"/>
          <w:b w:val="0"/>
        </w:rPr>
      </w:pPr>
      <w:bookmarkStart w:id="16" w:name="_Toc15377204"/>
      <w:bookmarkStart w:id="17" w:name="_Toc15396602"/>
      <w:r>
        <w:rPr>
          <w:rFonts w:hint="default" w:ascii="Times New Roman" w:hAnsi="Times New Roman" w:eastAsia="方正小标宋简体" w:cs="Times New Roman"/>
          <w:b w:val="0"/>
        </w:rPr>
        <w:t>第二部分2025年度</w:t>
      </w:r>
      <w:r>
        <w:rPr>
          <w:rFonts w:hint="default" w:ascii="Times New Roman" w:hAnsi="Times New Roman" w:eastAsia="方正小标宋简体" w:cs="Times New Roman"/>
          <w:b w:val="0"/>
          <w:lang w:eastAsia="zh-CN"/>
        </w:rPr>
        <w:t>单位</w:t>
      </w:r>
      <w:r>
        <w:rPr>
          <w:rFonts w:hint="default" w:ascii="Times New Roman" w:hAnsi="Times New Roman" w:eastAsia="方正小标宋简体" w:cs="Times New Roman"/>
          <w:b w:val="0"/>
        </w:rPr>
        <w:t>决算情况说明</w:t>
      </w:r>
      <w:bookmarkEnd w:id="16"/>
      <w:bookmarkEnd w:id="17"/>
    </w:p>
    <w:p w14:paraId="32FF7926">
      <w:pPr>
        <w:rPr>
          <w:rFonts w:hint="default" w:ascii="Times New Roman" w:hAnsi="Times New Roman" w:cs="Times New Roman"/>
        </w:rPr>
      </w:pPr>
    </w:p>
    <w:p w14:paraId="5684FDF4">
      <w:pPr>
        <w:pStyle w:val="28"/>
        <w:spacing w:line="600" w:lineRule="exact"/>
        <w:ind w:firstLine="640"/>
        <w:outlineLvl w:val="1"/>
        <w:rPr>
          <w:rStyle w:val="30"/>
          <w:rFonts w:hint="default" w:ascii="Times New Roman" w:hAnsi="Times New Roman" w:eastAsia="黑体" w:cs="Times New Roman"/>
          <w:b w:val="0"/>
        </w:rPr>
      </w:pPr>
      <w:bookmarkStart w:id="18" w:name="_Toc15377205"/>
      <w:bookmarkStart w:id="19" w:name="_Toc15396603"/>
      <w:r>
        <w:rPr>
          <w:rFonts w:hint="default" w:ascii="Times New Roman" w:hAnsi="Times New Roman" w:eastAsia="黑体" w:cs="Times New Roman"/>
          <w:sz w:val="32"/>
          <w:szCs w:val="32"/>
        </w:rPr>
        <w:t>一、收</w:t>
      </w:r>
      <w:r>
        <w:rPr>
          <w:rStyle w:val="30"/>
          <w:rFonts w:hint="default" w:ascii="Times New Roman" w:hAnsi="Times New Roman" w:eastAsia="黑体" w:cs="Times New Roman"/>
          <w:b w:val="0"/>
        </w:rPr>
        <w:t>入支出决算总体情况说明</w:t>
      </w:r>
      <w:bookmarkEnd w:id="18"/>
      <w:bookmarkEnd w:id="19"/>
    </w:p>
    <w:p w14:paraId="2A953BBA">
      <w:pPr>
        <w:pStyle w:val="28"/>
        <w:spacing w:line="600" w:lineRule="exact"/>
        <w:ind w:firstLine="640"/>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2025年度收入、支出总计均为698.62万元。与上年度相比，收入、支出总计各增加</w:t>
      </w:r>
      <w:r>
        <w:rPr>
          <w:rFonts w:hint="default" w:ascii="Times New Roman" w:hAnsi="Times New Roman" w:eastAsia="仿宋_GB2312" w:cs="Times New Roman"/>
          <w:sz w:val="32"/>
          <w:szCs w:val="32"/>
          <w:lang w:val="en-US" w:eastAsia="zh-CN"/>
        </w:rPr>
        <w:t>135.51</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24.1</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2025年新增4人所致。</w:t>
      </w:r>
    </w:p>
    <w:p w14:paraId="65B0641C">
      <w:pPr>
        <w:pStyle w:val="28"/>
        <w:spacing w:line="600" w:lineRule="exact"/>
        <w:ind w:firstLine="640"/>
        <w:outlineLvl w:val="1"/>
        <w:rPr>
          <w:rFonts w:hint="default" w:ascii="Times New Roman" w:hAnsi="Times New Roman" w:eastAsia="仿宋_GB2312" w:cs="Times New Roman"/>
          <w:sz w:val="32"/>
          <w:szCs w:val="32"/>
        </w:rPr>
      </w:pPr>
    </w:p>
    <w:p w14:paraId="33AA51DB">
      <w:pPr>
        <w:pStyle w:val="28"/>
        <w:spacing w:line="600" w:lineRule="exact"/>
        <w:ind w:firstLine="640"/>
        <w:outlineLvl w:val="1"/>
        <w:rPr>
          <w:rFonts w:hint="default" w:ascii="Times New Roman" w:hAnsi="Times New Roman" w:eastAsia="仿宋_GB2312" w:cs="Times New Roman"/>
          <w:sz w:val="32"/>
          <w:szCs w:val="32"/>
        </w:rPr>
      </w:pPr>
    </w:p>
    <w:p w14:paraId="0D80FF50">
      <w:pPr>
        <w:pStyle w:val="28"/>
        <w:spacing w:line="600" w:lineRule="exact"/>
        <w:ind w:firstLine="640"/>
        <w:outlineLvl w:val="1"/>
        <w:rPr>
          <w:rFonts w:hint="default" w:ascii="Times New Roman" w:hAnsi="Times New Roman" w:eastAsia="仿宋_GB2312" w:cs="Times New Roman"/>
          <w:sz w:val="32"/>
          <w:szCs w:val="32"/>
        </w:rPr>
      </w:pPr>
    </w:p>
    <w:p w14:paraId="6026406F">
      <w:pPr>
        <w:pStyle w:val="28"/>
        <w:spacing w:line="600" w:lineRule="exact"/>
        <w:ind w:firstLine="640"/>
        <w:outlineLvl w:val="1"/>
        <w:rPr>
          <w:rFonts w:hint="default" w:ascii="Times New Roman" w:hAnsi="Times New Roman" w:eastAsia="仿宋_GB2312" w:cs="Times New Roman"/>
          <w:sz w:val="32"/>
          <w:szCs w:val="32"/>
        </w:rPr>
      </w:pPr>
    </w:p>
    <w:p w14:paraId="518219C1">
      <w:pPr>
        <w:pStyle w:val="28"/>
        <w:spacing w:line="600" w:lineRule="exact"/>
        <w:ind w:firstLine="640"/>
        <w:outlineLvl w:val="1"/>
        <w:rPr>
          <w:rFonts w:hint="default" w:ascii="Times New Roman" w:hAnsi="Times New Roman" w:eastAsia="仿宋_GB2312" w:cs="Times New Roman"/>
          <w:sz w:val="32"/>
          <w:szCs w:val="32"/>
        </w:rPr>
      </w:pPr>
    </w:p>
    <w:p w14:paraId="0DA43022">
      <w:pPr>
        <w:pStyle w:val="28"/>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271145</wp:posOffset>
            </wp:positionH>
            <wp:positionV relativeFrom="paragraph">
              <wp:posOffset>-1824355</wp:posOffset>
            </wp:positionV>
            <wp:extent cx="4731385" cy="2164080"/>
            <wp:effectExtent l="4445" t="4445" r="45720" b="22225"/>
            <wp:wrapTight wrapText="bothSides">
              <wp:wrapPolygon>
                <wp:start x="-20" y="-44"/>
                <wp:lineTo x="-20" y="21442"/>
                <wp:lineTo x="21548" y="21442"/>
                <wp:lineTo x="21548" y="-44"/>
                <wp:lineTo x="-20" y="-44"/>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1FAFB95">
      <w:pPr>
        <w:pStyle w:val="28"/>
        <w:spacing w:line="600" w:lineRule="exact"/>
        <w:ind w:firstLine="640"/>
        <w:jc w:val="center"/>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w:t>
      </w:r>
    </w:p>
    <w:p w14:paraId="5AE86B70">
      <w:pPr>
        <w:ind w:firstLine="640" w:firstLineChars="200"/>
        <w:rPr>
          <w:rFonts w:hint="default" w:ascii="Times New Roman" w:hAnsi="Times New Roman" w:eastAsia="仿宋_GB2312" w:cs="Times New Roman"/>
          <w:sz w:val="32"/>
          <w:szCs w:val="32"/>
        </w:rPr>
      </w:pPr>
    </w:p>
    <w:p w14:paraId="46375AE1">
      <w:pPr>
        <w:pStyle w:val="28"/>
        <w:spacing w:line="600" w:lineRule="exact"/>
        <w:ind w:firstLine="640"/>
        <w:outlineLvl w:val="1"/>
        <w:rPr>
          <w:rFonts w:hint="default" w:ascii="Times New Roman" w:hAnsi="Times New Roman" w:eastAsia="黑体" w:cs="Times New Roman"/>
          <w:sz w:val="32"/>
          <w:szCs w:val="32"/>
        </w:rPr>
      </w:pPr>
      <w:bookmarkStart w:id="20" w:name="_Toc15396604"/>
      <w:bookmarkStart w:id="21" w:name="_Toc15377206"/>
      <w:r>
        <w:rPr>
          <w:rFonts w:hint="default" w:ascii="Times New Roman" w:hAnsi="Times New Roman" w:eastAsia="黑体" w:cs="Times New Roman"/>
          <w:sz w:val="32"/>
          <w:szCs w:val="32"/>
        </w:rPr>
        <w:t>二、收入决算情况说明</w:t>
      </w:r>
      <w:bookmarkEnd w:id="20"/>
      <w:bookmarkEnd w:id="21"/>
    </w:p>
    <w:p w14:paraId="10BBE79E">
      <w:pPr>
        <w:pStyle w:val="28"/>
        <w:spacing w:line="600" w:lineRule="exact"/>
        <w:ind w:firstLine="640"/>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2025年度本年收入合计698.62万元，其中：一般公共预算财政拨款收入698.62万元，占100%。</w:t>
      </w:r>
    </w:p>
    <w:p w14:paraId="18552DE2">
      <w:pPr>
        <w:pStyle w:val="28"/>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684530</wp:posOffset>
            </wp:positionH>
            <wp:positionV relativeFrom="paragraph">
              <wp:posOffset>85090</wp:posOffset>
            </wp:positionV>
            <wp:extent cx="4686935" cy="1548765"/>
            <wp:effectExtent l="4445" t="5080" r="13970" b="46355"/>
            <wp:wrapTight wrapText="bothSides">
              <wp:wrapPolygon>
                <wp:start x="-20" y="-71"/>
                <wp:lineTo x="-20" y="21449"/>
                <wp:lineTo x="21577" y="21449"/>
                <wp:lineTo x="21577" y="-71"/>
                <wp:lineTo x="-20" y="-71"/>
              </wp:wrapPolygon>
            </wp:wrapTight>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F4CD8AF">
      <w:pPr>
        <w:pStyle w:val="28"/>
        <w:spacing w:line="600" w:lineRule="exact"/>
        <w:ind w:firstLine="640"/>
        <w:outlineLvl w:val="1"/>
        <w:rPr>
          <w:rFonts w:hint="default" w:ascii="Times New Roman" w:hAnsi="Times New Roman" w:eastAsia="仿宋_GB2312" w:cs="Times New Roman"/>
          <w:sz w:val="32"/>
          <w:szCs w:val="32"/>
        </w:rPr>
      </w:pPr>
    </w:p>
    <w:p w14:paraId="70121790">
      <w:pPr>
        <w:pStyle w:val="28"/>
        <w:spacing w:line="600" w:lineRule="exact"/>
        <w:ind w:firstLine="640"/>
        <w:outlineLvl w:val="1"/>
        <w:rPr>
          <w:rFonts w:hint="default" w:ascii="Times New Roman" w:hAnsi="Times New Roman" w:eastAsia="仿宋_GB2312" w:cs="Times New Roman"/>
          <w:sz w:val="32"/>
          <w:szCs w:val="32"/>
        </w:rPr>
      </w:pPr>
    </w:p>
    <w:p w14:paraId="3E4D761E">
      <w:pPr>
        <w:pStyle w:val="28"/>
        <w:spacing w:line="600" w:lineRule="exact"/>
        <w:ind w:firstLine="640"/>
        <w:outlineLvl w:val="1"/>
        <w:rPr>
          <w:rFonts w:hint="default" w:ascii="Times New Roman" w:hAnsi="Times New Roman" w:eastAsia="仿宋_GB2312" w:cs="Times New Roman"/>
          <w:sz w:val="32"/>
          <w:szCs w:val="32"/>
        </w:rPr>
      </w:pPr>
    </w:p>
    <w:p w14:paraId="69C4A3C5">
      <w:pPr>
        <w:pStyle w:val="28"/>
        <w:spacing w:line="600" w:lineRule="exact"/>
        <w:ind w:firstLine="640"/>
        <w:jc w:val="center"/>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w:t>
      </w:r>
    </w:p>
    <w:p w14:paraId="15FA6220">
      <w:pPr>
        <w:pStyle w:val="28"/>
        <w:spacing w:line="600" w:lineRule="exact"/>
        <w:ind w:firstLine="640"/>
        <w:outlineLvl w:val="1"/>
        <w:rPr>
          <w:rStyle w:val="30"/>
          <w:rFonts w:hint="default" w:ascii="Times New Roman" w:hAnsi="Times New Roman" w:eastAsia="黑体" w:cs="Times New Roman"/>
          <w:b w:val="0"/>
        </w:rPr>
      </w:pPr>
      <w:bookmarkStart w:id="22" w:name="_Toc15377207"/>
      <w:bookmarkStart w:id="23" w:name="_Toc15396605"/>
      <w:r>
        <w:rPr>
          <w:rFonts w:hint="default" w:ascii="Times New Roman" w:hAnsi="Times New Roman" w:eastAsia="黑体" w:cs="Times New Roman"/>
          <w:sz w:val="32"/>
          <w:szCs w:val="32"/>
        </w:rPr>
        <w:t>三、支</w:t>
      </w:r>
      <w:r>
        <w:rPr>
          <w:rStyle w:val="30"/>
          <w:rFonts w:hint="default" w:ascii="Times New Roman" w:hAnsi="Times New Roman" w:eastAsia="黑体" w:cs="Times New Roman"/>
          <w:b w:val="0"/>
        </w:rPr>
        <w:t>出决算情况说明</w:t>
      </w:r>
      <w:bookmarkEnd w:id="22"/>
      <w:bookmarkEnd w:id="23"/>
    </w:p>
    <w:p w14:paraId="33D5C1C5">
      <w:pPr>
        <w:pStyle w:val="28"/>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2025年度本年支出合计698.62万元，其中：基本支出698.36万元，占</w:t>
      </w:r>
      <w:r>
        <w:rPr>
          <w:rFonts w:hint="default" w:ascii="Times New Roman" w:hAnsi="Times New Roman" w:eastAsia="仿宋_GB2312" w:cs="Times New Roman"/>
          <w:color w:val="auto"/>
          <w:sz w:val="32"/>
          <w:szCs w:val="32"/>
        </w:rPr>
        <w:t>99.9%</w:t>
      </w:r>
      <w:r>
        <w:rPr>
          <w:rFonts w:hint="default" w:ascii="Times New Roman" w:hAnsi="Times New Roman" w:eastAsia="仿宋_GB2312" w:cs="Times New Roman"/>
          <w:sz w:val="32"/>
          <w:szCs w:val="32"/>
        </w:rPr>
        <w:t>；项目支出0.26万元，占0.</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p>
    <w:p w14:paraId="62B2A468">
      <w:pPr>
        <w:pStyle w:val="28"/>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167640</wp:posOffset>
            </wp:positionH>
            <wp:positionV relativeFrom="paragraph">
              <wp:posOffset>175895</wp:posOffset>
            </wp:positionV>
            <wp:extent cx="4789170" cy="2584450"/>
            <wp:effectExtent l="4445" t="4445" r="45085" b="20955"/>
            <wp:wrapTight wrapText="bothSides">
              <wp:wrapPolygon>
                <wp:start x="-20" y="-37"/>
                <wp:lineTo x="-20" y="21457"/>
                <wp:lineTo x="21546" y="21457"/>
                <wp:lineTo x="21546" y="-37"/>
                <wp:lineTo x="-20" y="-37"/>
              </wp:wrapPolygon>
            </wp:wrapTight>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E57CBE5">
      <w:pPr>
        <w:pStyle w:val="28"/>
        <w:spacing w:line="600" w:lineRule="exact"/>
        <w:ind w:firstLine="640"/>
        <w:outlineLvl w:val="1"/>
        <w:rPr>
          <w:rFonts w:hint="default" w:ascii="Times New Roman" w:hAnsi="Times New Roman" w:eastAsia="仿宋_GB2312" w:cs="Times New Roman"/>
          <w:sz w:val="32"/>
          <w:szCs w:val="32"/>
        </w:rPr>
      </w:pPr>
    </w:p>
    <w:p w14:paraId="2DF405E2">
      <w:pPr>
        <w:pStyle w:val="28"/>
        <w:spacing w:line="600" w:lineRule="exact"/>
        <w:ind w:firstLine="640"/>
        <w:outlineLvl w:val="1"/>
        <w:rPr>
          <w:rFonts w:hint="default" w:ascii="Times New Roman" w:hAnsi="Times New Roman" w:eastAsia="仿宋_GB2312" w:cs="Times New Roman"/>
          <w:sz w:val="32"/>
          <w:szCs w:val="32"/>
        </w:rPr>
      </w:pPr>
    </w:p>
    <w:p w14:paraId="3D1BFF5C">
      <w:pPr>
        <w:pStyle w:val="28"/>
        <w:spacing w:line="600" w:lineRule="exact"/>
        <w:ind w:firstLine="640"/>
        <w:outlineLvl w:val="1"/>
        <w:rPr>
          <w:rFonts w:hint="default" w:ascii="Times New Roman" w:hAnsi="Times New Roman" w:eastAsia="仿宋_GB2312" w:cs="Times New Roman"/>
          <w:sz w:val="32"/>
          <w:szCs w:val="32"/>
        </w:rPr>
      </w:pPr>
    </w:p>
    <w:p w14:paraId="02E9F28F">
      <w:pPr>
        <w:pStyle w:val="28"/>
        <w:spacing w:line="600" w:lineRule="exact"/>
        <w:ind w:firstLine="640"/>
        <w:outlineLvl w:val="1"/>
        <w:rPr>
          <w:rFonts w:hint="default" w:ascii="Times New Roman" w:hAnsi="Times New Roman" w:eastAsia="仿宋_GB2312" w:cs="Times New Roman"/>
          <w:sz w:val="32"/>
          <w:szCs w:val="32"/>
        </w:rPr>
      </w:pPr>
    </w:p>
    <w:p w14:paraId="12F4EBEC">
      <w:pPr>
        <w:pStyle w:val="28"/>
        <w:spacing w:line="600" w:lineRule="exact"/>
        <w:ind w:firstLine="640"/>
        <w:outlineLvl w:val="1"/>
        <w:rPr>
          <w:rFonts w:hint="default" w:ascii="Times New Roman" w:hAnsi="Times New Roman" w:eastAsia="仿宋_GB2312" w:cs="Times New Roman"/>
          <w:sz w:val="32"/>
          <w:szCs w:val="32"/>
        </w:rPr>
      </w:pPr>
    </w:p>
    <w:p w14:paraId="74C18CBA">
      <w:pPr>
        <w:pStyle w:val="28"/>
        <w:spacing w:line="600" w:lineRule="exact"/>
        <w:ind w:left="0" w:leftChars="0" w:firstLine="0" w:firstLineChars="0"/>
        <w:outlineLvl w:val="1"/>
        <w:rPr>
          <w:rFonts w:hint="default" w:ascii="Times New Roman" w:hAnsi="Times New Roman" w:eastAsia="仿宋_GB2312" w:cs="Times New Roman"/>
          <w:sz w:val="32"/>
          <w:szCs w:val="32"/>
        </w:rPr>
      </w:pPr>
    </w:p>
    <w:p w14:paraId="1B08E3CB">
      <w:pPr>
        <w:pStyle w:val="28"/>
        <w:spacing w:line="600" w:lineRule="exact"/>
        <w:ind w:firstLine="640"/>
        <w:jc w:val="center"/>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（图3：支出决算结构图）（饼状图）</w:t>
      </w:r>
    </w:p>
    <w:p w14:paraId="0819410D">
      <w:pPr>
        <w:ind w:firstLine="800" w:firstLineChars="250"/>
        <w:rPr>
          <w:rFonts w:hint="default" w:ascii="Times New Roman" w:hAnsi="Times New Roman" w:eastAsia="仿宋_GB2312" w:cs="Times New Roman"/>
          <w:sz w:val="32"/>
          <w:szCs w:val="32"/>
        </w:rPr>
      </w:pPr>
    </w:p>
    <w:p w14:paraId="704EB41A">
      <w:pPr>
        <w:spacing w:line="600" w:lineRule="exact"/>
        <w:ind w:firstLine="640" w:firstLineChars="200"/>
        <w:outlineLvl w:val="1"/>
        <w:rPr>
          <w:rStyle w:val="30"/>
          <w:rFonts w:hint="default" w:ascii="Times New Roman" w:hAnsi="Times New Roman" w:eastAsia="黑体" w:cs="Times New Roman"/>
          <w:b w:val="0"/>
        </w:rPr>
      </w:pPr>
      <w:bookmarkStart w:id="24" w:name="_Toc15377208"/>
      <w:bookmarkStart w:id="25" w:name="_Toc15396606"/>
      <w:r>
        <w:rPr>
          <w:rFonts w:hint="default" w:ascii="Times New Roman" w:hAnsi="Times New Roman" w:eastAsia="黑体" w:cs="Times New Roman"/>
          <w:sz w:val="32"/>
          <w:szCs w:val="32"/>
        </w:rPr>
        <w:t>四、财</w:t>
      </w:r>
      <w:r>
        <w:rPr>
          <w:rStyle w:val="30"/>
          <w:rFonts w:hint="default" w:ascii="Times New Roman" w:hAnsi="Times New Roman" w:eastAsia="黑体" w:cs="Times New Roman"/>
          <w:b w:val="0"/>
        </w:rPr>
        <w:t>政拨款收入支出决算总体情况说明</w:t>
      </w:r>
      <w:bookmarkEnd w:id="24"/>
      <w:bookmarkEnd w:id="25"/>
    </w:p>
    <w:p w14:paraId="33C1974C">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2025年度财政拨款收入、支出总计均为698.62万元。与上年度相比，财政拨款收入、支出总计各增加</w:t>
      </w:r>
      <w:r>
        <w:rPr>
          <w:rFonts w:hint="default" w:ascii="Times New Roman" w:hAnsi="Times New Roman" w:eastAsia="仿宋_GB2312" w:cs="Times New Roman"/>
          <w:sz w:val="32"/>
          <w:szCs w:val="32"/>
          <w:lang w:val="en-US" w:eastAsia="zh-CN"/>
        </w:rPr>
        <w:t>135.51</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24.1</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2025年新增4人所致。</w:t>
      </w:r>
    </w:p>
    <w:p w14:paraId="213350D2">
      <w:pPr>
        <w:spacing w:line="600" w:lineRule="exact"/>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153670</wp:posOffset>
            </wp:positionH>
            <wp:positionV relativeFrom="paragraph">
              <wp:posOffset>27940</wp:posOffset>
            </wp:positionV>
            <wp:extent cx="4848225" cy="2341880"/>
            <wp:effectExtent l="4445" t="4445" r="5080" b="15875"/>
            <wp:wrapTight wrapText="bothSides">
              <wp:wrapPolygon>
                <wp:start x="-20" y="-41"/>
                <wp:lineTo x="-20" y="21395"/>
                <wp:lineTo x="21538" y="21395"/>
                <wp:lineTo x="21538" y="-41"/>
                <wp:lineTo x="-20" y="-41"/>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3542095">
      <w:pPr>
        <w:spacing w:line="600" w:lineRule="exact"/>
        <w:ind w:firstLine="640" w:firstLineChars="200"/>
        <w:rPr>
          <w:rFonts w:hint="default" w:ascii="Times New Roman" w:hAnsi="Times New Roman" w:eastAsia="仿宋_GB2312" w:cs="Times New Roman"/>
          <w:sz w:val="32"/>
          <w:szCs w:val="32"/>
        </w:rPr>
      </w:pPr>
    </w:p>
    <w:p w14:paraId="0E258A1A">
      <w:pPr>
        <w:spacing w:line="600" w:lineRule="exact"/>
        <w:ind w:firstLine="640" w:firstLineChars="200"/>
        <w:rPr>
          <w:rFonts w:hint="default" w:ascii="Times New Roman" w:hAnsi="Times New Roman" w:eastAsia="仿宋_GB2312" w:cs="Times New Roman"/>
          <w:sz w:val="32"/>
          <w:szCs w:val="32"/>
        </w:rPr>
      </w:pPr>
    </w:p>
    <w:p w14:paraId="70CF9C50">
      <w:pPr>
        <w:spacing w:line="600" w:lineRule="exact"/>
        <w:ind w:firstLine="640" w:firstLineChars="200"/>
        <w:rPr>
          <w:rFonts w:hint="default" w:ascii="Times New Roman" w:hAnsi="Times New Roman" w:eastAsia="仿宋_GB2312" w:cs="Times New Roman"/>
          <w:sz w:val="32"/>
          <w:szCs w:val="32"/>
        </w:rPr>
      </w:pPr>
    </w:p>
    <w:p w14:paraId="05AED9E2">
      <w:pPr>
        <w:spacing w:line="600" w:lineRule="exact"/>
        <w:ind w:firstLine="640" w:firstLineChars="200"/>
        <w:rPr>
          <w:rFonts w:hint="default" w:ascii="Times New Roman" w:hAnsi="Times New Roman" w:eastAsia="仿宋_GB2312" w:cs="Times New Roman"/>
          <w:sz w:val="32"/>
          <w:szCs w:val="32"/>
        </w:rPr>
      </w:pPr>
    </w:p>
    <w:p w14:paraId="14085BA7">
      <w:pPr>
        <w:spacing w:line="600" w:lineRule="exact"/>
        <w:rPr>
          <w:rFonts w:hint="default" w:ascii="Times New Roman" w:hAnsi="Times New Roman" w:eastAsia="仿宋_GB2312" w:cs="Times New Roman"/>
          <w:sz w:val="32"/>
          <w:szCs w:val="32"/>
        </w:rPr>
      </w:pPr>
    </w:p>
    <w:p w14:paraId="4810B7FC">
      <w:pPr>
        <w:spacing w:line="600" w:lineRule="exact"/>
        <w:ind w:firstLine="640" w:firstLineChars="20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w:t>
      </w:r>
    </w:p>
    <w:p w14:paraId="70F382D4">
      <w:pPr>
        <w:spacing w:line="600" w:lineRule="exact"/>
        <w:ind w:firstLine="640"/>
        <w:rPr>
          <w:rFonts w:hint="default" w:ascii="Times New Roman" w:hAnsi="Times New Roman" w:eastAsia="仿宋_GB2312" w:cs="Times New Roman"/>
          <w:sz w:val="32"/>
          <w:szCs w:val="32"/>
        </w:rPr>
      </w:pPr>
    </w:p>
    <w:p w14:paraId="6B2D1F9E">
      <w:pPr>
        <w:spacing w:line="600" w:lineRule="exact"/>
        <w:ind w:firstLine="640" w:firstLineChars="200"/>
        <w:outlineLvl w:val="1"/>
        <w:rPr>
          <w:rStyle w:val="30"/>
          <w:rFonts w:hint="default" w:ascii="Times New Roman" w:hAnsi="Times New Roman" w:eastAsia="黑体" w:cs="Times New Roman"/>
          <w:b w:val="0"/>
        </w:rPr>
      </w:pPr>
      <w:bookmarkStart w:id="26" w:name="_Toc15377209"/>
      <w:bookmarkStart w:id="27"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般公共预算财政拨款支出决算情况说明</w:t>
      </w:r>
      <w:bookmarkEnd w:id="26"/>
      <w:bookmarkEnd w:id="27"/>
    </w:p>
    <w:p w14:paraId="09041AB6">
      <w:pPr>
        <w:spacing w:line="600" w:lineRule="exact"/>
        <w:ind w:firstLine="643" w:firstLineChars="200"/>
        <w:outlineLvl w:val="2"/>
        <w:rPr>
          <w:rFonts w:hint="default" w:ascii="Times New Roman" w:hAnsi="Times New Roman" w:eastAsia="楷体_GB2312" w:cs="Times New Roman"/>
          <w:b/>
          <w:sz w:val="32"/>
          <w:szCs w:val="32"/>
        </w:rPr>
      </w:pPr>
      <w:bookmarkStart w:id="28" w:name="_Toc15377210"/>
      <w:r>
        <w:rPr>
          <w:rFonts w:hint="default" w:ascii="Times New Roman" w:hAnsi="Times New Roman" w:eastAsia="楷体_GB2312" w:cs="Times New Roman"/>
          <w:b/>
          <w:sz w:val="32"/>
          <w:szCs w:val="32"/>
        </w:rPr>
        <w:t>（一）一般公共预算财政拨款支出决算总体情况</w:t>
      </w:r>
      <w:bookmarkEnd w:id="28"/>
    </w:p>
    <w:p w14:paraId="2C1E3DE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2025年度一般公共预算财政拨款支出698.62万元，占本年支出合计的100%。与上年度相比，一般公共预算财政拨款支出增加</w:t>
      </w:r>
      <w:r>
        <w:rPr>
          <w:rFonts w:hint="default" w:ascii="Times New Roman" w:hAnsi="Times New Roman" w:eastAsia="仿宋_GB2312" w:cs="Times New Roman"/>
          <w:sz w:val="32"/>
          <w:szCs w:val="32"/>
          <w:lang w:val="en-US" w:eastAsia="zh-CN"/>
        </w:rPr>
        <w:t>135.51</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24.1</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2025年新增4人所致。</w:t>
      </w:r>
    </w:p>
    <w:p w14:paraId="6E7AFE7C">
      <w:pPr>
        <w:spacing w:line="600" w:lineRule="exact"/>
        <w:ind w:firstLine="64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2336" behindDoc="1" locked="0" layoutInCell="1" allowOverlap="1">
            <wp:simplePos x="0" y="0"/>
            <wp:positionH relativeFrom="column">
              <wp:posOffset>505460</wp:posOffset>
            </wp:positionH>
            <wp:positionV relativeFrom="paragraph">
              <wp:posOffset>27940</wp:posOffset>
            </wp:positionV>
            <wp:extent cx="4467225" cy="2947035"/>
            <wp:effectExtent l="4445" t="4445" r="5080" b="58420"/>
            <wp:wrapTight wrapText="bothSides">
              <wp:wrapPolygon>
                <wp:start x="-21" y="-33"/>
                <wp:lineTo x="-21" y="21470"/>
                <wp:lineTo x="21532" y="21470"/>
                <wp:lineTo x="21532" y="-33"/>
                <wp:lineTo x="-21" y="-33"/>
              </wp:wrapPolygon>
            </wp:wrapTight>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35DEF70">
      <w:pPr>
        <w:spacing w:line="600" w:lineRule="exact"/>
        <w:ind w:firstLine="640"/>
        <w:rPr>
          <w:rFonts w:hint="default" w:ascii="Times New Roman" w:hAnsi="Times New Roman" w:eastAsia="仿宋_GB2312" w:cs="Times New Roman"/>
          <w:sz w:val="32"/>
          <w:szCs w:val="32"/>
        </w:rPr>
      </w:pPr>
    </w:p>
    <w:p w14:paraId="50657D8A">
      <w:pPr>
        <w:spacing w:line="600" w:lineRule="exact"/>
        <w:ind w:firstLine="640"/>
        <w:rPr>
          <w:rFonts w:hint="default" w:ascii="Times New Roman" w:hAnsi="Times New Roman" w:eastAsia="仿宋_GB2312" w:cs="Times New Roman"/>
          <w:sz w:val="32"/>
          <w:szCs w:val="32"/>
        </w:rPr>
      </w:pPr>
    </w:p>
    <w:p w14:paraId="65994E34">
      <w:pPr>
        <w:spacing w:line="600" w:lineRule="exact"/>
        <w:ind w:firstLine="640"/>
        <w:rPr>
          <w:rFonts w:hint="default" w:ascii="Times New Roman" w:hAnsi="Times New Roman" w:eastAsia="仿宋_GB2312" w:cs="Times New Roman"/>
          <w:sz w:val="32"/>
          <w:szCs w:val="32"/>
        </w:rPr>
      </w:pPr>
    </w:p>
    <w:p w14:paraId="0B385329">
      <w:pPr>
        <w:spacing w:line="600" w:lineRule="exact"/>
        <w:ind w:firstLine="640"/>
        <w:rPr>
          <w:rFonts w:hint="default" w:ascii="Times New Roman" w:hAnsi="Times New Roman" w:eastAsia="仿宋_GB2312" w:cs="Times New Roman"/>
          <w:sz w:val="32"/>
          <w:szCs w:val="32"/>
        </w:rPr>
      </w:pPr>
    </w:p>
    <w:p w14:paraId="06403EF7">
      <w:pPr>
        <w:spacing w:line="600" w:lineRule="exact"/>
        <w:ind w:firstLine="640"/>
        <w:rPr>
          <w:rFonts w:hint="default" w:ascii="Times New Roman" w:hAnsi="Times New Roman" w:eastAsia="仿宋_GB2312" w:cs="Times New Roman"/>
          <w:sz w:val="32"/>
          <w:szCs w:val="32"/>
        </w:rPr>
      </w:pPr>
    </w:p>
    <w:p w14:paraId="0BD141D2">
      <w:pPr>
        <w:spacing w:line="600" w:lineRule="exact"/>
        <w:ind w:firstLine="640"/>
        <w:rPr>
          <w:rFonts w:hint="default" w:ascii="Times New Roman" w:hAnsi="Times New Roman" w:eastAsia="仿宋_GB2312" w:cs="Times New Roman"/>
          <w:sz w:val="32"/>
          <w:szCs w:val="32"/>
        </w:rPr>
      </w:pPr>
    </w:p>
    <w:p w14:paraId="23836BB4">
      <w:pPr>
        <w:spacing w:line="600" w:lineRule="exact"/>
        <w:rPr>
          <w:rFonts w:hint="default" w:ascii="Times New Roman" w:hAnsi="Times New Roman" w:eastAsia="仿宋_GB2312" w:cs="Times New Roman"/>
          <w:sz w:val="32"/>
          <w:szCs w:val="32"/>
        </w:rPr>
      </w:pPr>
    </w:p>
    <w:p w14:paraId="61D04C4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w:t>
      </w:r>
    </w:p>
    <w:p w14:paraId="6A698E47">
      <w:pPr>
        <w:spacing w:line="600" w:lineRule="exact"/>
        <w:ind w:firstLine="643" w:firstLineChars="200"/>
        <w:outlineLvl w:val="2"/>
        <w:rPr>
          <w:rFonts w:hint="default" w:ascii="Times New Roman" w:hAnsi="Times New Roman" w:eastAsia="楷体_GB2312" w:cs="Times New Roman"/>
          <w:b/>
          <w:sz w:val="32"/>
          <w:szCs w:val="32"/>
        </w:rPr>
      </w:pPr>
      <w:bookmarkStart w:id="29" w:name="_Toc15377211"/>
    </w:p>
    <w:p w14:paraId="0E3868FC">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bookmarkEnd w:id="29"/>
    </w:p>
    <w:p w14:paraId="7972E2E2">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2025年度一般公共预算财政拨款支出698.62万元，主要用于以下方面：一般公共服务支出</w:t>
      </w:r>
      <w:r>
        <w:rPr>
          <w:rFonts w:hint="default" w:ascii="Times New Roman" w:hAnsi="Times New Roman" w:eastAsia="仿宋_GB2312" w:cs="Times New Roman"/>
          <w:sz w:val="32"/>
          <w:szCs w:val="32"/>
          <w:lang w:val="en-US" w:eastAsia="zh-CN"/>
        </w:rPr>
        <w:t>0.26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520.22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74.5</w:t>
      </w:r>
      <w:r>
        <w:rPr>
          <w:rFonts w:hint="default" w:ascii="Times New Roman" w:hAnsi="Times New Roman" w:eastAsia="仿宋_GB2312" w:cs="Times New Roman"/>
          <w:sz w:val="32"/>
          <w:szCs w:val="32"/>
        </w:rPr>
        <w:t>%；社会保障和就业支出</w:t>
      </w:r>
      <w:r>
        <w:rPr>
          <w:rFonts w:hint="default" w:ascii="Times New Roman" w:hAnsi="Times New Roman" w:eastAsia="仿宋_GB2312" w:cs="Times New Roman"/>
          <w:sz w:val="32"/>
          <w:szCs w:val="32"/>
          <w:lang w:val="en-US" w:eastAsia="zh-CN"/>
        </w:rPr>
        <w:t>85.2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12.2</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41.62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5.9</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51.32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7.3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7F8F8BCA">
      <w:pPr>
        <w:spacing w:line="600" w:lineRule="exact"/>
        <w:ind w:firstLine="64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224155</wp:posOffset>
            </wp:positionH>
            <wp:positionV relativeFrom="paragraph">
              <wp:posOffset>24130</wp:posOffset>
            </wp:positionV>
            <wp:extent cx="4848225" cy="2698115"/>
            <wp:effectExtent l="0" t="0" r="9525" b="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8"/>
                    <a:stretch>
                      <a:fillRect/>
                    </a:stretch>
                  </pic:blipFill>
                  <pic:spPr>
                    <a:xfrm>
                      <a:off x="0" y="0"/>
                      <a:ext cx="4848225" cy="2698115"/>
                    </a:xfrm>
                    <a:prstGeom prst="rect">
                      <a:avLst/>
                    </a:prstGeom>
                    <a:noFill/>
                    <a:ln>
                      <a:noFill/>
                    </a:ln>
                  </pic:spPr>
                </pic:pic>
              </a:graphicData>
            </a:graphic>
          </wp:anchor>
        </w:drawing>
      </w:r>
    </w:p>
    <w:p w14:paraId="4BE77FBC">
      <w:pPr>
        <w:spacing w:line="600" w:lineRule="exact"/>
        <w:ind w:firstLine="640"/>
        <w:rPr>
          <w:rFonts w:hint="default" w:ascii="Times New Roman" w:hAnsi="Times New Roman" w:eastAsia="仿宋_GB2312" w:cs="Times New Roman"/>
          <w:sz w:val="32"/>
          <w:szCs w:val="32"/>
        </w:rPr>
      </w:pPr>
    </w:p>
    <w:p w14:paraId="51D03138">
      <w:pPr>
        <w:spacing w:line="600" w:lineRule="exact"/>
        <w:ind w:firstLine="640"/>
        <w:rPr>
          <w:rFonts w:hint="default" w:ascii="Times New Roman" w:hAnsi="Times New Roman" w:eastAsia="仿宋_GB2312" w:cs="Times New Roman"/>
          <w:sz w:val="32"/>
          <w:szCs w:val="32"/>
        </w:rPr>
      </w:pPr>
    </w:p>
    <w:p w14:paraId="5F1185E3">
      <w:pPr>
        <w:spacing w:line="600" w:lineRule="exact"/>
        <w:ind w:firstLine="640"/>
        <w:rPr>
          <w:rFonts w:hint="default" w:ascii="Times New Roman" w:hAnsi="Times New Roman" w:eastAsia="仿宋_GB2312" w:cs="Times New Roman"/>
          <w:sz w:val="32"/>
          <w:szCs w:val="32"/>
        </w:rPr>
      </w:pPr>
    </w:p>
    <w:p w14:paraId="24FEA63E">
      <w:pPr>
        <w:spacing w:line="600" w:lineRule="exact"/>
        <w:ind w:firstLine="640"/>
        <w:rPr>
          <w:rFonts w:hint="default" w:ascii="Times New Roman" w:hAnsi="Times New Roman" w:eastAsia="仿宋_GB2312" w:cs="Times New Roman"/>
          <w:sz w:val="32"/>
          <w:szCs w:val="32"/>
        </w:rPr>
      </w:pPr>
    </w:p>
    <w:p w14:paraId="24502A12">
      <w:pPr>
        <w:spacing w:line="600" w:lineRule="exact"/>
        <w:ind w:firstLine="640"/>
        <w:rPr>
          <w:rFonts w:hint="default" w:ascii="Times New Roman" w:hAnsi="Times New Roman" w:eastAsia="仿宋_GB2312" w:cs="Times New Roman"/>
          <w:sz w:val="32"/>
          <w:szCs w:val="32"/>
        </w:rPr>
      </w:pPr>
    </w:p>
    <w:p w14:paraId="65259AC6">
      <w:pPr>
        <w:spacing w:line="600" w:lineRule="exact"/>
        <w:rPr>
          <w:rFonts w:hint="default" w:ascii="Times New Roman" w:hAnsi="Times New Roman" w:eastAsia="仿宋_GB2312" w:cs="Times New Roman"/>
          <w:sz w:val="32"/>
          <w:szCs w:val="32"/>
        </w:rPr>
      </w:pPr>
    </w:p>
    <w:p w14:paraId="7843F6E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w:t>
      </w:r>
    </w:p>
    <w:p w14:paraId="34D2FA4A">
      <w:pPr>
        <w:spacing w:line="600" w:lineRule="exact"/>
        <w:ind w:firstLine="643" w:firstLineChars="200"/>
        <w:outlineLvl w:val="2"/>
        <w:rPr>
          <w:rFonts w:hint="default" w:ascii="Times New Roman" w:hAnsi="Times New Roman" w:eastAsia="楷体_GB2312" w:cs="Times New Roman"/>
          <w:b/>
          <w:sz w:val="32"/>
          <w:szCs w:val="32"/>
        </w:rPr>
      </w:pPr>
      <w:bookmarkStart w:id="30" w:name="_Toc15377212"/>
    </w:p>
    <w:p w14:paraId="6D850488">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bookmarkEnd w:id="30"/>
    </w:p>
    <w:p w14:paraId="67D7E330">
      <w:pPr>
        <w:spacing w:line="600" w:lineRule="exact"/>
        <w:ind w:firstLine="640"/>
        <w:rPr>
          <w:rFonts w:hint="default" w:ascii="Times New Roman" w:hAnsi="Times New Roman" w:eastAsia="仿宋_GB2312" w:cs="Times New Roman"/>
          <w:sz w:val="32"/>
          <w:szCs w:val="32"/>
        </w:rPr>
      </w:pPr>
      <w:bookmarkStart w:id="31" w:name="_Toc15378460"/>
      <w:bookmarkStart w:id="32" w:name="_Toc15377213"/>
      <w:bookmarkStart w:id="33" w:name="_Toc15377444"/>
      <w:r>
        <w:rPr>
          <w:rFonts w:hint="default" w:ascii="Times New Roman" w:hAnsi="Times New Roman" w:eastAsia="仿宋_GB2312" w:cs="Times New Roman"/>
          <w:sz w:val="32"/>
          <w:szCs w:val="32"/>
        </w:rPr>
        <w:t>2025年度一般公共预算支出决算数为698.62，完成预算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31"/>
      <w:bookmarkEnd w:id="32"/>
      <w:bookmarkEnd w:id="33"/>
    </w:p>
    <w:p w14:paraId="66624EE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1.一般公共服务（类）组织事务（款）其他组织事务支出（项）：支出决算为</w:t>
      </w:r>
      <w:r>
        <w:rPr>
          <w:rFonts w:hint="default" w:ascii="Times New Roman" w:hAnsi="Times New Roman" w:eastAsia="仿宋_GB2312" w:cs="Times New Roman"/>
          <w:sz w:val="32"/>
          <w:szCs w:val="32"/>
          <w:lang w:val="en-US" w:eastAsia="zh-CN"/>
        </w:rPr>
        <w:t>0.26</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7AC45AE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2.文化旅游体育与传媒（类）文化和旅游（款）行政运行（项）：支出决算为</w:t>
      </w:r>
      <w:r>
        <w:rPr>
          <w:rFonts w:hint="default" w:ascii="Times New Roman" w:hAnsi="Times New Roman" w:eastAsia="仿宋_GB2312" w:cs="Times New Roman"/>
          <w:sz w:val="32"/>
          <w:szCs w:val="32"/>
          <w:lang w:val="en-US" w:eastAsia="zh-CN"/>
        </w:rPr>
        <w:t>520.22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193B1C9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3.社会保障和就业（类）行政事业单位养老支出（款）行政单位离退休（项）：支出决算为</w:t>
      </w:r>
      <w:r>
        <w:rPr>
          <w:rFonts w:hint="default" w:ascii="Times New Roman" w:hAnsi="Times New Roman" w:eastAsia="仿宋_GB2312" w:cs="Times New Roman"/>
          <w:sz w:val="32"/>
          <w:szCs w:val="32"/>
          <w:lang w:val="en-US" w:eastAsia="zh-CN"/>
        </w:rPr>
        <w:t>21.68</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0C29FB7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4.社会保障和就业（类）行政事业单位养老支出（款）机关事业单位基本养老保险缴费支出（项）：支出决算为</w:t>
      </w:r>
      <w:r>
        <w:rPr>
          <w:rFonts w:hint="default" w:ascii="Times New Roman" w:hAnsi="Times New Roman" w:eastAsia="仿宋_GB2312" w:cs="Times New Roman"/>
          <w:sz w:val="32"/>
          <w:szCs w:val="32"/>
          <w:lang w:val="en-US" w:eastAsia="zh-CN"/>
        </w:rPr>
        <w:t>63.52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31C013C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5.卫生健康（类）行政事业单位医疗（款）行政单位医疗（项）：支出决算为33.94万元，完成预算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428D3410">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6.卫生健康（类）行政事业单位医疗（款）公务员医疗补助（项）：支出决算为3.6万元，完成预算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01790C79">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卫生健康（类）行政事业单位医疗（款）其他行政事业单位医疗支出（项）：支出决算为4.07万元，完成预算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6D0C3188">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住房保障（类）住房改革支出（款）住房公积金（项）：支出决算为51.32万元，完成预算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2BD14F61">
      <w:pPr>
        <w:spacing w:line="600" w:lineRule="exact"/>
        <w:ind w:firstLine="640"/>
        <w:rPr>
          <w:rFonts w:hint="default" w:ascii="Times New Roman" w:hAnsi="Times New Roman" w:eastAsia="仿宋_GB2312" w:cs="Times New Roman"/>
          <w:sz w:val="32"/>
          <w:szCs w:val="32"/>
        </w:rPr>
      </w:pPr>
    </w:p>
    <w:p w14:paraId="40FF2DC0">
      <w:pPr>
        <w:tabs>
          <w:tab w:val="right" w:pos="8306"/>
        </w:tabs>
        <w:spacing w:line="600" w:lineRule="exact"/>
        <w:ind w:firstLine="640"/>
        <w:outlineLvl w:val="1"/>
        <w:rPr>
          <w:rStyle w:val="30"/>
          <w:rFonts w:hint="default" w:ascii="Times New Roman" w:hAnsi="Times New Roman" w:cs="Times New Roman"/>
        </w:rPr>
      </w:pPr>
      <w:bookmarkStart w:id="34" w:name="_Toc15396608"/>
      <w:bookmarkStart w:id="35"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般公共预算财政拨款基本支出决算情况说明</w:t>
      </w:r>
      <w:bookmarkEnd w:id="34"/>
      <w:bookmarkEnd w:id="35"/>
      <w:r>
        <w:rPr>
          <w:rStyle w:val="30"/>
          <w:rFonts w:hint="default" w:ascii="Times New Roman" w:hAnsi="Times New Roman" w:eastAsia="黑体" w:cs="Times New Roman"/>
          <w:b w:val="0"/>
        </w:rPr>
        <w:tab/>
      </w:r>
    </w:p>
    <w:p w14:paraId="5786ECC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2025年度一般公共预算财政拨款基本支出698.36万元，其中：</w:t>
      </w:r>
    </w:p>
    <w:p w14:paraId="3F05184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人员经费638.08万元，主要包括：基本工资、津贴补贴、奖金、机关事业单位基本养老保险缴费、职工基本医疗保险缴费</w:t>
      </w:r>
      <w:r>
        <w:rPr>
          <w:rFonts w:hint="default" w:ascii="Times New Roman" w:hAnsi="Times New Roman" w:eastAsia="仿宋_GB2312" w:cs="Times New Roman"/>
          <w:sz w:val="32"/>
          <w:szCs w:val="32"/>
          <w:lang w:eastAsia="zh-CN"/>
        </w:rPr>
        <w:t>、公务员医疗补助缴费、</w:t>
      </w:r>
      <w:r>
        <w:rPr>
          <w:rFonts w:hint="default" w:ascii="Times New Roman" w:hAnsi="Times New Roman" w:eastAsia="仿宋_GB2312" w:cs="Times New Roman"/>
          <w:sz w:val="32"/>
          <w:szCs w:val="32"/>
        </w:rPr>
        <w:t>其他社会保障缴费、住房公积金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其他工资福利支出、生活补助、医疗费补助、奖励金等。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公用经费60.28万元，主要包括：办公费、水费、电费、邮电费、物业管理费、差旅费、维修（护）费、培训费、委托业务费、工会经费、福利费、公务用车运行维护费、其他交通费、其他商品和服务支出等。</w:t>
      </w:r>
    </w:p>
    <w:p w14:paraId="75512DC8">
      <w:pPr>
        <w:spacing w:line="600" w:lineRule="exact"/>
        <w:ind w:firstLine="640"/>
        <w:rPr>
          <w:rFonts w:hint="default" w:ascii="Times New Roman" w:hAnsi="Times New Roman" w:eastAsia="仿宋_GB2312" w:cs="Times New Roman"/>
          <w:sz w:val="32"/>
          <w:szCs w:val="32"/>
        </w:rPr>
      </w:pPr>
    </w:p>
    <w:p w14:paraId="6FB2F706">
      <w:pPr>
        <w:spacing w:line="600" w:lineRule="exact"/>
        <w:ind w:firstLine="640"/>
        <w:outlineLvl w:val="1"/>
        <w:rPr>
          <w:rStyle w:val="30"/>
          <w:rFonts w:hint="default" w:ascii="Times New Roman" w:hAnsi="Times New Roman" w:eastAsia="黑体" w:cs="Times New Roman"/>
          <w:b w:val="0"/>
        </w:rPr>
      </w:pPr>
      <w:bookmarkStart w:id="36" w:name="_Toc15377215"/>
      <w:bookmarkStart w:id="37" w:name="_Toc15396609"/>
      <w:r>
        <w:rPr>
          <w:rFonts w:hint="default" w:ascii="Times New Roman" w:hAnsi="Times New Roman" w:eastAsia="黑体" w:cs="Times New Roman"/>
          <w:sz w:val="32"/>
          <w:szCs w:val="32"/>
        </w:rPr>
        <w:t>七、</w:t>
      </w:r>
      <w:r>
        <w:rPr>
          <w:rStyle w:val="30"/>
          <w:rFonts w:hint="default" w:ascii="Times New Roman" w:hAnsi="Times New Roman" w:eastAsia="黑体" w:cs="Times New Roman"/>
          <w:b w:val="0"/>
        </w:rPr>
        <w:t>财政拨款</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三公”经费支出决算情况说明</w:t>
      </w:r>
      <w:bookmarkEnd w:id="36"/>
      <w:bookmarkEnd w:id="37"/>
    </w:p>
    <w:p w14:paraId="0926DEF1">
      <w:pPr>
        <w:spacing w:line="600" w:lineRule="exact"/>
        <w:ind w:firstLine="643" w:firstLineChars="200"/>
        <w:outlineLvl w:val="2"/>
        <w:rPr>
          <w:rFonts w:hint="default" w:ascii="Times New Roman" w:hAnsi="Times New Roman" w:eastAsia="楷体_GB2312" w:cs="Times New Roman"/>
          <w:b/>
          <w:sz w:val="32"/>
          <w:szCs w:val="32"/>
        </w:rPr>
      </w:pPr>
      <w:bookmarkStart w:id="38" w:name="_Toc15377216"/>
      <w:r>
        <w:rPr>
          <w:rFonts w:hint="default" w:ascii="Times New Roman" w:hAnsi="Times New Roman" w:eastAsia="楷体_GB2312" w:cs="Times New Roman"/>
          <w:b/>
          <w:sz w:val="32"/>
          <w:szCs w:val="32"/>
        </w:rPr>
        <w:t>（一）财政拨款“三公”经费支出决算总体情况说明</w:t>
      </w:r>
      <w:bookmarkEnd w:id="38"/>
    </w:p>
    <w:p w14:paraId="0702247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2025年度财政拨款“三公”经费支出决算为2.95万元，完成预算100%，较上年度减少</w:t>
      </w:r>
      <w:r>
        <w:rPr>
          <w:rFonts w:hint="default" w:ascii="Times New Roman" w:hAnsi="Times New Roman" w:eastAsia="仿宋_GB2312" w:cs="Times New Roman"/>
          <w:sz w:val="32"/>
          <w:szCs w:val="32"/>
          <w:lang w:val="en-US" w:eastAsia="zh-CN"/>
        </w:rPr>
        <w:t>0.34</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10.3</w:t>
      </w:r>
      <w:r>
        <w:rPr>
          <w:rFonts w:hint="default" w:ascii="Times New Roman" w:hAnsi="Times New Roman" w:eastAsia="仿宋_GB2312" w:cs="Times New Roman"/>
          <w:sz w:val="32"/>
          <w:szCs w:val="32"/>
        </w:rPr>
        <w:t>%。</w:t>
      </w:r>
    </w:p>
    <w:p w14:paraId="05172525">
      <w:pPr>
        <w:spacing w:line="600" w:lineRule="exact"/>
        <w:ind w:firstLine="643" w:firstLineChars="200"/>
        <w:outlineLvl w:val="2"/>
        <w:rPr>
          <w:rFonts w:hint="default" w:ascii="Times New Roman" w:hAnsi="Times New Roman" w:eastAsia="楷体_GB2312" w:cs="Times New Roman"/>
          <w:b/>
          <w:sz w:val="32"/>
          <w:szCs w:val="32"/>
        </w:rPr>
      </w:pPr>
      <w:bookmarkStart w:id="39" w:name="_Toc15377217"/>
      <w:r>
        <w:rPr>
          <w:rFonts w:hint="default" w:ascii="Times New Roman" w:hAnsi="Times New Roman" w:eastAsia="楷体_GB2312" w:cs="Times New Roman"/>
          <w:b/>
          <w:sz w:val="32"/>
          <w:szCs w:val="32"/>
        </w:rPr>
        <w:t>（二）财政拨款“三公”经费支出决算具体情况说明</w:t>
      </w:r>
      <w:bookmarkEnd w:id="39"/>
    </w:p>
    <w:p w14:paraId="769F6E0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2025年度财政拨款“三公”经费支出决算中，因公出国（境）费支出决算0万元，占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%；公务用车购置及运行维护费支出决算2.95万元，占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%；公务接待费支出决算0万元，占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%。具体情况如下：</w:t>
      </w:r>
    </w:p>
    <w:p w14:paraId="4F34DD19">
      <w:pPr>
        <w:spacing w:line="600" w:lineRule="exact"/>
        <w:ind w:firstLine="64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4384" behindDoc="0" locked="0" layoutInCell="1" allowOverlap="1">
            <wp:simplePos x="0" y="0"/>
            <wp:positionH relativeFrom="column">
              <wp:posOffset>548640</wp:posOffset>
            </wp:positionH>
            <wp:positionV relativeFrom="paragraph">
              <wp:posOffset>74930</wp:posOffset>
            </wp:positionV>
            <wp:extent cx="4424680" cy="2562225"/>
            <wp:effectExtent l="0" t="0" r="13970" b="9525"/>
            <wp:wrapNone/>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9"/>
                    <a:stretch>
                      <a:fillRect/>
                    </a:stretch>
                  </pic:blipFill>
                  <pic:spPr>
                    <a:xfrm>
                      <a:off x="0" y="0"/>
                      <a:ext cx="4424680" cy="2562225"/>
                    </a:xfrm>
                    <a:prstGeom prst="rect">
                      <a:avLst/>
                    </a:prstGeom>
                    <a:noFill/>
                    <a:ln>
                      <a:noFill/>
                    </a:ln>
                  </pic:spPr>
                </pic:pic>
              </a:graphicData>
            </a:graphic>
          </wp:anchor>
        </w:drawing>
      </w:r>
    </w:p>
    <w:p w14:paraId="07537887">
      <w:pPr>
        <w:spacing w:line="600" w:lineRule="exact"/>
        <w:ind w:firstLine="640"/>
        <w:rPr>
          <w:rFonts w:hint="default" w:ascii="Times New Roman" w:hAnsi="Times New Roman" w:eastAsia="仿宋_GB2312" w:cs="Times New Roman"/>
          <w:sz w:val="32"/>
          <w:szCs w:val="32"/>
        </w:rPr>
      </w:pPr>
    </w:p>
    <w:p w14:paraId="324CC1CB">
      <w:pPr>
        <w:spacing w:line="600" w:lineRule="exact"/>
        <w:ind w:firstLine="640"/>
        <w:rPr>
          <w:rFonts w:hint="default" w:ascii="Times New Roman" w:hAnsi="Times New Roman" w:eastAsia="仿宋_GB2312" w:cs="Times New Roman"/>
          <w:sz w:val="32"/>
          <w:szCs w:val="32"/>
        </w:rPr>
      </w:pPr>
    </w:p>
    <w:p w14:paraId="2504EAEE">
      <w:pPr>
        <w:spacing w:line="600" w:lineRule="exact"/>
        <w:ind w:firstLine="640"/>
        <w:rPr>
          <w:rFonts w:hint="default" w:ascii="Times New Roman" w:hAnsi="Times New Roman" w:eastAsia="仿宋_GB2312" w:cs="Times New Roman"/>
          <w:sz w:val="32"/>
          <w:szCs w:val="32"/>
        </w:rPr>
      </w:pPr>
    </w:p>
    <w:p w14:paraId="5C7DBE3F">
      <w:pPr>
        <w:spacing w:line="600" w:lineRule="exact"/>
        <w:ind w:firstLine="640"/>
        <w:rPr>
          <w:rFonts w:hint="default" w:ascii="Times New Roman" w:hAnsi="Times New Roman" w:eastAsia="仿宋_GB2312" w:cs="Times New Roman"/>
          <w:sz w:val="32"/>
          <w:szCs w:val="32"/>
        </w:rPr>
      </w:pPr>
    </w:p>
    <w:p w14:paraId="2FBEB149">
      <w:pPr>
        <w:spacing w:line="600" w:lineRule="exact"/>
        <w:ind w:firstLine="640"/>
        <w:rPr>
          <w:rFonts w:hint="default" w:ascii="Times New Roman" w:hAnsi="Times New Roman" w:eastAsia="仿宋_GB2312" w:cs="Times New Roman"/>
          <w:sz w:val="32"/>
          <w:szCs w:val="32"/>
        </w:rPr>
      </w:pPr>
    </w:p>
    <w:p w14:paraId="49E1AB28">
      <w:pPr>
        <w:spacing w:line="600" w:lineRule="exact"/>
        <w:ind w:firstLine="640"/>
        <w:rPr>
          <w:rFonts w:hint="default" w:ascii="Times New Roman" w:hAnsi="Times New Roman" w:eastAsia="仿宋_GB2312" w:cs="Times New Roman"/>
          <w:sz w:val="32"/>
          <w:szCs w:val="32"/>
        </w:rPr>
      </w:pPr>
    </w:p>
    <w:p w14:paraId="06B4648D">
      <w:pPr>
        <w:spacing w:line="600" w:lineRule="exact"/>
        <w:ind w:firstLine="64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（图7：财政拨款“三公”经费支出结构）</w:t>
      </w:r>
    </w:p>
    <w:p w14:paraId="46D8A15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全年安排因公出国（境）团组0次，出国（境）0人。因公出国（境）支出决算</w:t>
      </w:r>
      <w:r>
        <w:rPr>
          <w:rFonts w:hint="default" w:ascii="Times New Roman" w:hAnsi="Times New Roman" w:eastAsia="仿宋_GB2312" w:cs="Times New Roman"/>
          <w:sz w:val="32"/>
          <w:szCs w:val="32"/>
          <w:lang w:eastAsia="zh-CN"/>
        </w:rPr>
        <w:t>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sz w:val="32"/>
          <w:szCs w:val="32"/>
          <w:lang w:eastAsia="zh-CN"/>
        </w:rPr>
        <w:t>持平</w:t>
      </w:r>
      <w:r>
        <w:rPr>
          <w:rFonts w:hint="default" w:ascii="Times New Roman" w:hAnsi="Times New Roman" w:eastAsia="仿宋_GB2312" w:cs="Times New Roman"/>
          <w:sz w:val="32"/>
          <w:szCs w:val="32"/>
        </w:rPr>
        <w:t>。</w:t>
      </w:r>
    </w:p>
    <w:p w14:paraId="069ED663">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开支内容</w:t>
      </w:r>
      <w:r>
        <w:rPr>
          <w:rFonts w:hint="default" w:ascii="Times New Roman" w:hAnsi="Times New Roman" w:eastAsia="仿宋_GB2312" w:cs="Times New Roman"/>
          <w:sz w:val="32"/>
          <w:szCs w:val="32"/>
          <w:lang w:eastAsia="zh-CN"/>
        </w:rPr>
        <w:t>无。</w:t>
      </w:r>
    </w:p>
    <w:p w14:paraId="35F68E3E">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2.公务用车购置及运行维护费支出2.95万元，完成预算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公务用车购置及运行维护费支出决算比上年度增加</w:t>
      </w:r>
      <w:r>
        <w:rPr>
          <w:rFonts w:hint="default" w:ascii="Times New Roman" w:hAnsi="Times New Roman" w:eastAsia="仿宋_GB2312" w:cs="Times New Roman"/>
          <w:sz w:val="32"/>
          <w:szCs w:val="32"/>
          <w:lang w:val="en-US" w:eastAsia="zh-CN"/>
        </w:rPr>
        <w:t>0.02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0.7</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公务用车保险费增加。</w:t>
      </w:r>
    </w:p>
    <w:p w14:paraId="4B941D8F">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其中：公务用车购置支出0万元。全年按规定更新购置公务用车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万元。截至2025年12月31日，单位共有公务用车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、货车</w:t>
      </w:r>
      <w:r>
        <w:rPr>
          <w:rFonts w:hint="default" w:ascii="Times New Roman" w:hAnsi="Times New Roman" w:eastAsia="仿宋_GB2312" w:cs="Times New Roman"/>
          <w:sz w:val="32"/>
          <w:szCs w:val="32"/>
          <w:lang w:val="en-US" w:eastAsia="zh-CN"/>
        </w:rPr>
        <w:t>1辆</w:t>
      </w:r>
      <w:r>
        <w:rPr>
          <w:rFonts w:hint="default" w:ascii="Times New Roman" w:hAnsi="Times New Roman" w:eastAsia="仿宋_GB2312" w:cs="Times New Roman"/>
          <w:sz w:val="32"/>
          <w:szCs w:val="32"/>
        </w:rPr>
        <w:t>。</w:t>
      </w:r>
    </w:p>
    <w:p w14:paraId="584C849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公务用车运行维护费支出2.95万元。主要用于文化旅游新闻</w:t>
      </w:r>
      <w:r>
        <w:rPr>
          <w:rFonts w:hint="default" w:ascii="Times New Roman" w:hAnsi="Times New Roman" w:eastAsia="仿宋_GB2312" w:cs="Times New Roman"/>
          <w:sz w:val="32"/>
          <w:szCs w:val="32"/>
          <w:lang w:eastAsia="zh-CN"/>
        </w:rPr>
        <w:t>出版</w:t>
      </w:r>
      <w:r>
        <w:rPr>
          <w:rFonts w:hint="default" w:ascii="Times New Roman" w:hAnsi="Times New Roman" w:eastAsia="仿宋_GB2312" w:cs="Times New Roman"/>
          <w:sz w:val="32"/>
          <w:szCs w:val="32"/>
        </w:rPr>
        <w:t>执法检查等所需的公务用车燃料费、维修费、过路过桥费、保险费等支出。</w:t>
      </w:r>
    </w:p>
    <w:p w14:paraId="7E1EEAB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3.公务接待费支出0万元，完成预算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公务接待费支出决算比上年度减少</w:t>
      </w:r>
      <w:r>
        <w:rPr>
          <w:rFonts w:hint="default" w:ascii="Times New Roman" w:hAnsi="Times New Roman" w:eastAsia="仿宋_GB2312" w:cs="Times New Roman"/>
          <w:sz w:val="32"/>
          <w:szCs w:val="32"/>
          <w:lang w:val="en-US" w:eastAsia="zh-CN"/>
        </w:rPr>
        <w:t>0.36</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color w:val="auto"/>
          <w:sz w:val="32"/>
          <w:szCs w:val="32"/>
          <w:highlight w:val="none"/>
        </w:rPr>
        <w:t>按照政府过紧日子要求，</w:t>
      </w:r>
      <w:r>
        <w:rPr>
          <w:rFonts w:hint="default" w:ascii="Times New Roman" w:hAnsi="Times New Roman" w:eastAsia="仿宋_GB2312" w:cs="Times New Roman"/>
          <w:color w:val="auto"/>
          <w:sz w:val="32"/>
          <w:szCs w:val="32"/>
          <w:highlight w:val="none"/>
          <w:lang w:val="en-US" w:eastAsia="zh-CN"/>
        </w:rPr>
        <w:t>2025年</w:t>
      </w:r>
      <w:r>
        <w:rPr>
          <w:rFonts w:hint="default" w:ascii="Times New Roman" w:hAnsi="Times New Roman" w:eastAsia="仿宋_GB2312" w:cs="Times New Roman"/>
          <w:sz w:val="32"/>
          <w:szCs w:val="32"/>
        </w:rPr>
        <w:t>未</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公务接待。其中：</w:t>
      </w:r>
    </w:p>
    <w:p w14:paraId="191E72C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国内公务接待支出0万元。国内公务接待0批次，0人次（不包括陪同人员），共计支出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5CCF3F1C">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外事接待支出0万元。外事接待0批次，0人次（不包括陪同人员），共计支出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0918A958">
      <w:pPr>
        <w:spacing w:line="600" w:lineRule="exact"/>
        <w:ind w:firstLine="640"/>
        <w:rPr>
          <w:rFonts w:hint="default" w:ascii="Times New Roman" w:hAnsi="Times New Roman" w:eastAsia="仿宋_GB2312" w:cs="Times New Roman"/>
          <w:sz w:val="32"/>
          <w:szCs w:val="32"/>
        </w:rPr>
      </w:pPr>
      <w:bookmarkStart w:id="40" w:name="_Toc15396610"/>
      <w:bookmarkStart w:id="41" w:name="_Toc15377218"/>
    </w:p>
    <w:p w14:paraId="310BFED8">
      <w:pPr>
        <w:spacing w:line="600" w:lineRule="exact"/>
        <w:ind w:firstLine="640"/>
        <w:outlineLvl w:val="1"/>
        <w:rPr>
          <w:rStyle w:val="30"/>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0"/>
          <w:rFonts w:hint="default" w:ascii="Times New Roman" w:hAnsi="Times New Roman" w:eastAsia="黑体" w:cs="Times New Roman"/>
          <w:b w:val="0"/>
        </w:rPr>
        <w:t>政府性基金预算支出决算情况说明</w:t>
      </w:r>
      <w:bookmarkEnd w:id="40"/>
      <w:bookmarkEnd w:id="41"/>
    </w:p>
    <w:p w14:paraId="1EA69B14">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2025年度政府性基金预算财政拨款支出0万元，占本年支出合计的0%。与上年度相比，政府性基金预算财政拨款支出与上年持平。</w:t>
      </w:r>
    </w:p>
    <w:p w14:paraId="23746945">
      <w:pPr>
        <w:spacing w:line="600" w:lineRule="exact"/>
        <w:ind w:firstLine="640"/>
        <w:rPr>
          <w:rFonts w:hint="default" w:ascii="Times New Roman" w:hAnsi="Times New Roman" w:eastAsia="仿宋_GB2312" w:cs="Times New Roman"/>
          <w:sz w:val="32"/>
          <w:szCs w:val="32"/>
        </w:rPr>
      </w:pPr>
    </w:p>
    <w:p w14:paraId="5CA592B6">
      <w:pPr>
        <w:spacing w:line="600" w:lineRule="exact"/>
        <w:ind w:left="630"/>
        <w:outlineLvl w:val="1"/>
        <w:rPr>
          <w:rStyle w:val="30"/>
          <w:rFonts w:hint="default" w:ascii="Times New Roman" w:hAnsi="Times New Roman" w:eastAsia="黑体" w:cs="Times New Roman"/>
          <w:b w:val="0"/>
        </w:rPr>
      </w:pPr>
      <w:bookmarkStart w:id="42" w:name="_Toc15377219"/>
      <w:bookmarkStart w:id="43" w:name="_Toc15396611"/>
      <w:r>
        <w:rPr>
          <w:rStyle w:val="30"/>
          <w:rFonts w:hint="default" w:ascii="Times New Roman" w:hAnsi="Times New Roman" w:eastAsia="黑体" w:cs="Times New Roman"/>
          <w:b w:val="0"/>
        </w:rPr>
        <w:t>九、国有资本经营预算支出决算情况说明</w:t>
      </w:r>
      <w:bookmarkEnd w:id="42"/>
      <w:bookmarkEnd w:id="43"/>
    </w:p>
    <w:p w14:paraId="28880041">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2025年度国有资本经营预算财政拨款支出0万元，占本年支出合计的0%。与上年度相比，国有资本经营预算财政拨款支出与上年持平</w:t>
      </w:r>
      <w:r>
        <w:rPr>
          <w:rFonts w:hint="default" w:ascii="Times New Roman" w:hAnsi="Times New Roman" w:eastAsia="仿宋_GB2312" w:cs="Times New Roman"/>
          <w:sz w:val="32"/>
          <w:szCs w:val="32"/>
          <w:lang w:eastAsia="zh-CN"/>
        </w:rPr>
        <w:t>。</w:t>
      </w:r>
    </w:p>
    <w:p w14:paraId="6C388164">
      <w:pPr>
        <w:spacing w:line="600" w:lineRule="exact"/>
        <w:ind w:firstLine="640"/>
        <w:rPr>
          <w:rFonts w:hint="default" w:ascii="Times New Roman" w:hAnsi="Times New Roman" w:eastAsia="仿宋_GB2312" w:cs="Times New Roman"/>
          <w:sz w:val="32"/>
          <w:szCs w:val="32"/>
        </w:rPr>
      </w:pPr>
    </w:p>
    <w:p w14:paraId="06879035">
      <w:pPr>
        <w:spacing w:line="600" w:lineRule="exact"/>
        <w:ind w:left="630"/>
        <w:outlineLvl w:val="1"/>
        <w:rPr>
          <w:rStyle w:val="30"/>
          <w:rFonts w:hint="default" w:ascii="Times New Roman" w:hAnsi="Times New Roman" w:eastAsia="黑体" w:cs="Times New Roman"/>
          <w:b w:val="0"/>
        </w:rPr>
      </w:pPr>
      <w:bookmarkStart w:id="44" w:name="_Toc15377221"/>
      <w:bookmarkStart w:id="45" w:name="_Toc15396612"/>
      <w:r>
        <w:rPr>
          <w:rStyle w:val="30"/>
          <w:rFonts w:hint="default" w:ascii="Times New Roman" w:hAnsi="Times New Roman" w:eastAsia="黑体" w:cs="Times New Roman"/>
          <w:b w:val="0"/>
        </w:rPr>
        <w:t>十、其他重要事项的情况说明</w:t>
      </w:r>
      <w:bookmarkEnd w:id="44"/>
      <w:bookmarkEnd w:id="45"/>
    </w:p>
    <w:p w14:paraId="7B44915D">
      <w:pPr>
        <w:spacing w:line="600" w:lineRule="exact"/>
        <w:ind w:firstLine="643" w:firstLineChars="200"/>
        <w:outlineLvl w:val="2"/>
        <w:rPr>
          <w:rFonts w:hint="default" w:ascii="Times New Roman" w:hAnsi="Times New Roman" w:eastAsia="楷体_GB2312" w:cs="Times New Roman"/>
          <w:b/>
          <w:sz w:val="32"/>
          <w:szCs w:val="32"/>
        </w:rPr>
      </w:pPr>
      <w:bookmarkStart w:id="46" w:name="_Toc15377222"/>
      <w:r>
        <w:rPr>
          <w:rFonts w:hint="default" w:ascii="Times New Roman" w:hAnsi="Times New Roman" w:eastAsia="楷体_GB2312" w:cs="Times New Roman"/>
          <w:b/>
          <w:sz w:val="32"/>
          <w:szCs w:val="32"/>
        </w:rPr>
        <w:t>（一）机关运行经费支出情况</w:t>
      </w:r>
      <w:bookmarkEnd w:id="46"/>
    </w:p>
    <w:p w14:paraId="33CF370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2025年度，攀枝花市文化市场综合行政执法支队机关运行经费支出60.28万元，比上年度增加</w:t>
      </w:r>
      <w:r>
        <w:rPr>
          <w:rFonts w:hint="default" w:ascii="Times New Roman" w:hAnsi="Times New Roman" w:eastAsia="仿宋_GB2312" w:cs="Times New Roman"/>
          <w:sz w:val="32"/>
          <w:szCs w:val="32"/>
          <w:lang w:val="en-US" w:eastAsia="zh-CN"/>
        </w:rPr>
        <w:t>4.43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人员增加</w:t>
      </w:r>
      <w:r>
        <w:rPr>
          <w:rFonts w:hint="default" w:ascii="Times New Roman" w:hAnsi="Times New Roman" w:eastAsia="仿宋_GB2312" w:cs="Times New Roman"/>
          <w:sz w:val="32"/>
          <w:szCs w:val="32"/>
          <w:lang w:val="en-US" w:eastAsia="zh-CN"/>
        </w:rPr>
        <w:t>4人，相应支出增加。</w:t>
      </w:r>
    </w:p>
    <w:p w14:paraId="0057A94B">
      <w:pPr>
        <w:spacing w:line="600" w:lineRule="exact"/>
        <w:ind w:firstLine="640"/>
        <w:rPr>
          <w:rFonts w:hint="default" w:ascii="Times New Roman" w:hAnsi="Times New Roman" w:eastAsia="仿宋_GB2312" w:cs="Times New Roman"/>
          <w:sz w:val="32"/>
          <w:szCs w:val="32"/>
        </w:rPr>
      </w:pPr>
    </w:p>
    <w:p w14:paraId="46339000">
      <w:pPr>
        <w:spacing w:line="600" w:lineRule="exact"/>
        <w:ind w:firstLine="643" w:firstLineChars="200"/>
        <w:outlineLvl w:val="2"/>
        <w:rPr>
          <w:rFonts w:hint="default" w:ascii="Times New Roman" w:hAnsi="Times New Roman" w:eastAsia="楷体_GB2312" w:cs="Times New Roman"/>
          <w:b/>
          <w:sz w:val="32"/>
          <w:szCs w:val="32"/>
        </w:rPr>
      </w:pPr>
      <w:bookmarkStart w:id="47" w:name="_Toc15377223"/>
      <w:r>
        <w:rPr>
          <w:rFonts w:hint="default" w:ascii="Times New Roman" w:hAnsi="Times New Roman" w:eastAsia="楷体_GB2312" w:cs="Times New Roman"/>
          <w:b/>
          <w:sz w:val="32"/>
          <w:szCs w:val="32"/>
        </w:rPr>
        <w:t>（二）政府采购支出情况</w:t>
      </w:r>
      <w:bookmarkEnd w:id="47"/>
    </w:p>
    <w:p w14:paraId="29C9D4F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2025年度，攀枝花市文化市场综合行政执法支队政府采购支出总额2.75万元，其中：政府采购货物支出0万元、政府采购工程支出0万元、政府采购服务支出2.75万元。主要用于文化旅游新闻</w:t>
      </w:r>
      <w:r>
        <w:rPr>
          <w:rFonts w:hint="default" w:ascii="Times New Roman" w:hAnsi="Times New Roman" w:eastAsia="仿宋_GB2312" w:cs="Times New Roman"/>
          <w:sz w:val="32"/>
          <w:szCs w:val="32"/>
          <w:lang w:eastAsia="zh-CN"/>
        </w:rPr>
        <w:t>出版</w:t>
      </w:r>
      <w:r>
        <w:rPr>
          <w:rFonts w:hint="default" w:ascii="Times New Roman" w:hAnsi="Times New Roman" w:eastAsia="仿宋_GB2312" w:cs="Times New Roman"/>
          <w:sz w:val="32"/>
          <w:szCs w:val="32"/>
        </w:rPr>
        <w:t>执法检查等所需的公务用车燃料费、维修费、保险费等支出。授予中小企业合同金额0.7万元，占政府采购支出总额的25.</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%，其中：授予小微企业合同金额0.7万元，占政府采购支出总额的25.</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p>
    <w:p w14:paraId="3BEAD9A6">
      <w:pPr>
        <w:spacing w:line="600" w:lineRule="exact"/>
        <w:ind w:firstLine="640"/>
        <w:rPr>
          <w:rFonts w:hint="default" w:ascii="Times New Roman" w:hAnsi="Times New Roman" w:eastAsia="仿宋_GB2312" w:cs="Times New Roman"/>
          <w:sz w:val="32"/>
          <w:szCs w:val="32"/>
        </w:rPr>
      </w:pPr>
    </w:p>
    <w:p w14:paraId="0C1DE249">
      <w:pPr>
        <w:spacing w:line="600" w:lineRule="exact"/>
        <w:ind w:firstLine="643" w:firstLineChars="200"/>
        <w:outlineLvl w:val="2"/>
        <w:rPr>
          <w:rFonts w:hint="default" w:ascii="Times New Roman" w:hAnsi="Times New Roman" w:eastAsia="楷体_GB2312" w:cs="Times New Roman"/>
          <w:b/>
          <w:sz w:val="32"/>
          <w:szCs w:val="32"/>
        </w:rPr>
      </w:pPr>
      <w:bookmarkStart w:id="48" w:name="_Toc15377224"/>
      <w:r>
        <w:rPr>
          <w:rFonts w:hint="default" w:ascii="Times New Roman" w:hAnsi="Times New Roman" w:eastAsia="楷体_GB2312" w:cs="Times New Roman"/>
          <w:b/>
          <w:sz w:val="32"/>
          <w:szCs w:val="32"/>
        </w:rPr>
        <w:t>（三）国有资产占有使用情况</w:t>
      </w:r>
      <w:bookmarkEnd w:id="48"/>
    </w:p>
    <w:p w14:paraId="259F5BC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截至2025年12月31日，攀枝花市文化市场综合行政执法支队共有车辆2辆，其中：副部（省）级及以上领导用车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辆、主要负责人用车0辆、机要通信用车0辆、应急保障用车0辆、执法执勤用车0辆、特种专业技术用车2辆、离退休干部服务用车0辆、其他用车0辆。单价100万元（含）以上设备（不含车辆）0台（套）。</w:t>
      </w:r>
    </w:p>
    <w:p w14:paraId="44964CB8">
      <w:pPr>
        <w:spacing w:line="600" w:lineRule="exact"/>
        <w:rPr>
          <w:rFonts w:hint="default" w:ascii="Times New Roman" w:hAnsi="Times New Roman" w:eastAsia="仿宋_GB2312" w:cs="Times New Roman"/>
          <w:sz w:val="32"/>
          <w:szCs w:val="32"/>
        </w:rPr>
      </w:pPr>
    </w:p>
    <w:p w14:paraId="0F62AFF0">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596FA4C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根据预算绩效管理要求，攀枝花市文化市场综合行政执法支队在2025年度，组织对市级挂职干部补助</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0.26</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个项目编制了绩效目标，预算执行过程中，选取</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个项目开展绩效监控。</w:t>
      </w:r>
    </w:p>
    <w:p w14:paraId="135B014C">
      <w:pPr>
        <w:spacing w:line="600" w:lineRule="exact"/>
        <w:ind w:firstLine="640"/>
        <w:rPr>
          <w:rFonts w:hint="default" w:ascii="Times New Roman" w:hAnsi="Times New Roman" w:eastAsia="仿宋_GB2312" w:cs="Times New Roman"/>
          <w:sz w:val="32"/>
          <w:szCs w:val="32"/>
        </w:rPr>
      </w:pPr>
    </w:p>
    <w:p w14:paraId="68E3A22E">
      <w:pPr>
        <w:spacing w:line="600" w:lineRule="exact"/>
        <w:jc w:val="center"/>
        <w:outlineLvl w:val="0"/>
        <w:rPr>
          <w:rFonts w:hint="default" w:ascii="Times New Roman" w:hAnsi="Times New Roman" w:eastAsia="黑体" w:cs="Times New Roman"/>
          <w:sz w:val="44"/>
          <w:szCs w:val="44"/>
        </w:rPr>
      </w:pPr>
      <w:bookmarkStart w:id="49" w:name="_Toc15377225"/>
      <w:bookmarkStart w:id="50" w:name="_Toc15396613"/>
      <w:r>
        <w:rPr>
          <w:rFonts w:hint="default" w:ascii="Times New Roman" w:hAnsi="Times New Roman" w:eastAsia="黑体" w:cs="Times New Roman"/>
          <w:sz w:val="44"/>
          <w:szCs w:val="44"/>
        </w:rPr>
        <w:t>第三部分名词解释</w:t>
      </w:r>
      <w:bookmarkEnd w:id="49"/>
      <w:bookmarkEnd w:id="50"/>
    </w:p>
    <w:p w14:paraId="12F23A6B">
      <w:pPr>
        <w:spacing w:line="600" w:lineRule="exact"/>
        <w:jc w:val="left"/>
        <w:rPr>
          <w:rFonts w:hint="default" w:ascii="Times New Roman" w:hAnsi="Times New Roman" w:cs="Times New Roman"/>
          <w:b/>
          <w:sz w:val="44"/>
          <w:szCs w:val="44"/>
        </w:rPr>
      </w:pPr>
    </w:p>
    <w:p w14:paraId="59400DAB">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1.财政拨款收入：指单位从同级财政部门取得的财政预算资金</w:t>
      </w:r>
      <w:r>
        <w:rPr>
          <w:rFonts w:hint="default" w:ascii="Times New Roman" w:hAnsi="Times New Roman" w:eastAsia="仿宋_GB2312" w:cs="Times New Roman"/>
          <w:sz w:val="32"/>
          <w:szCs w:val="32"/>
          <w:lang w:eastAsia="zh-CN"/>
        </w:rPr>
        <w:t>。</w:t>
      </w:r>
    </w:p>
    <w:p w14:paraId="550BE90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2.一般公共服务（类）组织事务（款）其他组织事务支出（项）：</w:t>
      </w:r>
      <w:r>
        <w:rPr>
          <w:rFonts w:hint="default" w:ascii="Times New Roman" w:hAnsi="Times New Roman" w:eastAsia="仿宋_GB2312" w:cs="Times New Roman"/>
          <w:sz w:val="32"/>
          <w:szCs w:val="32"/>
          <w:lang w:eastAsia="zh-CN"/>
        </w:rPr>
        <w:t>反映除上述项目以外其他用于中国共产党组织部门的事务支出。</w:t>
      </w:r>
    </w:p>
    <w:p w14:paraId="26485BA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3.文化旅游体育与传媒（类）文化和旅游（款）行政运行（项）：反映行政单位（包括实行公务员管理的事业单位）的基本支出。</w:t>
      </w:r>
    </w:p>
    <w:p w14:paraId="59F58A8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4.社会保障和就业（类）行政事业单位养老支出（款）行政单位离退休（项）：反映行政单位（包括实行公务员管理的事业单位）开支的离退休经费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w:t>
      </w:r>
    </w:p>
    <w:p w14:paraId="0553563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5.社会保障和就业（类）行政事业单位养老支出（款）机关事业单位基本养老保险缴费支出（项）：反映机关事业单位实施养老保险制度由单位缴纳的基本养老保险费支出。 </w:t>
      </w:r>
    </w:p>
    <w:p w14:paraId="2BBF7333">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6.卫生健康（类）行政事业单位医疗（款）行政单位医疗（项）：</w:t>
      </w:r>
      <w:r>
        <w:rPr>
          <w:rFonts w:hint="default" w:ascii="Times New Roman" w:hAnsi="Times New Roman" w:eastAsia="仿宋_GB2312" w:cs="Times New Roman"/>
          <w:sz w:val="32"/>
          <w:szCs w:val="32"/>
          <w:lang w:eastAsia="zh-CN"/>
        </w:rPr>
        <w:t>反映</w:t>
      </w:r>
      <w:r>
        <w:rPr>
          <w:rFonts w:hint="default" w:ascii="Times New Roman" w:hAnsi="Times New Roman" w:eastAsia="仿宋_GB2312" w:cs="Times New Roman"/>
          <w:kern w:val="0"/>
          <w:sz w:val="32"/>
          <w:szCs w:val="32"/>
        </w:rPr>
        <w:t>财政部门安排的</w:t>
      </w:r>
      <w:r>
        <w:rPr>
          <w:rFonts w:hint="default" w:ascii="Times New Roman" w:hAnsi="Times New Roman" w:eastAsia="仿宋_GB2312" w:cs="Times New Roman"/>
          <w:kern w:val="0"/>
          <w:sz w:val="32"/>
          <w:szCs w:val="32"/>
          <w:lang w:eastAsia="zh-CN"/>
        </w:rPr>
        <w:t>行政单位（包括实行公务员管理的事业单位）基本医疗保险缴费经费，未参加医疗保险的行政单位的公费医疗经费，按国家规定享受离休人员、红军老战士待遇人员的医疗经费</w:t>
      </w:r>
      <w:r>
        <w:rPr>
          <w:rFonts w:hint="default" w:ascii="Times New Roman" w:hAnsi="Times New Roman" w:eastAsia="仿宋_GB2312" w:cs="Times New Roman"/>
          <w:sz w:val="32"/>
          <w:szCs w:val="32"/>
        </w:rPr>
        <w:t xml:space="preserve">。 </w:t>
      </w:r>
    </w:p>
    <w:p w14:paraId="432676A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7.卫生健康（类）行政事业单位医疗（款）公务员医疗补助（项）：</w:t>
      </w:r>
      <w:r>
        <w:rPr>
          <w:rFonts w:hint="default" w:ascii="Times New Roman" w:hAnsi="Times New Roman" w:eastAsia="仿宋_GB2312" w:cs="Times New Roman"/>
          <w:kern w:val="0"/>
          <w:sz w:val="32"/>
          <w:szCs w:val="32"/>
          <w:lang w:eastAsia="zh-CN"/>
        </w:rPr>
        <w:t>反映</w:t>
      </w:r>
      <w:r>
        <w:rPr>
          <w:rFonts w:hint="default" w:ascii="Times New Roman" w:hAnsi="Times New Roman" w:eastAsia="仿宋_GB2312" w:cs="Times New Roman"/>
          <w:kern w:val="0"/>
          <w:sz w:val="32"/>
          <w:szCs w:val="32"/>
        </w:rPr>
        <w:t>财政部门安排的公务员医疗补助经费</w:t>
      </w:r>
      <w:r>
        <w:rPr>
          <w:rFonts w:hint="default" w:ascii="Times New Roman" w:hAnsi="Times New Roman" w:eastAsia="仿宋_GB2312" w:cs="Times New Roman"/>
          <w:sz w:val="32"/>
          <w:szCs w:val="32"/>
        </w:rPr>
        <w:t>。</w:t>
      </w:r>
    </w:p>
    <w:p w14:paraId="5576384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8.卫生健康（类）行政事业单位医疗（款）其他行政事业单位医疗支出（项）：</w:t>
      </w:r>
      <w:r>
        <w:rPr>
          <w:rFonts w:hint="default" w:ascii="Times New Roman" w:hAnsi="Times New Roman" w:eastAsia="仿宋_GB2312" w:cs="Times New Roman"/>
          <w:sz w:val="32"/>
          <w:szCs w:val="32"/>
          <w:lang w:eastAsia="zh-CN"/>
        </w:rPr>
        <w:t>反映</w:t>
      </w:r>
      <w:r>
        <w:rPr>
          <w:rFonts w:hint="default" w:ascii="Times New Roman" w:hAnsi="Times New Roman" w:eastAsia="仿宋_GB2312" w:cs="Times New Roman"/>
          <w:kern w:val="0"/>
          <w:sz w:val="32"/>
          <w:szCs w:val="32"/>
        </w:rPr>
        <w:t>除上述项目以外的其他用于行政事业单位医疗方面的支出</w:t>
      </w:r>
      <w:r>
        <w:rPr>
          <w:rFonts w:hint="default" w:ascii="Times New Roman" w:hAnsi="Times New Roman" w:eastAsia="仿宋_GB2312" w:cs="Times New Roman"/>
          <w:sz w:val="32"/>
          <w:szCs w:val="32"/>
        </w:rPr>
        <w:t>。</w:t>
      </w:r>
    </w:p>
    <w:p w14:paraId="6DE0501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9.住房保障（类）住房改革支出（款）住房公积金（项）：反映行政事业单位按人力资源和社会保障部、财政部规定的基本工资和津贴补贴以及规定比例为职工缴纳的住房公积金</w:t>
      </w:r>
      <w:r>
        <w:rPr>
          <w:rFonts w:hint="default" w:ascii="Times New Roman" w:hAnsi="Times New Roman" w:eastAsia="仿宋_GB2312" w:cs="Times New Roman"/>
          <w:sz w:val="32"/>
          <w:szCs w:val="32"/>
          <w:lang w:eastAsia="zh-CN"/>
        </w:rPr>
        <w:t>。</w:t>
      </w:r>
    </w:p>
    <w:p w14:paraId="683A62E3">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.基本支出：指为保障机构正常运转、完成日常工作任务而发生的人员支出和公用支出。</w:t>
      </w:r>
    </w:p>
    <w:p w14:paraId="79C79C9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14:paraId="654F367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CCE53C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699F25">
      <w:pPr>
        <w:spacing w:line="600" w:lineRule="exact"/>
        <w:jc w:val="center"/>
        <w:rPr>
          <w:rStyle w:val="29"/>
          <w:rFonts w:hint="default" w:ascii="Times New Roman" w:hAnsi="Times New Roman" w:eastAsia="黑体" w:cs="Times New Roman"/>
          <w:b w:val="0"/>
        </w:rPr>
      </w:pPr>
      <w:bookmarkStart w:id="51" w:name="_Toc15377226"/>
      <w:r>
        <w:rPr>
          <w:rFonts w:hint="default" w:ascii="Times New Roman" w:hAnsi="Times New Roman" w:eastAsia="仿宋_GB2312" w:cs="Times New Roman"/>
          <w:sz w:val="32"/>
          <w:szCs w:val="32"/>
        </w:rPr>
        <w:br w:type="page"/>
      </w:r>
      <w:bookmarkStart w:id="52" w:name="_Toc15396614"/>
      <w:r>
        <w:rPr>
          <w:rFonts w:hint="default" w:ascii="Times New Roman" w:hAnsi="Times New Roman" w:eastAsia="黑体" w:cs="Times New Roman"/>
          <w:sz w:val="44"/>
          <w:szCs w:val="44"/>
        </w:rPr>
        <w:t>第四部分 附件</w:t>
      </w:r>
      <w:bookmarkEnd w:id="52"/>
    </w:p>
    <w:p w14:paraId="329EA59D">
      <w:pPr>
        <w:spacing w:line="572" w:lineRule="exact"/>
        <w:jc w:val="left"/>
        <w:outlineLvl w:val="0"/>
        <w:rPr>
          <w:rFonts w:hint="default" w:ascii="Times New Roman" w:hAnsi="Times New Roman" w:eastAsia="黑体" w:cs="Times New Roman"/>
          <w:color w:val="FF0000"/>
          <w:sz w:val="32"/>
          <w:szCs w:val="32"/>
        </w:rPr>
      </w:pPr>
    </w:p>
    <w:p w14:paraId="3EB825F6">
      <w:pPr>
        <w:pStyle w:val="8"/>
        <w:spacing w:line="560" w:lineRule="exact"/>
        <w:ind w:left="0" w:leftChars="0" w:firstLine="640"/>
        <w:rPr>
          <w:rFonts w:hint="default" w:ascii="Times New Roman" w:hAnsi="Times New Roman" w:eastAsia="仿宋_GB2312" w:cs="Times New Roman"/>
          <w:kern w:val="0"/>
          <w:sz w:val="32"/>
        </w:rPr>
      </w:pPr>
      <w:r>
        <w:rPr>
          <w:rFonts w:hint="default" w:ascii="Times New Roman" w:hAnsi="Times New Roman" w:eastAsia="仿宋_GB2312" w:cs="Times New Roman"/>
          <w:sz w:val="32"/>
          <w:lang w:eastAsia="zh-CN" w:bidi="ar"/>
        </w:rPr>
        <w:t>附表：</w:t>
      </w:r>
      <w:r>
        <w:rPr>
          <w:rFonts w:hint="default" w:ascii="Times New Roman" w:hAnsi="Times New Roman" w:eastAsia="仿宋_GB2312" w:cs="Times New Roman"/>
          <w:sz w:val="32"/>
          <w:lang w:bidi="ar"/>
        </w:rPr>
        <w:t>部门预算项目支出绩效自评表（2025年度）</w:t>
      </w:r>
    </w:p>
    <w:p w14:paraId="60365D7E">
      <w:pPr>
        <w:pStyle w:val="8"/>
        <w:spacing w:line="560" w:lineRule="exact"/>
        <w:ind w:left="0" w:leftChars="0" w:firstLine="640"/>
        <w:rPr>
          <w:rFonts w:hint="default" w:ascii="Times New Roman" w:hAnsi="Times New Roman" w:eastAsia="仿宋_GB2312" w:cs="Times New Roman"/>
          <w:kern w:val="0"/>
          <w:sz w:val="32"/>
          <w:lang w:val="zh-CN"/>
        </w:rPr>
      </w:pPr>
    </w:p>
    <w:p w14:paraId="52A88366">
      <w:pPr>
        <w:pStyle w:val="8"/>
        <w:spacing w:line="560" w:lineRule="exact"/>
        <w:ind w:left="0" w:leftChars="0" w:firstLine="0" w:firstLineChars="0"/>
        <w:rPr>
          <w:rFonts w:hint="default" w:ascii="Times New Roman" w:hAnsi="Times New Roman" w:cs="Times New Roman"/>
          <w:sz w:val="32"/>
          <w:highlight w:val="yellow"/>
          <w:lang w:val="zh-CN"/>
        </w:rPr>
      </w:pPr>
    </w:p>
    <w:p w14:paraId="1CEDEB36">
      <w:pPr>
        <w:pStyle w:val="6"/>
        <w:spacing w:before="93"/>
        <w:rPr>
          <w:rFonts w:hint="default" w:ascii="Times New Roman" w:hAnsi="Times New Roman" w:cs="Times New Roman"/>
          <w:color w:val="FF0000"/>
          <w:sz w:val="32"/>
          <w:szCs w:val="32"/>
          <w:highlight w:val="yellow"/>
          <w:shd w:val="clear" w:color="auto" w:fill="FFFFFF"/>
          <w:lang w:val="zh-CN"/>
        </w:rPr>
      </w:pPr>
    </w:p>
    <w:p w14:paraId="4C09F0F9">
      <w:pPr>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br w:type="page"/>
      </w:r>
    </w:p>
    <w:p w14:paraId="1F286591">
      <w:pPr>
        <w:widowControl/>
        <w:jc w:val="center"/>
        <w:rPr>
          <w:rFonts w:hint="default" w:ascii="Times New Roman" w:hAnsi="Times New Roman" w:eastAsia="仿宋" w:cs="Times New Roman"/>
        </w:rPr>
      </w:pPr>
      <w:bookmarkStart w:id="53" w:name="_Toc15396618"/>
      <w:r>
        <w:rPr>
          <w:rFonts w:hint="default" w:ascii="Times New Roman" w:hAnsi="Times New Roman" w:eastAsia="黑体" w:cs="Times New Roman"/>
          <w:sz w:val="44"/>
          <w:szCs w:val="44"/>
        </w:rPr>
        <w:t>第</w:t>
      </w:r>
      <w:r>
        <w:rPr>
          <w:rStyle w:val="29"/>
          <w:rFonts w:hint="default" w:ascii="Times New Roman" w:hAnsi="Times New Roman" w:eastAsia="黑体" w:cs="Times New Roman"/>
          <w:b w:val="0"/>
        </w:rPr>
        <w:t>五部分 附表</w:t>
      </w:r>
      <w:bookmarkEnd w:id="51"/>
      <w:bookmarkEnd w:id="53"/>
      <w:bookmarkStart w:id="54" w:name="_Toc15396619"/>
    </w:p>
    <w:p w14:paraId="5F63E908">
      <w:pPr>
        <w:pStyle w:val="16"/>
        <w:adjustRightInd w:val="0"/>
        <w:snapToGrid w:val="0"/>
        <w:spacing w:line="560" w:lineRule="exact"/>
        <w:jc w:val="left"/>
        <w:rPr>
          <w:rFonts w:hint="default" w:ascii="Times New Roman" w:hAnsi="Times New Roman" w:eastAsia="仿宋_GB2312" w:cs="Times New Roman"/>
          <w:sz w:val="32"/>
          <w:szCs w:val="32"/>
        </w:rPr>
      </w:pPr>
    </w:p>
    <w:p w14:paraId="56B377A1">
      <w:pPr>
        <w:pStyle w:val="16"/>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4"/>
    </w:p>
    <w:p w14:paraId="17A3DD82">
      <w:pPr>
        <w:pStyle w:val="16"/>
        <w:adjustRightInd w:val="0"/>
        <w:snapToGrid w:val="0"/>
        <w:spacing w:line="560" w:lineRule="exact"/>
        <w:jc w:val="left"/>
        <w:rPr>
          <w:rFonts w:hint="default" w:ascii="Times New Roman" w:hAnsi="Times New Roman" w:eastAsia="仿宋_GB2312" w:cs="Times New Roman"/>
          <w:sz w:val="32"/>
          <w:szCs w:val="32"/>
        </w:rPr>
      </w:pPr>
      <w:bookmarkStart w:id="55" w:name="_Toc15396620"/>
      <w:r>
        <w:rPr>
          <w:rFonts w:hint="default" w:ascii="Times New Roman" w:hAnsi="Times New Roman" w:eastAsia="仿宋_GB2312" w:cs="Times New Roman"/>
          <w:sz w:val="32"/>
          <w:szCs w:val="32"/>
        </w:rPr>
        <w:t>二、收入决算表</w:t>
      </w:r>
      <w:bookmarkEnd w:id="55"/>
    </w:p>
    <w:p w14:paraId="5B4CE248">
      <w:pPr>
        <w:pStyle w:val="16"/>
        <w:adjustRightInd w:val="0"/>
        <w:snapToGrid w:val="0"/>
        <w:spacing w:line="560" w:lineRule="exact"/>
        <w:jc w:val="left"/>
        <w:rPr>
          <w:rFonts w:hint="default" w:ascii="Times New Roman" w:hAnsi="Times New Roman" w:eastAsia="仿宋_GB2312" w:cs="Times New Roman"/>
          <w:sz w:val="32"/>
          <w:szCs w:val="32"/>
        </w:rPr>
      </w:pPr>
      <w:bookmarkStart w:id="56" w:name="_Toc15396621"/>
      <w:r>
        <w:rPr>
          <w:rFonts w:hint="default" w:ascii="Times New Roman" w:hAnsi="Times New Roman" w:eastAsia="仿宋_GB2312" w:cs="Times New Roman"/>
          <w:sz w:val="32"/>
          <w:szCs w:val="32"/>
        </w:rPr>
        <w:t>三、支出决算表</w:t>
      </w:r>
      <w:bookmarkEnd w:id="56"/>
    </w:p>
    <w:p w14:paraId="6B9B03FC">
      <w:pPr>
        <w:pStyle w:val="16"/>
        <w:adjustRightInd w:val="0"/>
        <w:snapToGrid w:val="0"/>
        <w:spacing w:line="560" w:lineRule="exact"/>
        <w:jc w:val="left"/>
        <w:rPr>
          <w:rFonts w:hint="default" w:ascii="Times New Roman" w:hAnsi="Times New Roman" w:eastAsia="仿宋_GB2312" w:cs="Times New Roman"/>
          <w:sz w:val="32"/>
          <w:szCs w:val="32"/>
        </w:rPr>
      </w:pPr>
      <w:bookmarkStart w:id="57" w:name="_Toc15396622"/>
      <w:r>
        <w:rPr>
          <w:rFonts w:hint="default" w:ascii="Times New Roman" w:hAnsi="Times New Roman" w:eastAsia="仿宋_GB2312" w:cs="Times New Roman"/>
          <w:sz w:val="32"/>
          <w:szCs w:val="32"/>
        </w:rPr>
        <w:t>四、财政拨款收入支出决算总表</w:t>
      </w:r>
      <w:bookmarkEnd w:id="57"/>
    </w:p>
    <w:p w14:paraId="4B863543">
      <w:pPr>
        <w:pStyle w:val="16"/>
        <w:adjustRightInd w:val="0"/>
        <w:snapToGrid w:val="0"/>
        <w:spacing w:line="560" w:lineRule="exact"/>
        <w:jc w:val="left"/>
        <w:rPr>
          <w:rFonts w:hint="default" w:ascii="Times New Roman" w:hAnsi="Times New Roman" w:eastAsia="仿宋_GB2312" w:cs="Times New Roman"/>
          <w:sz w:val="32"/>
          <w:szCs w:val="32"/>
        </w:rPr>
      </w:pPr>
      <w:bookmarkStart w:id="58" w:name="_Toc15396623"/>
      <w:r>
        <w:rPr>
          <w:rFonts w:hint="default" w:ascii="Times New Roman" w:hAnsi="Times New Roman" w:eastAsia="仿宋_GB2312" w:cs="Times New Roman"/>
          <w:sz w:val="32"/>
          <w:szCs w:val="32"/>
        </w:rPr>
        <w:t>五、财政拨款支出决算明细表</w:t>
      </w:r>
      <w:bookmarkEnd w:id="58"/>
      <w:bookmarkStart w:id="59" w:name="_Toc15396624"/>
    </w:p>
    <w:p w14:paraId="177F6AB4">
      <w:pPr>
        <w:pStyle w:val="16"/>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9"/>
    </w:p>
    <w:p w14:paraId="341900D8">
      <w:pPr>
        <w:pStyle w:val="16"/>
        <w:adjustRightInd w:val="0"/>
        <w:snapToGrid w:val="0"/>
        <w:spacing w:line="560" w:lineRule="exact"/>
        <w:jc w:val="left"/>
        <w:rPr>
          <w:rFonts w:hint="default" w:ascii="Times New Roman" w:hAnsi="Times New Roman" w:eastAsia="仿宋_GB2312" w:cs="Times New Roman"/>
          <w:sz w:val="32"/>
          <w:szCs w:val="32"/>
        </w:rPr>
      </w:pPr>
      <w:bookmarkStart w:id="60" w:name="_Toc15396625"/>
      <w:r>
        <w:rPr>
          <w:rFonts w:hint="default" w:ascii="Times New Roman" w:hAnsi="Times New Roman" w:eastAsia="仿宋_GB2312" w:cs="Times New Roman"/>
          <w:sz w:val="32"/>
          <w:szCs w:val="32"/>
        </w:rPr>
        <w:t>七、一般公共预算财政拨款支出决算明细表</w:t>
      </w:r>
      <w:bookmarkEnd w:id="60"/>
    </w:p>
    <w:p w14:paraId="25C51588">
      <w:pPr>
        <w:pStyle w:val="16"/>
        <w:adjustRightInd w:val="0"/>
        <w:snapToGrid w:val="0"/>
        <w:spacing w:line="560" w:lineRule="exact"/>
        <w:jc w:val="left"/>
        <w:rPr>
          <w:rFonts w:hint="default" w:ascii="Times New Roman" w:hAnsi="Times New Roman" w:eastAsia="仿宋_GB2312" w:cs="Times New Roman"/>
          <w:sz w:val="32"/>
          <w:szCs w:val="32"/>
        </w:rPr>
      </w:pPr>
      <w:bookmarkStart w:id="61" w:name="_Toc15396626"/>
      <w:r>
        <w:rPr>
          <w:rFonts w:hint="default" w:ascii="Times New Roman" w:hAnsi="Times New Roman" w:eastAsia="仿宋_GB2312" w:cs="Times New Roman"/>
          <w:sz w:val="32"/>
          <w:szCs w:val="32"/>
        </w:rPr>
        <w:t>八、一般公共预算财政拨款基本支出决算表</w:t>
      </w:r>
      <w:bookmarkEnd w:id="61"/>
    </w:p>
    <w:p w14:paraId="6CD93DEC">
      <w:pPr>
        <w:pStyle w:val="16"/>
        <w:adjustRightInd w:val="0"/>
        <w:snapToGrid w:val="0"/>
        <w:spacing w:line="560" w:lineRule="exact"/>
        <w:jc w:val="left"/>
        <w:rPr>
          <w:rFonts w:hint="default" w:ascii="Times New Roman" w:hAnsi="Times New Roman" w:eastAsia="仿宋_GB2312" w:cs="Times New Roman"/>
          <w:sz w:val="32"/>
          <w:szCs w:val="32"/>
        </w:rPr>
      </w:pPr>
      <w:bookmarkStart w:id="62" w:name="_Toc15396627"/>
      <w:r>
        <w:rPr>
          <w:rFonts w:hint="default" w:ascii="Times New Roman" w:hAnsi="Times New Roman" w:eastAsia="仿宋_GB2312" w:cs="Times New Roman"/>
          <w:sz w:val="32"/>
          <w:szCs w:val="32"/>
        </w:rPr>
        <w:t>九、一般公共预算财政拨款项目支出决算表</w:t>
      </w:r>
      <w:bookmarkEnd w:id="62"/>
    </w:p>
    <w:p w14:paraId="241F479D">
      <w:pPr>
        <w:pStyle w:val="16"/>
        <w:adjustRightInd w:val="0"/>
        <w:snapToGrid w:val="0"/>
        <w:spacing w:line="560" w:lineRule="exact"/>
        <w:jc w:val="left"/>
        <w:rPr>
          <w:rFonts w:hint="default" w:ascii="Times New Roman" w:hAnsi="Times New Roman" w:eastAsia="仿宋_GB2312" w:cs="Times New Roman"/>
          <w:sz w:val="32"/>
          <w:szCs w:val="32"/>
        </w:rPr>
      </w:pPr>
      <w:bookmarkStart w:id="63" w:name="_Toc15396628"/>
      <w:r>
        <w:rPr>
          <w:rFonts w:hint="default" w:ascii="Times New Roman" w:hAnsi="Times New Roman" w:eastAsia="仿宋_GB2312" w:cs="Times New Roman"/>
          <w:sz w:val="32"/>
          <w:szCs w:val="32"/>
        </w:rPr>
        <w:t>十、</w:t>
      </w:r>
      <w:bookmarkEnd w:id="63"/>
      <w:r>
        <w:rPr>
          <w:rFonts w:hint="default" w:ascii="Times New Roman" w:hAnsi="Times New Roman" w:eastAsia="仿宋_GB2312" w:cs="Times New Roman"/>
          <w:sz w:val="32"/>
          <w:szCs w:val="32"/>
        </w:rPr>
        <w:t>政府性基金预算财政拨款收入支出决算表</w:t>
      </w:r>
    </w:p>
    <w:p w14:paraId="60A944BF">
      <w:pPr>
        <w:pStyle w:val="16"/>
        <w:adjustRightInd w:val="0"/>
        <w:snapToGrid w:val="0"/>
        <w:spacing w:line="560" w:lineRule="exact"/>
        <w:jc w:val="left"/>
        <w:rPr>
          <w:rFonts w:hint="default" w:ascii="Times New Roman" w:hAnsi="Times New Roman" w:eastAsia="仿宋_GB2312" w:cs="Times New Roman"/>
          <w:sz w:val="32"/>
          <w:szCs w:val="32"/>
        </w:rPr>
      </w:pPr>
      <w:bookmarkStart w:id="64" w:name="_Toc15396629"/>
      <w:r>
        <w:rPr>
          <w:rFonts w:hint="default" w:ascii="Times New Roman" w:hAnsi="Times New Roman" w:eastAsia="仿宋_GB2312" w:cs="Times New Roman"/>
          <w:sz w:val="32"/>
          <w:szCs w:val="32"/>
        </w:rPr>
        <w:t>十一、</w:t>
      </w:r>
      <w:bookmarkEnd w:id="64"/>
      <w:r>
        <w:rPr>
          <w:rFonts w:hint="default" w:ascii="Times New Roman" w:hAnsi="Times New Roman" w:eastAsia="仿宋_GB2312" w:cs="Times New Roman"/>
          <w:sz w:val="32"/>
          <w:szCs w:val="32"/>
        </w:rPr>
        <w:t>国有资本经营预算财政拨款收入支出决算表</w:t>
      </w:r>
    </w:p>
    <w:p w14:paraId="5D6B1639">
      <w:pPr>
        <w:pStyle w:val="16"/>
        <w:adjustRightInd w:val="0"/>
        <w:snapToGrid w:val="0"/>
        <w:spacing w:line="560" w:lineRule="exact"/>
        <w:jc w:val="left"/>
        <w:rPr>
          <w:rFonts w:hint="default" w:ascii="Times New Roman" w:hAnsi="Times New Roman" w:eastAsia="仿宋_GB2312" w:cs="Times New Roman"/>
          <w:sz w:val="32"/>
          <w:szCs w:val="32"/>
        </w:rPr>
      </w:pPr>
      <w:bookmarkStart w:id="65" w:name="_Toc15396630"/>
      <w:r>
        <w:rPr>
          <w:rFonts w:hint="default" w:ascii="Times New Roman" w:hAnsi="Times New Roman" w:eastAsia="仿宋_GB2312" w:cs="Times New Roman"/>
          <w:sz w:val="32"/>
          <w:szCs w:val="32"/>
        </w:rPr>
        <w:t>十二、</w:t>
      </w:r>
      <w:bookmarkEnd w:id="65"/>
      <w:r>
        <w:rPr>
          <w:rFonts w:hint="default" w:ascii="Times New Roman" w:hAnsi="Times New Roman" w:eastAsia="仿宋_GB2312" w:cs="Times New Roman"/>
          <w:sz w:val="32"/>
          <w:szCs w:val="32"/>
        </w:rPr>
        <w:t>国有资本经营预算财政拨款支出决算表</w:t>
      </w:r>
    </w:p>
    <w:p w14:paraId="02ACB020">
      <w:pPr>
        <w:pStyle w:val="16"/>
        <w:adjustRightInd w:val="0"/>
        <w:snapToGrid w:val="0"/>
        <w:spacing w:line="560" w:lineRule="exact"/>
        <w:jc w:val="left"/>
        <w:rPr>
          <w:rFonts w:hint="default" w:ascii="Times New Roman" w:hAnsi="Times New Roman" w:eastAsia="仿宋_GB2312" w:cs="Times New Roman"/>
          <w:sz w:val="32"/>
          <w:szCs w:val="32"/>
        </w:rPr>
      </w:pPr>
      <w:bookmarkStart w:id="66" w:name="_Toc15396631"/>
      <w:r>
        <w:rPr>
          <w:rFonts w:hint="default" w:ascii="Times New Roman" w:hAnsi="Times New Roman" w:eastAsia="仿宋_GB2312" w:cs="Times New Roman"/>
          <w:sz w:val="32"/>
          <w:szCs w:val="32"/>
        </w:rPr>
        <w:t>十三、</w:t>
      </w:r>
      <w:bookmarkEnd w:id="66"/>
      <w:r>
        <w:rPr>
          <w:rFonts w:hint="default" w:ascii="Times New Roman" w:hAnsi="Times New Roman" w:eastAsia="仿宋_GB2312" w:cs="Times New Roman"/>
          <w:sz w:val="32"/>
          <w:szCs w:val="32"/>
        </w:rPr>
        <w:t>财政拨款“三公”经费支出决算表</w:t>
      </w:r>
    </w:p>
    <w:p w14:paraId="13B84AAC">
      <w:pPr>
        <w:rPr>
          <w:rFonts w:hint="default" w:ascii="Times New Roman" w:hAnsi="Times New Roman" w:cs="Times New Roman"/>
        </w:rPr>
      </w:pPr>
    </w:p>
    <w:sectPr>
      <w:footerReference r:id="rId11" w:type="firs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2855D">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9F3B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E59F3B7">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771846A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23878">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EC8BE">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0FB4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370FB4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A0E4">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4781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54781B">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72C1853F">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4842">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E5170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CE5170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D125F">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B4769">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F2B4769">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42D30986">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614A">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799AC68">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4799AC68">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F6A">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0055C">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FC361"/>
    <w:multiLevelType w:val="singleLevel"/>
    <w:tmpl w:val="CFAFC36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4716"/>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92E19"/>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2CD6"/>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2B8"/>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F62639"/>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580586A"/>
    <w:rsid w:val="15C214F1"/>
    <w:rsid w:val="164457BD"/>
    <w:rsid w:val="165E0673"/>
    <w:rsid w:val="16BB723D"/>
    <w:rsid w:val="16F13FCB"/>
    <w:rsid w:val="186504BB"/>
    <w:rsid w:val="1938089F"/>
    <w:rsid w:val="19A445FC"/>
    <w:rsid w:val="1B7D550C"/>
    <w:rsid w:val="1BE8440E"/>
    <w:rsid w:val="1D155CEE"/>
    <w:rsid w:val="1DA73B28"/>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B9081B"/>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9C12F31"/>
    <w:rsid w:val="3AB79AF3"/>
    <w:rsid w:val="3AED7D56"/>
    <w:rsid w:val="3B24560B"/>
    <w:rsid w:val="3B7EF35A"/>
    <w:rsid w:val="3B9FDB6C"/>
    <w:rsid w:val="3BF5BC2F"/>
    <w:rsid w:val="3CEBA265"/>
    <w:rsid w:val="3D98207C"/>
    <w:rsid w:val="3D9B0D99"/>
    <w:rsid w:val="3DEE7CF3"/>
    <w:rsid w:val="3DF02244"/>
    <w:rsid w:val="3E78745D"/>
    <w:rsid w:val="3FC35A89"/>
    <w:rsid w:val="3FF4CAE0"/>
    <w:rsid w:val="3FF7B227"/>
    <w:rsid w:val="40E54C45"/>
    <w:rsid w:val="41313393"/>
    <w:rsid w:val="43A407DF"/>
    <w:rsid w:val="44515BEA"/>
    <w:rsid w:val="44E268DA"/>
    <w:rsid w:val="453F7E5B"/>
    <w:rsid w:val="486A6C7A"/>
    <w:rsid w:val="48E22EC4"/>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9D79B5"/>
    <w:rsid w:val="62BF3928"/>
    <w:rsid w:val="647F5392"/>
    <w:rsid w:val="65433CA6"/>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782F07"/>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4251F7"/>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eastAsia="宋体"/>
      <w:sz w:val="21"/>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image" Target="media/image1.emf"/><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22270;&#34920;-&#26412;&#3242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22\2021&#24180;&#20915;&#31639;&#36130;&#25919;&#19979;&#36798;\&#65288;&#25191;&#27861;&#38431;&#65289;2021&#24180;&#20915;&#31639;&#22270;&#34920;-&#26412;&#32423;.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20915;&#31639;&#20844;&#24320;\2025&#24180;&#20915;&#31639;&#22270;&#34920;-&#26412;&#3242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22270;&#34920;-&#26412;&#3242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22270;&#34920;-&#26412;&#324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800"/>
              <a:t>收、支决算总计变动情况图</a:t>
            </a:r>
            <a:endParaRPr lang="zh-CN" altLang="en-US" sz="1800"/>
          </a:p>
        </c:rich>
      </c:tx>
      <c:layout/>
      <c:overlay val="0"/>
    </c:title>
    <c:autoTitleDeleted val="0"/>
    <c:plotArea>
      <c:layout/>
      <c:barChart>
        <c:barDir val="col"/>
        <c:grouping val="clustered"/>
        <c:varyColors val="0"/>
        <c:ser>
          <c:idx val="0"/>
          <c:order val="0"/>
          <c:tx>
            <c:strRef>
              <c:f>'[2025年决算图表-本级.xlsx]收支决算总计'!$A$2</c:f>
              <c:strCache>
                <c:ptCount val="1"/>
                <c:pt idx="0">
                  <c:v>全年收入总计</c:v>
                </c:pt>
              </c:strCache>
            </c:strRef>
          </c:tx>
          <c:invertIfNegative val="0"/>
          <c:dLbls>
            <c:delete val="1"/>
          </c:dLbls>
          <c:cat>
            <c:strRef>
              <c:f>'[2025年决算图表-本级.xlsx]收支决算总计'!$B$1:$E$1</c:f>
              <c:strCache>
                <c:ptCount val="4"/>
                <c:pt idx="0">
                  <c:v>2024年</c:v>
                </c:pt>
                <c:pt idx="1">
                  <c:v>2025年</c:v>
                </c:pt>
                <c:pt idx="2">
                  <c:v>同比增减额</c:v>
                </c:pt>
                <c:pt idx="3">
                  <c:v>同比增减率</c:v>
                </c:pt>
              </c:strCache>
            </c:strRef>
          </c:cat>
          <c:val>
            <c:numRef>
              <c:f>'[2025年决算图表-本级.xlsx]收支决算总计'!$B$2:$E$2</c:f>
              <c:numCache>
                <c:formatCode>#,##0.00</c:formatCode>
                <c:ptCount val="4"/>
                <c:pt idx="0">
                  <c:v>563.11</c:v>
                </c:pt>
                <c:pt idx="1">
                  <c:v>698.62</c:v>
                </c:pt>
                <c:pt idx="2" c:formatCode="0.00_ ">
                  <c:v>135.51</c:v>
                </c:pt>
                <c:pt idx="3" c:formatCode="0.00%">
                  <c:v>0.240645699774467</c:v>
                </c:pt>
              </c:numCache>
            </c:numRef>
          </c:val>
        </c:ser>
        <c:ser>
          <c:idx val="1"/>
          <c:order val="1"/>
          <c:tx>
            <c:strRef>
              <c:f>'[2025年决算图表-本级.xlsx]收支决算总计'!$A$3</c:f>
              <c:strCache>
                <c:ptCount val="1"/>
                <c:pt idx="0">
                  <c:v>全年支出总计</c:v>
                </c:pt>
              </c:strCache>
            </c:strRef>
          </c:tx>
          <c:invertIfNegative val="0"/>
          <c:dLbls>
            <c:delete val="1"/>
          </c:dLbls>
          <c:cat>
            <c:strRef>
              <c:f>'[2025年决算图表-本级.xlsx]收支决算总计'!$B$1:$E$1</c:f>
              <c:strCache>
                <c:ptCount val="4"/>
                <c:pt idx="0">
                  <c:v>2024年</c:v>
                </c:pt>
                <c:pt idx="1">
                  <c:v>2025年</c:v>
                </c:pt>
                <c:pt idx="2">
                  <c:v>同比增减额</c:v>
                </c:pt>
                <c:pt idx="3">
                  <c:v>同比增减率</c:v>
                </c:pt>
              </c:strCache>
            </c:strRef>
          </c:cat>
          <c:val>
            <c:numRef>
              <c:f>'[2025年决算图表-本级.xlsx]收支决算总计'!$B$3:$E$3</c:f>
              <c:numCache>
                <c:formatCode>#,##0.00</c:formatCode>
                <c:ptCount val="4"/>
                <c:pt idx="0">
                  <c:v>563.11</c:v>
                </c:pt>
                <c:pt idx="1">
                  <c:v>698.62</c:v>
                </c:pt>
                <c:pt idx="2" c:formatCode="0.00_ ">
                  <c:v>135.51</c:v>
                </c:pt>
                <c:pt idx="3" c:formatCode="0.00%">
                  <c:v>0.240645699774467</c:v>
                </c:pt>
              </c:numCache>
            </c:numRef>
          </c:val>
        </c:ser>
        <c:dLbls>
          <c:showLegendKey val="0"/>
          <c:showVal val="0"/>
          <c:showCatName val="0"/>
          <c:showSerName val="0"/>
          <c:showPercent val="0"/>
          <c:showBubbleSize val="0"/>
        </c:dLbls>
        <c:gapWidth val="150"/>
        <c:axId val="137678848"/>
        <c:axId val="137680384"/>
        <c:extLst>
          <c:ext xmlns:c15="http://schemas.microsoft.com/office/drawing/2012/chart" uri="{02D57815-91ED-43cb-92C2-25804820EDAC}">
            <c15:filteredBarSeries>
              <c15:ser>
                <c:idx val="2"/>
                <c:order val="2"/>
                <c:tx>
                  <c:strRef>
                    <c:extLst>
                      <c:ext uri="{02D57815-91ED-43cb-92C2-25804820EDAC}">
                        <c15:formulaRef>
                          <c15:sqref>'[2025年决算图表-本级.xlsx]收支决算总计'!#REF!</c15:sqref>
                        </c15:formulaRef>
                      </c:ext>
                    </c:extLst>
                    <c:strCache>
                      <c:ptCount val="1"/>
                      <c:pt idx="0">
                        <c:v/>
                      </c:pt>
                    </c:strCache>
                  </c:strRef>
                </c:tx>
                <c:invertIfNegative val="0"/>
                <c:dLbls>
                  <c:delete val="1"/>
                </c:dLbls>
                <c:cat>
                  <c:strRef>
                    <c:extLst>
                      <c:ext uri="{02D57815-91ED-43cb-92C2-25804820EDAC}">
                        <c15:fullRef>
                          <c15:sqref/>
                        </c15:fullRef>
                        <c15:formulaRef>
                          <c15:sqref>'[2025年决算图表-本级.xlsx]收支决算总计'!$B$1:$E$1</c15:sqref>
                        </c15:formulaRef>
                      </c:ext>
                    </c:extLst>
                    <c:strCache>
                      <c:ptCount val="4"/>
                      <c:pt idx="0">
                        <c:v>2024年</c:v>
                      </c:pt>
                      <c:pt idx="1">
                        <c:v>2025年</c:v>
                      </c:pt>
                      <c:pt idx="2">
                        <c:v>同比增减额</c:v>
                      </c:pt>
                      <c:pt idx="3">
                        <c:v>同比增减率</c:v>
                      </c:pt>
                    </c:strCache>
                  </c:strRef>
                </c:cat>
                <c:val>
                  <c:numRef>
                    <c:extLst>
                      <c:ext uri="{02D57815-91ED-43cb-92C2-25804820EDAC}">
                        <c15:formulaRef>
                          <c15:sqref>{1}</c15:sqref>
                        </c15:formulaRef>
                      </c:ext>
                    </c:extLst>
                    <c:numCache>
                      <c:formatCode>General</c:formatCode>
                      <c:ptCount val="1"/>
                      <c:pt idx="0">
                        <c:v>1</c:v>
                      </c:pt>
                    </c:numCache>
                  </c:numRef>
                </c:val>
              </c15:ser>
            </c15:filteredBarSeries>
          </c:ext>
        </c:extLst>
      </c:barChart>
      <c:catAx>
        <c:axId val="13767884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7680384"/>
        <c:crosses val="autoZero"/>
        <c:auto val="1"/>
        <c:lblAlgn val="ctr"/>
        <c:lblOffset val="100"/>
        <c:noMultiLvlLbl val="0"/>
      </c:catAx>
      <c:valAx>
        <c:axId val="137680384"/>
        <c:scaling>
          <c:orientation val="minMax"/>
        </c:scaling>
        <c:delete val="0"/>
        <c:axPos val="l"/>
        <c:majorGridlines/>
        <c:title>
          <c:layout/>
          <c:overlay val="0"/>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p>
          </c:txPr>
        </c:title>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7678848"/>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extLst>
      <c:ext uri="{0b15fc19-7d7d-44ad-8c2d-2c3a37ce22c3}">
        <chartProps xmlns="https://web.wps.cn/et/2018/main" chartId="{ec4b6023-e34f-4b49-890d-6cae40ec482c}"/>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mn-lt"/>
                <a:ea typeface="+mn-ea"/>
                <a:cs typeface="+mn-cs"/>
              </a:defRPr>
            </a:pPr>
            <a:r>
              <a:rPr lang="zh-CN" altLang="en-US"/>
              <a:t>收入决算结构图</a:t>
            </a:r>
            <a:endParaRPr lang="zh-CN" altLang="en-US"/>
          </a:p>
        </c:rich>
      </c:tx>
      <c:layout/>
      <c:overlay val="0"/>
    </c:title>
    <c:autoTitleDeleted val="0"/>
    <c:view3D>
      <c:rotX val="75"/>
      <c:rotY val="0"/>
      <c:depthPercent val="100"/>
      <c:rAngAx val="0"/>
      <c:perspective val="30"/>
    </c:view3D>
    <c:floor>
      <c:thickness val="0"/>
    </c:floor>
    <c:sideWall>
      <c:thickness val="0"/>
    </c:sideWall>
    <c:backWall>
      <c:thickness val="0"/>
    </c:backWall>
    <c:plotArea>
      <c:layout>
        <c:manualLayout>
          <c:layoutTarget val="inner"/>
          <c:xMode val="edge"/>
          <c:yMode val="edge"/>
          <c:x val="0.121243268401784"/>
          <c:y val="0.178431980962588"/>
          <c:w val="0.813888888888889"/>
          <c:h val="0.641898512685915"/>
        </c:manualLayout>
      </c:layout>
      <c:pie3DChart>
        <c:varyColors val="1"/>
        <c:ser>
          <c:idx val="0"/>
          <c:order val="0"/>
          <c:explosion val="0"/>
          <c:dPt>
            <c:idx val="0"/>
            <c:bubble3D val="0"/>
          </c:dPt>
          <c:dPt>
            <c:idx val="1"/>
            <c:bubble3D val="0"/>
          </c:dPt>
          <c:dPt>
            <c:idx val="2"/>
            <c:bubble3D val="0"/>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r>
                      <a:rPr lang="zh-CN" altLang="en-US"/>
                      <a:t>一般公共预算财政拨款收入
</a:t>
                    </a:r>
                    <a:r>
                      <a:rPr lang="en-US" altLang="zh-CN"/>
                      <a:t>100%</a:t>
                    </a:r>
                    <a:endParaRPr lang="zh-CN" altLang="en-US"/>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64722878390201"/>
                  <c:y val="0.0813094196558765"/>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r>
                      <a:rPr lang="zh-CN" altLang="en-US"/>
                      <a:t>政府性基金预算财政拨款收入</a:t>
                    </a:r>
                    <a:r>
                      <a:rPr lang="en-US" altLang="zh-CN"/>
                      <a:t>0.34%</a:t>
                    </a:r>
                    <a:endParaRPr lang="zh-CN" altLang="en-US"/>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36110017497813"/>
                  <c:y val="0.0354684310294546"/>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r>
                      <a:rPr lang="zh-CN" altLang="en-US"/>
                      <a:t>其他收入
</a:t>
                    </a:r>
                    <a:r>
                      <a:rPr lang="en-US" altLang="zh-CN"/>
                      <a:t>0.02%</a:t>
                    </a:r>
                    <a:endParaRPr lang="zh-CN" altLang="en-US"/>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'[2021年决算图表-本级.xlsx]收入决算结构'!$A$1:$A$3</c:f>
              <c:strCache>
                <c:ptCount val="3"/>
                <c:pt idx="0">
                  <c:v>一般公共预算财政拨款收入</c:v>
                </c:pt>
                <c:pt idx="1">
                  <c:v>政府性基金预算财政拨款收入</c:v>
                </c:pt>
                <c:pt idx="2" c:formatCode="#,##0.00">
                  <c:v>其他收入</c:v>
                </c:pt>
              </c:strCache>
            </c:strRef>
          </c:cat>
          <c:val>
            <c:numRef>
              <c:f>'[2021年决算图表-本级.xlsx]收入决算结构'!$B$1:$B$3</c:f>
              <c:numCache>
                <c:formatCode>0.00%</c:formatCode>
                <c:ptCount val="3"/>
                <c:pt idx="0">
                  <c:v>1</c:v>
                </c:pt>
              </c:numCache>
            </c:numRef>
          </c:val>
        </c:ser>
        <c:ser>
          <c:idx val="1"/>
          <c:order val="1"/>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'[2021年决算图表-本级.xlsx]收入决算结构'!$A$1:$A$3</c:f>
              <c:strCache>
                <c:ptCount val="3"/>
                <c:pt idx="0">
                  <c:v>一般公共预算财政拨款收入</c:v>
                </c:pt>
                <c:pt idx="1">
                  <c:v>政府性基金预算财政拨款收入</c:v>
                </c:pt>
                <c:pt idx="2" c:formatCode="#,##0.00">
                  <c:v>其他收入</c:v>
                </c:pt>
              </c:strCache>
            </c:strRef>
          </c:cat>
          <c:val>
            <c:numRef>
              <c:f>'[2021年决算图表-本级.xlsx]收入决算结构'!$C$1:$C$3</c:f>
              <c:numCache>
                <c:formatCode>General</c:formatCode>
                <c:ptCount val="3"/>
              </c:numCache>
            </c:numRef>
          </c:val>
        </c:ser>
        <c:dLbls>
          <c:showLegendKey val="0"/>
          <c:showVal val="0"/>
          <c:showCatName val="1"/>
          <c:showSerName val="0"/>
          <c:showPercent val="1"/>
          <c:showBubbleSize val="0"/>
        </c:dLbls>
      </c:pie3DChart>
    </c:plotArea>
    <c:plotVisOnly val="1"/>
    <c:dispBlanksAs val="gap"/>
    <c:showDLblsOverMax val="0"/>
    <c:extLst>
      <c:ext uri="{0b15fc19-7d7d-44ad-8c2d-2c3a37ce22c3}">
        <chartProps xmlns="https://web.wps.cn/et/2018/main" chartId="{e354de59-5d42-481e-898f-089edf98f6fc}"/>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a:p>
            <a:pPr defTabSz="914400">
              <a:defRPr lang="zh-CN" sz="1400" b="1" i="0" u="none" strike="noStrike" kern="1200" baseline="0">
                <a:solidFill>
                  <a:schemeClr val="tx1">
                    <a:lumMod val="75000"/>
                    <a:lumOff val="25000"/>
                  </a:schemeClr>
                </a:solidFill>
                <a:latin typeface="+mn-lt"/>
                <a:ea typeface="+mn-ea"/>
                <a:cs typeface="+mn-cs"/>
              </a:defRPr>
            </a:pP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'[2025年决算图表-本级.xlsx]支出决算结构'!$A$1:$A$2</c:f>
              <c:strCache>
                <c:ptCount val="2"/>
                <c:pt idx="0">
                  <c:v>基本支出</c:v>
                </c:pt>
                <c:pt idx="1">
                  <c:v>项目支出</c:v>
                </c:pt>
              </c:strCache>
            </c:strRef>
          </c:cat>
          <c:val>
            <c:numRef>
              <c:f>'[2025年决算图表-本级.xlsx]支出决算结构'!$B$1:$B$2</c:f>
              <c:numCache>
                <c:formatCode>0.00%</c:formatCode>
                <c:ptCount val="2"/>
                <c:pt idx="0">
                  <c:v>0.999627837737253</c:v>
                </c:pt>
                <c:pt idx="1">
                  <c:v>0.0003721622627465</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'[2025年决算图表-本级.xlsx]支出决算结构'!$A$1:$A$2</c:f>
              <c:strCache>
                <c:ptCount val="2"/>
                <c:pt idx="0">
                  <c:v>基本支出</c:v>
                </c:pt>
                <c:pt idx="1">
                  <c:v>项目支出</c:v>
                </c:pt>
              </c:strCache>
            </c:strRef>
          </c:cat>
          <c:val>
            <c:numRef>
              <c:f>'[2025年决算图表-本级.xlsx]支出决算结构'!$C$1:$C$2</c:f>
              <c:numCache>
                <c:formatCode>_ * #,##0.00_ ;_ * \-#,##0.00_ ;_ * "-"??_ ;_ @_ </c:formatCode>
                <c:ptCount val="2"/>
                <c:pt idx="0">
                  <c:v>698.36</c:v>
                </c:pt>
                <c:pt idx="1">
                  <c:v>0.26</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fbc8fc-0fa9-4879-a9f2-28bbe4edec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800"/>
              <a:t>财政拨款收、支决算总计变动情况</a:t>
            </a:r>
            <a:endParaRPr lang="zh-CN" altLang="en-US" sz="1800"/>
          </a:p>
        </c:rich>
      </c:tx>
      <c:layout/>
      <c:overlay val="0"/>
    </c:title>
    <c:autoTitleDeleted val="0"/>
    <c:plotArea>
      <c:layout/>
      <c:barChart>
        <c:barDir val="col"/>
        <c:grouping val="clustered"/>
        <c:varyColors val="0"/>
        <c:ser>
          <c:idx val="0"/>
          <c:order val="0"/>
          <c:tx>
            <c:strRef>
              <c:f>'[2025年决算图表-本级.xlsx]财政拨款收、支决算总计变动'!$A$2</c:f>
              <c:strCache>
                <c:ptCount val="1"/>
                <c:pt idx="0">
                  <c:v>财政拨款收入总计</c:v>
                </c:pt>
              </c:strCache>
            </c:strRef>
          </c:tx>
          <c:invertIfNegative val="0"/>
          <c:dLbls>
            <c:delete val="1"/>
          </c:dLbls>
          <c:cat>
            <c:strRef>
              <c:f>'[2025年决算图表-本级.xlsx]财政拨款收、支决算总计变动'!$B$1:$E$1</c:f>
              <c:strCache>
                <c:ptCount val="4"/>
                <c:pt idx="0">
                  <c:v>2024年</c:v>
                </c:pt>
                <c:pt idx="1">
                  <c:v>2025年</c:v>
                </c:pt>
                <c:pt idx="2">
                  <c:v>同比增减额</c:v>
                </c:pt>
                <c:pt idx="3">
                  <c:v>同比增减率</c:v>
                </c:pt>
              </c:strCache>
            </c:strRef>
          </c:cat>
          <c:val>
            <c:numRef>
              <c:f>'[2025年决算图表-本级.xlsx]财政拨款收、支决算总计变动'!$B$2:$E$2</c:f>
              <c:numCache>
                <c:formatCode>#,##0.00</c:formatCode>
                <c:ptCount val="4"/>
                <c:pt idx="0">
                  <c:v>563.11</c:v>
                </c:pt>
                <c:pt idx="1">
                  <c:v>698.62</c:v>
                </c:pt>
                <c:pt idx="2" c:formatCode="0.00_ ">
                  <c:v>135.51</c:v>
                </c:pt>
                <c:pt idx="3" c:formatCode="0.00%">
                  <c:v>0.240645699774467</c:v>
                </c:pt>
              </c:numCache>
            </c:numRef>
          </c:val>
        </c:ser>
        <c:ser>
          <c:idx val="1"/>
          <c:order val="1"/>
          <c:tx>
            <c:strRef>
              <c:f>'[2025年决算图表-本级.xlsx]财政拨款收、支决算总计变动'!$A$3</c:f>
              <c:strCache>
                <c:ptCount val="1"/>
                <c:pt idx="0">
                  <c:v>财政拨款支出总计</c:v>
                </c:pt>
              </c:strCache>
            </c:strRef>
          </c:tx>
          <c:invertIfNegative val="0"/>
          <c:dLbls>
            <c:delete val="1"/>
          </c:dLbls>
          <c:cat>
            <c:strRef>
              <c:f>'[2025年决算图表-本级.xlsx]财政拨款收、支决算总计变动'!$B$1:$E$1</c:f>
              <c:strCache>
                <c:ptCount val="4"/>
                <c:pt idx="0">
                  <c:v>2024年</c:v>
                </c:pt>
                <c:pt idx="1">
                  <c:v>2025年</c:v>
                </c:pt>
                <c:pt idx="2">
                  <c:v>同比增减额</c:v>
                </c:pt>
                <c:pt idx="3">
                  <c:v>同比增减率</c:v>
                </c:pt>
              </c:strCache>
            </c:strRef>
          </c:cat>
          <c:val>
            <c:numRef>
              <c:f>'[2025年决算图表-本级.xlsx]财政拨款收、支决算总计变动'!$B$3:$E$3</c:f>
              <c:numCache>
                <c:formatCode>#,##0.00</c:formatCode>
                <c:ptCount val="4"/>
                <c:pt idx="0">
                  <c:v>563.11</c:v>
                </c:pt>
                <c:pt idx="1">
                  <c:v>698.62</c:v>
                </c:pt>
                <c:pt idx="2" c:formatCode="0.00_ ">
                  <c:v>135.51</c:v>
                </c:pt>
                <c:pt idx="3" c:formatCode="0.00%">
                  <c:v>0.240645699774467</c:v>
                </c:pt>
              </c:numCache>
            </c:numRef>
          </c:val>
        </c:ser>
        <c:dLbls>
          <c:showLegendKey val="0"/>
          <c:showVal val="0"/>
          <c:showCatName val="0"/>
          <c:showSerName val="0"/>
          <c:showPercent val="0"/>
          <c:showBubbleSize val="0"/>
        </c:dLbls>
        <c:gapWidth val="150"/>
        <c:axId val="48695168"/>
        <c:axId val="48696704"/>
      </c:barChart>
      <c:catAx>
        <c:axId val="4869516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8696704"/>
        <c:crosses val="autoZero"/>
        <c:auto val="1"/>
        <c:lblAlgn val="ctr"/>
        <c:lblOffset val="100"/>
        <c:noMultiLvlLbl val="0"/>
      </c:catAx>
      <c:valAx>
        <c:axId val="48696704"/>
        <c:scaling>
          <c:orientation val="minMax"/>
        </c:scaling>
        <c:delete val="0"/>
        <c:axPos val="l"/>
        <c:majorGridlines/>
        <c:title>
          <c:layout/>
          <c:overlay val="0"/>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p>
          </c:txPr>
        </c:title>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8695168"/>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extLst>
      <c:ext uri="{0b15fc19-7d7d-44ad-8c2d-2c3a37ce22c3}">
        <chartProps xmlns="https://web.wps.cn/et/2018/main" chartId="{ab0650c4-1555-4248-a170-ff548f5e4203}"/>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baseline="0"/>
              <a:t>一般公共预算财政拨款支出决算变动情况</a:t>
            </a:r>
            <a:endParaRPr lang="zh-CN" altLang="en-US" sz="1400" baseline="0"/>
          </a:p>
        </c:rich>
      </c:tx>
      <c:layout/>
      <c:overlay val="0"/>
    </c:title>
    <c:autoTitleDeleted val="0"/>
    <c:plotArea>
      <c:layout>
        <c:manualLayout>
          <c:layoutTarget val="inner"/>
          <c:xMode val="edge"/>
          <c:yMode val="edge"/>
          <c:x val="0.0444444444444444"/>
          <c:y val="0.187116564417178"/>
          <c:w val="0.938888888888889"/>
          <c:h val="0.720040899795501"/>
        </c:manualLayout>
      </c:layout>
      <c:barChart>
        <c:barDir val="col"/>
        <c:grouping val="clustered"/>
        <c:varyColors val="0"/>
        <c:ser>
          <c:idx val="0"/>
          <c:order val="0"/>
          <c:tx>
            <c:strRef>
              <c:f>'[2025年决算图表-本级.xlsx]一般公共预算财政拨款支出'!$A$2</c:f>
              <c:strCache>
                <c:ptCount val="1"/>
                <c:pt idx="0">
                  <c:v>一般公共预算财政拨款支出</c:v>
                </c:pt>
              </c:strCache>
            </c:strRef>
          </c:tx>
          <c:invertIfNegative val="0"/>
          <c:dLbls>
            <c:dLbl>
              <c:idx val="0"/>
              <c:layout>
                <c:manualLayout>
                  <c:x val="-0.016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6089238845137"/>
                  <c:y val="-0.0548516562012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'[2025年决算图表-本级.xlsx]一般公共预算财政拨款支出'!$B$1:$E$1</c:f>
              <c:strCache>
                <c:ptCount val="4"/>
                <c:pt idx="0">
                  <c:v>2024年</c:v>
                </c:pt>
                <c:pt idx="1">
                  <c:v>2025年</c:v>
                </c:pt>
                <c:pt idx="2">
                  <c:v>同比增减额</c:v>
                </c:pt>
                <c:pt idx="3">
                  <c:v>同比增减率</c:v>
                </c:pt>
              </c:strCache>
            </c:strRef>
          </c:cat>
          <c:val>
            <c:numRef>
              <c:f>'[2025年决算图表-本级.xlsx]一般公共预算财政拨款支出'!$B$2:$E$2</c:f>
              <c:numCache>
                <c:formatCode>#,##0.00</c:formatCode>
                <c:ptCount val="4"/>
                <c:pt idx="0">
                  <c:v>563.11</c:v>
                </c:pt>
                <c:pt idx="1">
                  <c:v>698.62</c:v>
                </c:pt>
                <c:pt idx="2" c:formatCode="0.00_ ">
                  <c:v>135.51</c:v>
                </c:pt>
                <c:pt idx="3" c:formatCode="0.00%">
                  <c:v>0.240645699774467</c:v>
                </c:pt>
              </c:numCache>
            </c:numRef>
          </c:val>
        </c:ser>
        <c:ser>
          <c:idx val="1"/>
          <c:order val="1"/>
          <c:tx>
            <c:strRef>
              <c:f>'[2025年决算图表-本级.xlsx]一般公共预算财政拨款支出'!$A$3</c:f>
              <c:strCache>
                <c:ptCount val="1"/>
                <c:pt idx="0">
                  <c:v>全年支出</c:v>
                </c:pt>
              </c:strCache>
            </c:strRef>
          </c:tx>
          <c:invertIfNegative val="0"/>
          <c:dLbls>
            <c:dLbl>
              <c:idx val="0"/>
              <c:layout>
                <c:manualLayout>
                  <c:x val="0.025"/>
                  <c:y val="-0.0253164556962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9166666666667"/>
                  <c:y val="-0.03164556962025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61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6712962962962"/>
                  <c:y val="-0.0495770623608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'[2025年决算图表-本级.xlsx]一般公共预算财政拨款支出'!$B$1:$E$1</c:f>
              <c:strCache>
                <c:ptCount val="4"/>
                <c:pt idx="0">
                  <c:v>2024年</c:v>
                </c:pt>
                <c:pt idx="1">
                  <c:v>2025年</c:v>
                </c:pt>
                <c:pt idx="2">
                  <c:v>同比增减额</c:v>
                </c:pt>
                <c:pt idx="3">
                  <c:v>同比增减率</c:v>
                </c:pt>
              </c:strCache>
            </c:strRef>
          </c:cat>
          <c:val>
            <c:numRef>
              <c:f>'[2025年决算图表-本级.xlsx]一般公共预算财政拨款支出'!$B$3:$E$3</c:f>
              <c:numCache>
                <c:formatCode>#,##0.00</c:formatCode>
                <c:ptCount val="4"/>
                <c:pt idx="0">
                  <c:v>563.11</c:v>
                </c:pt>
                <c:pt idx="1">
                  <c:v>698.62</c:v>
                </c:pt>
                <c:pt idx="2" c:formatCode="0.00_ ">
                  <c:v>135.51</c:v>
                </c:pt>
                <c:pt idx="3" c:formatCode="0.00%">
                  <c:v>0.240645699774467</c:v>
                </c:pt>
              </c:numCache>
            </c:numRef>
          </c:val>
        </c:ser>
        <c:dLbls>
          <c:showLegendKey val="0"/>
          <c:showVal val="1"/>
          <c:showCatName val="0"/>
          <c:showSerName val="0"/>
          <c:showPercent val="0"/>
          <c:showBubbleSize val="0"/>
        </c:dLbls>
        <c:gapWidth val="150"/>
        <c:overlap val="-25"/>
        <c:axId val="48749184"/>
        <c:axId val="48763264"/>
      </c:barChart>
      <c:catAx>
        <c:axId val="48749184"/>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8763264"/>
        <c:crosses val="autoZero"/>
        <c:auto val="1"/>
        <c:lblAlgn val="ctr"/>
        <c:lblOffset val="100"/>
        <c:noMultiLvlLbl val="0"/>
      </c:catAx>
      <c:valAx>
        <c:axId val="48763264"/>
        <c:scaling>
          <c:orientation val="minMax"/>
        </c:scaling>
        <c:delete val="1"/>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8749184"/>
        <c:crosses val="autoZero"/>
        <c:crossBetween val="between"/>
      </c:valAx>
    </c:plotArea>
    <c:legend>
      <c:legendPos val="t"/>
      <c:layout>
        <c:manualLayout>
          <c:xMode val="edge"/>
          <c:yMode val="edge"/>
          <c:x val="0.236805555555556"/>
          <c:y val="0.089366053169734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4dfdddf-3774-467a-84d8-3b3e64241aab}"/>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74678e46-bd6c-4ff9-a8d4-0047713a5f29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596FA4C5</paraID>
      <start xmlns="http://schemas.wps.cn/vas-ai-hub/contract-review">82</start>
      <end xmlns="http://schemas.wps.cn/vas-ai-hub/contract-review">83</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efbb02-dfa0-40b3-8702-53ff7a37214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4884</Words>
  <Characters>5294</Characters>
  <Lines>62</Lines>
  <Paragraphs>17</Paragraphs>
  <TotalTime>12</TotalTime>
  <ScaleCrop>false</ScaleCrop>
  <LinksUpToDate>false</LinksUpToDate>
  <CharactersWithSpaces>5338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2026-08-28T10:45:00Z</dcterms:created>
  <dc:creator>曹颖</dc:creator>
  <cp:lastModifiedBy>user</cp:lastModifiedBy>
  <cp:lastPrinted>2026-08-03T17:27:00Z</cp:lastPrinted>
  <dcterms:modified xsi:type="dcterms:W3CDTF">2026-09-14T09:55:15Z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BFB6E7E3221D4B5DA80C9DE886E87F95_13</vt:lpwstr>
  </property>
  <property fmtid="{D5CDD505-2E9C-101B-9397-08002B2CF9AE}" pid="4" name="KSOTemplateDocerSaveRecord">
    <vt:lpwstr>eyJoZGlkIjoiZmVmOTI3YTc4NDYwNTNlOTE3YjdkYWU4ZDk5YTU5NjEiLCJ1c2VySWQiOiIzMzk3MDMxNTgifQ==</vt:lpwstr>
  </property>
</Properties>
</file>