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drawings/drawing1.xml" ContentType="application/vnd.openxmlformats-officedocument.drawingml.chartshapes+xml"/>
  <Override PartName="/word/drawings/drawing2.xml" ContentType="application/vnd.openxmlformats-officedocument.drawingml.chartshapes+xml"/>
  <Override PartName="/word/drawings/drawing3.xml" ContentType="application/vnd.openxmlformats-officedocument.drawingml.chartshapes+xml"/>
  <Override PartName="/word/drawings/drawing4.xml" ContentType="application/vnd.openxmlformats-officedocument.drawingml.chartshapes+xml"/>
  <Override PartName="/word/drawings/drawing5.xml" ContentType="application/vnd.openxmlformats-officedocument.drawingml.chartshapes+xml"/>
  <Override PartName="/word/drawings/drawing6.xml" ContentType="application/vnd.openxmlformats-officedocument.drawingml.chartshap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76D2ED">
      <w:pPr>
        <w:pStyle w:val="6"/>
        <w:spacing w:before="93"/>
        <w:jc w:val="center"/>
        <w:rPr>
          <w:rFonts w:ascii="Times New Roman" w:eastAsia="方正小标宋简体"/>
          <w:kern w:val="2"/>
          <w:sz w:val="44"/>
          <w:szCs w:val="44"/>
        </w:rPr>
      </w:pPr>
      <w:bookmarkStart w:id="0" w:name="_Toc15377425"/>
      <w:bookmarkStart w:id="1" w:name="_Toc15377193"/>
      <w:bookmarkStart w:id="2" w:name="_Toc15396597"/>
      <w:bookmarkStart w:id="3" w:name="_Toc15378441"/>
      <w:bookmarkStart w:id="4" w:name="_Toc15396475"/>
      <w:bookmarkStart w:id="5" w:name="_Toc15306267"/>
    </w:p>
    <w:p w14:paraId="2938EE21">
      <w:pPr>
        <w:pStyle w:val="6"/>
        <w:spacing w:before="93"/>
        <w:jc w:val="center"/>
        <w:rPr>
          <w:rFonts w:ascii="Times New Roman" w:eastAsia="方正小标宋简体"/>
          <w:kern w:val="2"/>
          <w:sz w:val="44"/>
          <w:szCs w:val="44"/>
        </w:rPr>
      </w:pPr>
    </w:p>
    <w:p w14:paraId="6382E115">
      <w:pPr>
        <w:pStyle w:val="6"/>
        <w:spacing w:before="93"/>
        <w:jc w:val="center"/>
        <w:rPr>
          <w:rFonts w:ascii="Times New Roman" w:eastAsia="方正小标宋简体"/>
          <w:kern w:val="2"/>
          <w:sz w:val="44"/>
          <w:szCs w:val="44"/>
        </w:rPr>
      </w:pPr>
    </w:p>
    <w:p w14:paraId="72A43F3B">
      <w:pPr>
        <w:pStyle w:val="6"/>
        <w:spacing w:before="93"/>
        <w:jc w:val="center"/>
        <w:rPr>
          <w:rFonts w:ascii="Times New Roman" w:eastAsia="方正小标宋简体"/>
          <w:kern w:val="2"/>
          <w:sz w:val="44"/>
          <w:szCs w:val="44"/>
        </w:rPr>
      </w:pPr>
    </w:p>
    <w:bookmarkEnd w:id="0"/>
    <w:bookmarkEnd w:id="1"/>
    <w:bookmarkEnd w:id="2"/>
    <w:bookmarkEnd w:id="3"/>
    <w:bookmarkEnd w:id="4"/>
    <w:p w14:paraId="05CBC52C">
      <w:pPr>
        <w:pStyle w:val="6"/>
        <w:spacing w:before="93"/>
        <w:jc w:val="center"/>
        <w:rPr>
          <w:rFonts w:ascii="Times New Roman" w:eastAsia="方正小标宋简体"/>
          <w:kern w:val="2"/>
          <w:sz w:val="44"/>
          <w:szCs w:val="44"/>
        </w:rPr>
      </w:pPr>
      <w:bookmarkStart w:id="6" w:name="_Toc15396598"/>
      <w:bookmarkStart w:id="7" w:name="_Toc15377194"/>
      <w:bookmarkStart w:id="8" w:name="_Toc15396476"/>
      <w:bookmarkStart w:id="9" w:name="_Toc15377426"/>
      <w:bookmarkStart w:id="10" w:name="_Toc15378442"/>
      <w:r>
        <w:rPr>
          <w:rFonts w:hint="eastAsia" w:ascii="Times New Roman" w:eastAsia="方正小标宋简体"/>
          <w:kern w:val="2"/>
          <w:sz w:val="44"/>
          <w:szCs w:val="44"/>
        </w:rPr>
        <w:t>2025年度攀枝花市</w:t>
      </w:r>
      <w:bookmarkEnd w:id="5"/>
      <w:bookmarkStart w:id="11" w:name="_Toc15306268"/>
      <w:r>
        <w:rPr>
          <w:rFonts w:hint="eastAsia" w:ascii="Times New Roman" w:eastAsia="方正小标宋简体"/>
          <w:kern w:val="2"/>
          <w:sz w:val="44"/>
          <w:szCs w:val="44"/>
          <w:lang w:eastAsia="zh-CN"/>
        </w:rPr>
        <w:t>文化旅游产业发展中心单位</w:t>
      </w:r>
      <w:r>
        <w:rPr>
          <w:rFonts w:hint="eastAsia" w:ascii="Times New Roman" w:eastAsia="方正小标宋简体"/>
          <w:kern w:val="2"/>
          <w:sz w:val="44"/>
          <w:szCs w:val="44"/>
        </w:rPr>
        <w:t>决算</w:t>
      </w:r>
      <w:bookmarkEnd w:id="6"/>
      <w:bookmarkEnd w:id="7"/>
      <w:bookmarkEnd w:id="8"/>
      <w:bookmarkEnd w:id="9"/>
      <w:bookmarkEnd w:id="10"/>
      <w:bookmarkEnd w:id="11"/>
    </w:p>
    <w:p w14:paraId="21216953">
      <w:pPr>
        <w:widowControl/>
        <w:jc w:val="center"/>
        <w:rPr>
          <w:rFonts w:hint="eastAsia" w:eastAsia="黑体"/>
          <w:sz w:val="48"/>
          <w:szCs w:val="48"/>
        </w:rPr>
      </w:pPr>
    </w:p>
    <w:p w14:paraId="5661623D">
      <w:pPr>
        <w:widowControl/>
        <w:jc w:val="center"/>
        <w:rPr>
          <w:rFonts w:hint="eastAsia" w:eastAsia="黑体"/>
          <w:sz w:val="48"/>
          <w:szCs w:val="48"/>
        </w:rPr>
      </w:pPr>
    </w:p>
    <w:p w14:paraId="41AE1A1D">
      <w:pPr>
        <w:widowControl/>
        <w:jc w:val="center"/>
        <w:rPr>
          <w:rFonts w:hint="eastAsia" w:eastAsia="黑体"/>
          <w:sz w:val="48"/>
          <w:szCs w:val="48"/>
        </w:rPr>
      </w:pPr>
    </w:p>
    <w:p w14:paraId="5BC2A722">
      <w:pPr>
        <w:widowControl/>
        <w:jc w:val="center"/>
        <w:rPr>
          <w:rFonts w:hint="eastAsia" w:eastAsia="黑体"/>
          <w:sz w:val="48"/>
          <w:szCs w:val="48"/>
        </w:rPr>
      </w:pPr>
    </w:p>
    <w:p w14:paraId="107591C2">
      <w:pPr>
        <w:widowControl/>
        <w:jc w:val="center"/>
        <w:rPr>
          <w:rFonts w:hint="eastAsia" w:eastAsia="黑体"/>
          <w:sz w:val="48"/>
          <w:szCs w:val="48"/>
        </w:rPr>
      </w:pPr>
    </w:p>
    <w:p w14:paraId="3EFDE589">
      <w:pPr>
        <w:widowControl/>
        <w:jc w:val="center"/>
        <w:rPr>
          <w:rFonts w:hint="eastAsia" w:eastAsia="黑体"/>
          <w:sz w:val="48"/>
          <w:szCs w:val="48"/>
        </w:rPr>
      </w:pPr>
    </w:p>
    <w:p w14:paraId="67736B69">
      <w:pPr>
        <w:widowControl/>
        <w:jc w:val="center"/>
        <w:rPr>
          <w:rFonts w:hint="eastAsia" w:eastAsia="黑体"/>
          <w:sz w:val="48"/>
          <w:szCs w:val="48"/>
        </w:rPr>
      </w:pPr>
    </w:p>
    <w:p w14:paraId="02E374E7">
      <w:pPr>
        <w:widowControl/>
        <w:jc w:val="center"/>
        <w:rPr>
          <w:rFonts w:hint="eastAsia" w:eastAsia="黑体"/>
          <w:sz w:val="48"/>
          <w:szCs w:val="48"/>
        </w:rPr>
      </w:pPr>
    </w:p>
    <w:p w14:paraId="13B495A6">
      <w:pPr>
        <w:widowControl/>
        <w:jc w:val="center"/>
        <w:rPr>
          <w:rFonts w:hint="eastAsia" w:eastAsia="黑体"/>
          <w:sz w:val="48"/>
          <w:szCs w:val="48"/>
        </w:rPr>
      </w:pPr>
    </w:p>
    <w:p w14:paraId="5E807A9C">
      <w:pPr>
        <w:widowControl/>
        <w:jc w:val="center"/>
        <w:rPr>
          <w:rFonts w:hint="eastAsia" w:eastAsia="黑体"/>
          <w:sz w:val="48"/>
          <w:szCs w:val="48"/>
        </w:rPr>
      </w:pPr>
    </w:p>
    <w:p w14:paraId="74D86706">
      <w:pPr>
        <w:widowControl/>
        <w:jc w:val="center"/>
        <w:rPr>
          <w:rFonts w:hint="eastAsia" w:eastAsia="黑体"/>
          <w:sz w:val="48"/>
          <w:szCs w:val="48"/>
        </w:rPr>
      </w:pPr>
    </w:p>
    <w:p w14:paraId="6B4983A7">
      <w:pPr>
        <w:widowControl/>
        <w:jc w:val="center"/>
        <w:rPr>
          <w:rFonts w:hint="eastAsia" w:eastAsia="黑体"/>
          <w:sz w:val="48"/>
          <w:szCs w:val="48"/>
        </w:rPr>
      </w:pPr>
    </w:p>
    <w:p w14:paraId="5815AF7A">
      <w:pPr>
        <w:widowControl/>
        <w:jc w:val="center"/>
        <w:rPr>
          <w:rFonts w:hint="eastAsia" w:eastAsia="黑体"/>
          <w:sz w:val="48"/>
          <w:szCs w:val="48"/>
        </w:rPr>
      </w:pPr>
    </w:p>
    <w:p w14:paraId="56F8D42D">
      <w:pPr>
        <w:widowControl/>
        <w:jc w:val="center"/>
        <w:rPr>
          <w:rFonts w:hint="eastAsia" w:eastAsia="黑体"/>
          <w:sz w:val="48"/>
          <w:szCs w:val="48"/>
        </w:rPr>
      </w:pPr>
    </w:p>
    <w:p w14:paraId="2F163260">
      <w:pPr>
        <w:widowControl/>
        <w:jc w:val="center"/>
        <w:rPr>
          <w:rFonts w:hint="eastAsia" w:eastAsia="黑体"/>
          <w:sz w:val="48"/>
          <w:szCs w:val="48"/>
        </w:rPr>
        <w:sectPr>
          <w:headerReference r:id="rId3" w:type="default"/>
          <w:footerReference r:id="rId4" w:type="default"/>
          <w:pgSz w:w="11906" w:h="16838"/>
          <w:pgMar w:top="1440" w:right="1800" w:bottom="1440" w:left="1800" w:header="851" w:footer="992" w:gutter="0"/>
          <w:pgNumType w:start="1"/>
          <w:cols w:space="425" w:num="1"/>
          <w:docGrid w:type="lines" w:linePitch="312" w:charSpace="0"/>
        </w:sectPr>
      </w:pPr>
    </w:p>
    <w:p w14:paraId="78BD8424">
      <w:pPr>
        <w:widowControl/>
        <w:jc w:val="center"/>
        <w:rPr>
          <w:rFonts w:eastAsia="黑体"/>
          <w:sz w:val="48"/>
          <w:szCs w:val="48"/>
        </w:rPr>
      </w:pPr>
      <w:r>
        <w:rPr>
          <w:rFonts w:hint="eastAsia" w:eastAsia="黑体"/>
          <w:sz w:val="48"/>
          <w:szCs w:val="48"/>
        </w:rPr>
        <w:t>目</w:t>
      </w:r>
      <w:r>
        <w:rPr>
          <w:rFonts w:hint="eastAsia" w:eastAsia="黑体"/>
          <w:sz w:val="48"/>
          <w:szCs w:val="48"/>
          <w:lang w:val="en-US" w:eastAsia="zh-CN"/>
        </w:rPr>
        <w:t xml:space="preserve">  </w:t>
      </w:r>
      <w:r>
        <w:rPr>
          <w:rFonts w:hint="eastAsia" w:eastAsia="黑体"/>
          <w:sz w:val="48"/>
          <w:szCs w:val="48"/>
        </w:rPr>
        <w:t>录</w:t>
      </w:r>
    </w:p>
    <w:p w14:paraId="7F6B6D00">
      <w:pPr>
        <w:widowControl/>
        <w:jc w:val="center"/>
        <w:rPr>
          <w:rFonts w:eastAsia="黑体" w:cstheme="minorBidi"/>
          <w:sz w:val="28"/>
          <w:szCs w:val="28"/>
        </w:rPr>
      </w:pPr>
    </w:p>
    <w:p w14:paraId="468D120E">
      <w:pPr>
        <w:pStyle w:val="14"/>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公开时间：2026年</w:t>
      </w:r>
      <w:r>
        <w:rPr>
          <w:rFonts w:hint="eastAsia" w:ascii="Times New Roman" w:hAnsi="Times New Roman" w:eastAsia="仿宋_GB2312" w:cs="仿宋_GB2312"/>
          <w:sz w:val="32"/>
          <w:szCs w:val="32"/>
          <w:lang w:val="en-US" w:eastAsia="zh-CN"/>
        </w:rPr>
        <w:t>9</w:t>
      </w:r>
      <w:r>
        <w:rPr>
          <w:rFonts w:hint="eastAsia" w:ascii="Times New Roman" w:hAnsi="Times New Roman" w:eastAsia="仿宋_GB2312" w:cs="仿宋_GB2312"/>
          <w:sz w:val="32"/>
          <w:szCs w:val="32"/>
        </w:rPr>
        <w:t>月</w:t>
      </w:r>
      <w:r>
        <w:rPr>
          <w:rFonts w:hint="eastAsia" w:ascii="Times New Roman" w:hAnsi="Times New Roman" w:eastAsia="仿宋_GB2312" w:cs="仿宋_GB2312"/>
          <w:sz w:val="32"/>
          <w:szCs w:val="32"/>
          <w:lang w:val="en-US" w:eastAsia="zh-CN"/>
        </w:rPr>
        <w:t>14</w:t>
      </w:r>
      <w:bookmarkStart w:id="98" w:name="_GoBack"/>
      <w:bookmarkEnd w:id="98"/>
      <w:r>
        <w:rPr>
          <w:rFonts w:hint="eastAsia" w:ascii="Times New Roman" w:hAnsi="Times New Roman" w:eastAsia="仿宋_GB2312" w:cs="仿宋_GB2312"/>
          <w:sz w:val="32"/>
          <w:szCs w:val="32"/>
        </w:rPr>
        <w:t>日</w:t>
      </w:r>
    </w:p>
    <w:p w14:paraId="5F2A0600"/>
    <w:sdt>
      <w:sdtPr>
        <w:rPr>
          <w:rFonts w:ascii="宋体" w:hAnsi="宋体" w:eastAsia="宋体" w:cs="Times New Roman"/>
          <w:kern w:val="2"/>
          <w:sz w:val="21"/>
          <w:szCs w:val="24"/>
          <w:lang w:val="en-US" w:eastAsia="zh-CN" w:bidi="ar-SA"/>
        </w:rPr>
        <w:id w:val="95686525"/>
        <w15:color w:val="DBDBDB"/>
        <w:docPartObj>
          <w:docPartGallery w:val="Table of Contents"/>
          <w:docPartUnique/>
        </w:docPartObj>
      </w:sdtPr>
      <w:sdtEndPr>
        <w:rPr>
          <w:rFonts w:ascii="宋体" w:hAnsi="宋体" w:eastAsia="宋体" w:cs="Times New Roman"/>
          <w:kern w:val="2"/>
          <w:sz w:val="24"/>
          <w:szCs w:val="24"/>
          <w:lang w:val="en-US" w:eastAsia="zh-CN" w:bidi="ar-SA"/>
        </w:rPr>
      </w:sdtEndPr>
      <w:sdtContent>
        <w:p w14:paraId="175DC54E">
          <w:pPr>
            <w:spacing w:before="0" w:beforeLines="0" w:after="0" w:afterLines="0" w:line="240" w:lineRule="auto"/>
            <w:ind w:left="0" w:leftChars="0" w:right="0" w:rightChars="0" w:firstLine="0" w:firstLineChars="0"/>
            <w:jc w:val="center"/>
          </w:pPr>
        </w:p>
        <w:p w14:paraId="1F983C29">
          <w:pPr>
            <w:pStyle w:val="39"/>
            <w:tabs>
              <w:tab w:val="right" w:leader="dot" w:pos="8306"/>
            </w:tabs>
            <w:rPr>
              <w:sz w:val="24"/>
              <w:szCs w:val="24"/>
            </w:rPr>
          </w:pPr>
          <w:r>
            <w:rPr>
              <w:b/>
              <w:sz w:val="24"/>
              <w:szCs w:val="24"/>
            </w:rPr>
            <w:fldChar w:fldCharType="begin"/>
          </w:r>
          <w:r>
            <w:rPr>
              <w:b/>
              <w:sz w:val="24"/>
              <w:szCs w:val="24"/>
            </w:rPr>
            <w:instrText xml:space="preserve">TOC \o "1-3" \h \u </w:instrText>
          </w:r>
          <w:r>
            <w:rPr>
              <w:b/>
              <w:sz w:val="24"/>
              <w:szCs w:val="24"/>
            </w:rPr>
            <w:fldChar w:fldCharType="separate"/>
          </w:r>
          <w:r>
            <w:rPr>
              <w:sz w:val="24"/>
              <w:szCs w:val="24"/>
            </w:rPr>
            <w:fldChar w:fldCharType="begin"/>
          </w:r>
          <w:r>
            <w:rPr>
              <w:sz w:val="24"/>
              <w:szCs w:val="24"/>
            </w:rPr>
            <w:instrText xml:space="preserve"> HYPERLINK \l _Toc1404779787 </w:instrText>
          </w:r>
          <w:r>
            <w:rPr>
              <w:sz w:val="24"/>
              <w:szCs w:val="24"/>
            </w:rPr>
            <w:fldChar w:fldCharType="separate"/>
          </w:r>
          <w:r>
            <w:rPr>
              <w:rFonts w:hint="eastAsia" w:eastAsia="方正小标宋简体" w:cs="方正小标宋简体"/>
              <w:sz w:val="24"/>
              <w:szCs w:val="24"/>
            </w:rPr>
            <w:t xml:space="preserve">第一部分  </w:t>
          </w:r>
          <w:r>
            <w:rPr>
              <w:rFonts w:hint="eastAsia" w:eastAsia="方正小标宋简体" w:cs="方正小标宋简体"/>
              <w:bCs w:val="0"/>
              <w:sz w:val="24"/>
              <w:szCs w:val="24"/>
            </w:rPr>
            <w:t>部门概况</w:t>
          </w:r>
          <w:r>
            <w:rPr>
              <w:sz w:val="24"/>
              <w:szCs w:val="24"/>
            </w:rPr>
            <w:tab/>
          </w:r>
          <w:r>
            <w:rPr>
              <w:sz w:val="24"/>
              <w:szCs w:val="24"/>
            </w:rPr>
            <w:fldChar w:fldCharType="begin"/>
          </w:r>
          <w:r>
            <w:rPr>
              <w:sz w:val="24"/>
              <w:szCs w:val="24"/>
            </w:rPr>
            <w:instrText xml:space="preserve"> PAGEREF _Toc1404779787 \h </w:instrText>
          </w:r>
          <w:r>
            <w:rPr>
              <w:sz w:val="24"/>
              <w:szCs w:val="24"/>
            </w:rPr>
            <w:fldChar w:fldCharType="separate"/>
          </w:r>
          <w:r>
            <w:rPr>
              <w:sz w:val="24"/>
              <w:szCs w:val="24"/>
            </w:rPr>
            <w:t xml:space="preserve">1 </w:t>
          </w:r>
          <w:r>
            <w:rPr>
              <w:sz w:val="24"/>
              <w:szCs w:val="24"/>
            </w:rPr>
            <w:fldChar w:fldCharType="end"/>
          </w:r>
          <w:r>
            <w:rPr>
              <w:sz w:val="24"/>
              <w:szCs w:val="24"/>
            </w:rPr>
            <w:fldChar w:fldCharType="end"/>
          </w:r>
        </w:p>
        <w:p w14:paraId="657F89B5">
          <w:pPr>
            <w:pStyle w:val="40"/>
            <w:tabs>
              <w:tab w:val="right" w:leader="dot" w:pos="8306"/>
            </w:tabs>
            <w:rPr>
              <w:sz w:val="24"/>
              <w:szCs w:val="24"/>
            </w:rPr>
          </w:pPr>
          <w:r>
            <w:rPr>
              <w:sz w:val="24"/>
              <w:szCs w:val="24"/>
            </w:rPr>
            <w:fldChar w:fldCharType="begin"/>
          </w:r>
          <w:r>
            <w:rPr>
              <w:sz w:val="24"/>
              <w:szCs w:val="24"/>
            </w:rPr>
            <w:instrText xml:space="preserve"> HYPERLINK \l _Toc1497007907 </w:instrText>
          </w:r>
          <w:r>
            <w:rPr>
              <w:sz w:val="24"/>
              <w:szCs w:val="24"/>
            </w:rPr>
            <w:fldChar w:fldCharType="separate"/>
          </w:r>
          <w:r>
            <w:rPr>
              <w:rFonts w:hint="eastAsia" w:ascii="Times New Roman" w:hAnsi="Times New Roman" w:eastAsia="黑体"/>
              <w:sz w:val="24"/>
              <w:szCs w:val="24"/>
            </w:rPr>
            <w:t>一、部门职责</w:t>
          </w:r>
          <w:r>
            <w:rPr>
              <w:sz w:val="24"/>
              <w:szCs w:val="24"/>
            </w:rPr>
            <w:tab/>
          </w:r>
          <w:r>
            <w:rPr>
              <w:sz w:val="24"/>
              <w:szCs w:val="24"/>
            </w:rPr>
            <w:fldChar w:fldCharType="begin"/>
          </w:r>
          <w:r>
            <w:rPr>
              <w:sz w:val="24"/>
              <w:szCs w:val="24"/>
            </w:rPr>
            <w:instrText xml:space="preserve"> PAGEREF _Toc1497007907 \h </w:instrText>
          </w:r>
          <w:r>
            <w:rPr>
              <w:sz w:val="24"/>
              <w:szCs w:val="24"/>
            </w:rPr>
            <w:fldChar w:fldCharType="separate"/>
          </w:r>
          <w:r>
            <w:rPr>
              <w:sz w:val="24"/>
              <w:szCs w:val="24"/>
            </w:rPr>
            <w:t>1</w:t>
          </w:r>
          <w:r>
            <w:rPr>
              <w:sz w:val="24"/>
              <w:szCs w:val="24"/>
            </w:rPr>
            <w:fldChar w:fldCharType="end"/>
          </w:r>
          <w:r>
            <w:rPr>
              <w:sz w:val="24"/>
              <w:szCs w:val="24"/>
            </w:rPr>
            <w:fldChar w:fldCharType="end"/>
          </w:r>
        </w:p>
        <w:p w14:paraId="14F7B987">
          <w:pPr>
            <w:pStyle w:val="40"/>
            <w:tabs>
              <w:tab w:val="right" w:leader="dot" w:pos="8306"/>
            </w:tabs>
            <w:rPr>
              <w:sz w:val="24"/>
              <w:szCs w:val="24"/>
            </w:rPr>
          </w:pPr>
          <w:r>
            <w:rPr>
              <w:sz w:val="24"/>
              <w:szCs w:val="24"/>
            </w:rPr>
            <w:fldChar w:fldCharType="begin"/>
          </w:r>
          <w:r>
            <w:rPr>
              <w:sz w:val="24"/>
              <w:szCs w:val="24"/>
            </w:rPr>
            <w:instrText xml:space="preserve"> HYPERLINK \l _Toc37092011 </w:instrText>
          </w:r>
          <w:r>
            <w:rPr>
              <w:sz w:val="24"/>
              <w:szCs w:val="24"/>
            </w:rPr>
            <w:fldChar w:fldCharType="separate"/>
          </w:r>
          <w:r>
            <w:rPr>
              <w:rFonts w:hint="eastAsia" w:ascii="Times New Roman" w:hAnsi="Times New Roman" w:eastAsia="黑体"/>
              <w:sz w:val="24"/>
              <w:szCs w:val="24"/>
            </w:rPr>
            <w:t>二、机</w:t>
          </w:r>
          <w:r>
            <w:rPr>
              <w:rFonts w:hint="eastAsia" w:ascii="Times New Roman" w:hAnsi="Times New Roman" w:eastAsia="黑体"/>
              <w:bCs w:val="0"/>
              <w:sz w:val="24"/>
              <w:szCs w:val="24"/>
            </w:rPr>
            <w:t>构设置</w:t>
          </w:r>
          <w:r>
            <w:rPr>
              <w:sz w:val="24"/>
              <w:szCs w:val="24"/>
            </w:rPr>
            <w:tab/>
          </w:r>
          <w:r>
            <w:rPr>
              <w:sz w:val="24"/>
              <w:szCs w:val="24"/>
            </w:rPr>
            <w:fldChar w:fldCharType="begin"/>
          </w:r>
          <w:r>
            <w:rPr>
              <w:sz w:val="24"/>
              <w:szCs w:val="24"/>
            </w:rPr>
            <w:instrText xml:space="preserve"> PAGEREF _Toc37092011 \h </w:instrText>
          </w:r>
          <w:r>
            <w:rPr>
              <w:sz w:val="24"/>
              <w:szCs w:val="24"/>
            </w:rPr>
            <w:fldChar w:fldCharType="separate"/>
          </w:r>
          <w:r>
            <w:rPr>
              <w:sz w:val="24"/>
              <w:szCs w:val="24"/>
            </w:rPr>
            <w:t xml:space="preserve">1 </w:t>
          </w:r>
          <w:r>
            <w:rPr>
              <w:sz w:val="24"/>
              <w:szCs w:val="24"/>
            </w:rPr>
            <w:fldChar w:fldCharType="end"/>
          </w:r>
          <w:r>
            <w:rPr>
              <w:sz w:val="24"/>
              <w:szCs w:val="24"/>
            </w:rPr>
            <w:fldChar w:fldCharType="end"/>
          </w:r>
        </w:p>
        <w:p w14:paraId="43B51875">
          <w:pPr>
            <w:pStyle w:val="39"/>
            <w:tabs>
              <w:tab w:val="right" w:leader="dot" w:pos="8306"/>
            </w:tabs>
            <w:rPr>
              <w:sz w:val="24"/>
              <w:szCs w:val="24"/>
            </w:rPr>
          </w:pPr>
          <w:r>
            <w:rPr>
              <w:sz w:val="24"/>
              <w:szCs w:val="24"/>
            </w:rPr>
            <w:fldChar w:fldCharType="begin"/>
          </w:r>
          <w:r>
            <w:rPr>
              <w:sz w:val="24"/>
              <w:szCs w:val="24"/>
            </w:rPr>
            <w:instrText xml:space="preserve"> HYPERLINK \l _Toc386738511 </w:instrText>
          </w:r>
          <w:r>
            <w:rPr>
              <w:sz w:val="24"/>
              <w:szCs w:val="24"/>
            </w:rPr>
            <w:fldChar w:fldCharType="separate"/>
          </w:r>
          <w:r>
            <w:rPr>
              <w:rFonts w:hint="eastAsia" w:eastAsia="方正小标宋简体" w:cs="方正小标宋简体"/>
              <w:sz w:val="24"/>
              <w:szCs w:val="24"/>
            </w:rPr>
            <w:t>第二部分  2025年度部门决算情况说明</w:t>
          </w:r>
          <w:r>
            <w:rPr>
              <w:sz w:val="24"/>
              <w:szCs w:val="24"/>
            </w:rPr>
            <w:tab/>
          </w:r>
          <w:r>
            <w:rPr>
              <w:sz w:val="24"/>
              <w:szCs w:val="24"/>
            </w:rPr>
            <w:fldChar w:fldCharType="begin"/>
          </w:r>
          <w:r>
            <w:rPr>
              <w:sz w:val="24"/>
              <w:szCs w:val="24"/>
            </w:rPr>
            <w:instrText xml:space="preserve"> PAGEREF _Toc386738511 \h </w:instrText>
          </w:r>
          <w:r>
            <w:rPr>
              <w:sz w:val="24"/>
              <w:szCs w:val="24"/>
            </w:rPr>
            <w:fldChar w:fldCharType="separate"/>
          </w:r>
          <w:r>
            <w:rPr>
              <w:sz w:val="24"/>
              <w:szCs w:val="24"/>
            </w:rPr>
            <w:t xml:space="preserve"> 2 </w:t>
          </w:r>
          <w:r>
            <w:rPr>
              <w:sz w:val="24"/>
              <w:szCs w:val="24"/>
            </w:rPr>
            <w:fldChar w:fldCharType="end"/>
          </w:r>
          <w:r>
            <w:rPr>
              <w:sz w:val="24"/>
              <w:szCs w:val="24"/>
            </w:rPr>
            <w:fldChar w:fldCharType="end"/>
          </w:r>
        </w:p>
        <w:p w14:paraId="4128584A">
          <w:pPr>
            <w:pStyle w:val="40"/>
            <w:tabs>
              <w:tab w:val="right" w:leader="dot" w:pos="8306"/>
            </w:tabs>
            <w:rPr>
              <w:sz w:val="24"/>
              <w:szCs w:val="24"/>
            </w:rPr>
          </w:pPr>
          <w:r>
            <w:rPr>
              <w:sz w:val="24"/>
              <w:szCs w:val="24"/>
            </w:rPr>
            <w:fldChar w:fldCharType="begin"/>
          </w:r>
          <w:r>
            <w:rPr>
              <w:sz w:val="24"/>
              <w:szCs w:val="24"/>
            </w:rPr>
            <w:instrText xml:space="preserve"> HYPERLINK \l _Toc163074223 </w:instrText>
          </w:r>
          <w:r>
            <w:rPr>
              <w:sz w:val="24"/>
              <w:szCs w:val="24"/>
            </w:rPr>
            <w:fldChar w:fldCharType="separate"/>
          </w:r>
          <w:r>
            <w:rPr>
              <w:rFonts w:hint="eastAsia" w:eastAsia="黑体"/>
              <w:sz w:val="24"/>
              <w:szCs w:val="24"/>
            </w:rPr>
            <w:t>一、收</w:t>
          </w:r>
          <w:r>
            <w:rPr>
              <w:rFonts w:hint="eastAsia" w:ascii="Times New Roman" w:hAnsi="Times New Roman" w:eastAsia="黑体"/>
              <w:sz w:val="24"/>
              <w:szCs w:val="24"/>
            </w:rPr>
            <w:t>入支出决算总体情况说明</w:t>
          </w:r>
          <w:r>
            <w:rPr>
              <w:sz w:val="24"/>
              <w:szCs w:val="24"/>
            </w:rPr>
            <w:tab/>
          </w:r>
          <w:r>
            <w:rPr>
              <w:sz w:val="24"/>
              <w:szCs w:val="24"/>
            </w:rPr>
            <w:fldChar w:fldCharType="begin"/>
          </w:r>
          <w:r>
            <w:rPr>
              <w:sz w:val="24"/>
              <w:szCs w:val="24"/>
            </w:rPr>
            <w:instrText xml:space="preserve"> PAGEREF _Toc163074223 \h </w:instrText>
          </w:r>
          <w:r>
            <w:rPr>
              <w:sz w:val="24"/>
              <w:szCs w:val="24"/>
            </w:rPr>
            <w:fldChar w:fldCharType="separate"/>
          </w:r>
          <w:r>
            <w:rPr>
              <w:sz w:val="24"/>
              <w:szCs w:val="24"/>
            </w:rPr>
            <w:t xml:space="preserve"> 2</w:t>
          </w:r>
          <w:r>
            <w:rPr>
              <w:sz w:val="24"/>
              <w:szCs w:val="24"/>
            </w:rPr>
            <w:fldChar w:fldCharType="end"/>
          </w:r>
          <w:r>
            <w:rPr>
              <w:sz w:val="24"/>
              <w:szCs w:val="24"/>
            </w:rPr>
            <w:fldChar w:fldCharType="end"/>
          </w:r>
        </w:p>
        <w:p w14:paraId="4BFAE855">
          <w:pPr>
            <w:pStyle w:val="40"/>
            <w:tabs>
              <w:tab w:val="right" w:leader="dot" w:pos="8306"/>
            </w:tabs>
            <w:rPr>
              <w:sz w:val="24"/>
              <w:szCs w:val="24"/>
            </w:rPr>
          </w:pPr>
          <w:r>
            <w:rPr>
              <w:sz w:val="24"/>
              <w:szCs w:val="24"/>
            </w:rPr>
            <w:fldChar w:fldCharType="begin"/>
          </w:r>
          <w:r>
            <w:rPr>
              <w:sz w:val="24"/>
              <w:szCs w:val="24"/>
            </w:rPr>
            <w:instrText xml:space="preserve"> HYPERLINK \l _Toc1528173105 </w:instrText>
          </w:r>
          <w:r>
            <w:rPr>
              <w:sz w:val="24"/>
              <w:szCs w:val="24"/>
            </w:rPr>
            <w:fldChar w:fldCharType="separate"/>
          </w:r>
          <w:r>
            <w:rPr>
              <w:rFonts w:hint="eastAsia" w:eastAsia="黑体"/>
              <w:sz w:val="24"/>
              <w:szCs w:val="24"/>
            </w:rPr>
            <w:t>二、收入决算情况说明</w:t>
          </w:r>
          <w:r>
            <w:rPr>
              <w:sz w:val="24"/>
              <w:szCs w:val="24"/>
            </w:rPr>
            <w:tab/>
          </w:r>
          <w:r>
            <w:rPr>
              <w:sz w:val="24"/>
              <w:szCs w:val="24"/>
            </w:rPr>
            <w:fldChar w:fldCharType="begin"/>
          </w:r>
          <w:r>
            <w:rPr>
              <w:sz w:val="24"/>
              <w:szCs w:val="24"/>
            </w:rPr>
            <w:instrText xml:space="preserve"> PAGEREF _Toc1528173105 \h </w:instrText>
          </w:r>
          <w:r>
            <w:rPr>
              <w:sz w:val="24"/>
              <w:szCs w:val="24"/>
            </w:rPr>
            <w:fldChar w:fldCharType="separate"/>
          </w:r>
          <w:r>
            <w:rPr>
              <w:sz w:val="24"/>
              <w:szCs w:val="24"/>
            </w:rPr>
            <w:t xml:space="preserve">2 </w:t>
          </w:r>
          <w:r>
            <w:rPr>
              <w:sz w:val="24"/>
              <w:szCs w:val="24"/>
            </w:rPr>
            <w:fldChar w:fldCharType="end"/>
          </w:r>
          <w:r>
            <w:rPr>
              <w:sz w:val="24"/>
              <w:szCs w:val="24"/>
            </w:rPr>
            <w:fldChar w:fldCharType="end"/>
          </w:r>
        </w:p>
        <w:p w14:paraId="02727C01">
          <w:pPr>
            <w:pStyle w:val="40"/>
            <w:tabs>
              <w:tab w:val="right" w:leader="dot" w:pos="8306"/>
            </w:tabs>
            <w:rPr>
              <w:sz w:val="24"/>
              <w:szCs w:val="24"/>
            </w:rPr>
          </w:pPr>
          <w:r>
            <w:rPr>
              <w:sz w:val="24"/>
              <w:szCs w:val="24"/>
            </w:rPr>
            <w:fldChar w:fldCharType="begin"/>
          </w:r>
          <w:r>
            <w:rPr>
              <w:sz w:val="24"/>
              <w:szCs w:val="24"/>
            </w:rPr>
            <w:instrText xml:space="preserve"> HYPERLINK \l _Toc493285321 </w:instrText>
          </w:r>
          <w:r>
            <w:rPr>
              <w:sz w:val="24"/>
              <w:szCs w:val="24"/>
            </w:rPr>
            <w:fldChar w:fldCharType="separate"/>
          </w:r>
          <w:r>
            <w:rPr>
              <w:rFonts w:hint="eastAsia" w:eastAsia="黑体"/>
              <w:sz w:val="24"/>
              <w:szCs w:val="24"/>
            </w:rPr>
            <w:t>三、支</w:t>
          </w:r>
          <w:r>
            <w:rPr>
              <w:rFonts w:hint="eastAsia" w:ascii="Times New Roman" w:hAnsi="Times New Roman" w:eastAsia="黑体"/>
              <w:sz w:val="24"/>
              <w:szCs w:val="24"/>
            </w:rPr>
            <w:t>出决算情况说明</w:t>
          </w:r>
          <w:r>
            <w:rPr>
              <w:sz w:val="24"/>
              <w:szCs w:val="24"/>
            </w:rPr>
            <w:tab/>
          </w:r>
          <w:r>
            <w:rPr>
              <w:sz w:val="24"/>
              <w:szCs w:val="24"/>
            </w:rPr>
            <w:fldChar w:fldCharType="begin"/>
          </w:r>
          <w:r>
            <w:rPr>
              <w:sz w:val="24"/>
              <w:szCs w:val="24"/>
            </w:rPr>
            <w:instrText xml:space="preserve"> PAGEREF _Toc493285321 \h </w:instrText>
          </w:r>
          <w:r>
            <w:rPr>
              <w:sz w:val="24"/>
              <w:szCs w:val="24"/>
            </w:rPr>
            <w:fldChar w:fldCharType="separate"/>
          </w:r>
          <w:r>
            <w:rPr>
              <w:sz w:val="24"/>
              <w:szCs w:val="24"/>
            </w:rPr>
            <w:t xml:space="preserve">3 </w:t>
          </w:r>
          <w:r>
            <w:rPr>
              <w:sz w:val="24"/>
              <w:szCs w:val="24"/>
            </w:rPr>
            <w:fldChar w:fldCharType="end"/>
          </w:r>
          <w:r>
            <w:rPr>
              <w:sz w:val="24"/>
              <w:szCs w:val="24"/>
            </w:rPr>
            <w:fldChar w:fldCharType="end"/>
          </w:r>
        </w:p>
        <w:p w14:paraId="5320BB06">
          <w:pPr>
            <w:pStyle w:val="40"/>
            <w:tabs>
              <w:tab w:val="right" w:leader="dot" w:pos="8306"/>
            </w:tabs>
            <w:rPr>
              <w:sz w:val="24"/>
              <w:szCs w:val="24"/>
            </w:rPr>
          </w:pPr>
          <w:r>
            <w:rPr>
              <w:sz w:val="24"/>
              <w:szCs w:val="24"/>
            </w:rPr>
            <w:fldChar w:fldCharType="begin"/>
          </w:r>
          <w:r>
            <w:rPr>
              <w:sz w:val="24"/>
              <w:szCs w:val="24"/>
            </w:rPr>
            <w:instrText xml:space="preserve"> HYPERLINK \l _Toc681249487 </w:instrText>
          </w:r>
          <w:r>
            <w:rPr>
              <w:sz w:val="24"/>
              <w:szCs w:val="24"/>
            </w:rPr>
            <w:fldChar w:fldCharType="separate"/>
          </w:r>
          <w:r>
            <w:rPr>
              <w:rFonts w:hint="eastAsia" w:eastAsia="黑体"/>
              <w:sz w:val="24"/>
              <w:szCs w:val="24"/>
            </w:rPr>
            <w:t>四、财</w:t>
          </w:r>
          <w:r>
            <w:rPr>
              <w:rFonts w:hint="eastAsia" w:ascii="Times New Roman" w:hAnsi="Times New Roman" w:eastAsia="黑体"/>
              <w:sz w:val="24"/>
              <w:szCs w:val="24"/>
            </w:rPr>
            <w:t>政拨款收入支出决算总体情况说明</w:t>
          </w:r>
          <w:r>
            <w:rPr>
              <w:sz w:val="24"/>
              <w:szCs w:val="24"/>
            </w:rPr>
            <w:tab/>
          </w:r>
          <w:r>
            <w:rPr>
              <w:sz w:val="24"/>
              <w:szCs w:val="24"/>
            </w:rPr>
            <w:fldChar w:fldCharType="begin"/>
          </w:r>
          <w:r>
            <w:rPr>
              <w:sz w:val="24"/>
              <w:szCs w:val="24"/>
            </w:rPr>
            <w:instrText xml:space="preserve"> PAGEREF _Toc681249487 \h </w:instrText>
          </w:r>
          <w:r>
            <w:rPr>
              <w:sz w:val="24"/>
              <w:szCs w:val="24"/>
            </w:rPr>
            <w:fldChar w:fldCharType="separate"/>
          </w:r>
          <w:r>
            <w:rPr>
              <w:sz w:val="24"/>
              <w:szCs w:val="24"/>
            </w:rPr>
            <w:t xml:space="preserve">3 </w:t>
          </w:r>
          <w:r>
            <w:rPr>
              <w:sz w:val="24"/>
              <w:szCs w:val="24"/>
            </w:rPr>
            <w:fldChar w:fldCharType="end"/>
          </w:r>
          <w:r>
            <w:rPr>
              <w:sz w:val="24"/>
              <w:szCs w:val="24"/>
            </w:rPr>
            <w:fldChar w:fldCharType="end"/>
          </w:r>
        </w:p>
        <w:p w14:paraId="49065B9A">
          <w:pPr>
            <w:pStyle w:val="40"/>
            <w:tabs>
              <w:tab w:val="right" w:leader="dot" w:pos="8306"/>
            </w:tabs>
            <w:rPr>
              <w:sz w:val="24"/>
              <w:szCs w:val="24"/>
            </w:rPr>
          </w:pPr>
          <w:r>
            <w:rPr>
              <w:sz w:val="24"/>
              <w:szCs w:val="24"/>
            </w:rPr>
            <w:fldChar w:fldCharType="begin"/>
          </w:r>
          <w:r>
            <w:rPr>
              <w:sz w:val="24"/>
              <w:szCs w:val="24"/>
            </w:rPr>
            <w:instrText xml:space="preserve"> HYPERLINK \l _Toc899600352 </w:instrText>
          </w:r>
          <w:r>
            <w:rPr>
              <w:sz w:val="24"/>
              <w:szCs w:val="24"/>
            </w:rPr>
            <w:fldChar w:fldCharType="separate"/>
          </w:r>
          <w:r>
            <w:rPr>
              <w:rFonts w:hint="eastAsia" w:eastAsia="黑体"/>
              <w:sz w:val="24"/>
              <w:szCs w:val="24"/>
            </w:rPr>
            <w:t>五、一</w:t>
          </w:r>
          <w:r>
            <w:rPr>
              <w:rFonts w:hint="eastAsia" w:ascii="Times New Roman" w:hAnsi="Times New Roman" w:eastAsia="黑体"/>
              <w:sz w:val="24"/>
              <w:szCs w:val="24"/>
            </w:rPr>
            <w:t>般公共预算财政拨款支出决算情况说明</w:t>
          </w:r>
          <w:r>
            <w:rPr>
              <w:sz w:val="24"/>
              <w:szCs w:val="24"/>
            </w:rPr>
            <w:tab/>
          </w:r>
          <w:r>
            <w:rPr>
              <w:sz w:val="24"/>
              <w:szCs w:val="24"/>
            </w:rPr>
            <w:fldChar w:fldCharType="begin"/>
          </w:r>
          <w:r>
            <w:rPr>
              <w:sz w:val="24"/>
              <w:szCs w:val="24"/>
            </w:rPr>
            <w:instrText xml:space="preserve"> PAGEREF _Toc899600352 \h </w:instrText>
          </w:r>
          <w:r>
            <w:rPr>
              <w:sz w:val="24"/>
              <w:szCs w:val="24"/>
            </w:rPr>
            <w:fldChar w:fldCharType="separate"/>
          </w:r>
          <w:r>
            <w:rPr>
              <w:sz w:val="24"/>
              <w:szCs w:val="24"/>
            </w:rPr>
            <w:t>4</w:t>
          </w:r>
          <w:r>
            <w:rPr>
              <w:sz w:val="24"/>
              <w:szCs w:val="24"/>
            </w:rPr>
            <w:fldChar w:fldCharType="end"/>
          </w:r>
          <w:r>
            <w:rPr>
              <w:sz w:val="24"/>
              <w:szCs w:val="24"/>
            </w:rPr>
            <w:fldChar w:fldCharType="end"/>
          </w:r>
        </w:p>
        <w:p w14:paraId="73728DDB">
          <w:pPr>
            <w:pStyle w:val="41"/>
            <w:tabs>
              <w:tab w:val="right" w:leader="dot" w:pos="8306"/>
            </w:tabs>
            <w:rPr>
              <w:sz w:val="24"/>
              <w:szCs w:val="24"/>
            </w:rPr>
          </w:pPr>
          <w:r>
            <w:rPr>
              <w:sz w:val="24"/>
              <w:szCs w:val="24"/>
            </w:rPr>
            <w:fldChar w:fldCharType="begin"/>
          </w:r>
          <w:r>
            <w:rPr>
              <w:sz w:val="24"/>
              <w:szCs w:val="24"/>
            </w:rPr>
            <w:instrText xml:space="preserve"> HYPERLINK \l _Toc478637695 </w:instrText>
          </w:r>
          <w:r>
            <w:rPr>
              <w:sz w:val="24"/>
              <w:szCs w:val="24"/>
            </w:rPr>
            <w:fldChar w:fldCharType="separate"/>
          </w:r>
          <w:r>
            <w:rPr>
              <w:rFonts w:hint="eastAsia" w:eastAsia="楷体_GB2312" w:cs="楷体_GB2312"/>
              <w:sz w:val="24"/>
              <w:szCs w:val="24"/>
            </w:rPr>
            <w:t>（一）一般公共预算财政拨款支出决算总体情况</w:t>
          </w:r>
          <w:r>
            <w:rPr>
              <w:sz w:val="24"/>
              <w:szCs w:val="24"/>
            </w:rPr>
            <w:tab/>
          </w:r>
          <w:r>
            <w:rPr>
              <w:sz w:val="24"/>
              <w:szCs w:val="24"/>
            </w:rPr>
            <w:fldChar w:fldCharType="begin"/>
          </w:r>
          <w:r>
            <w:rPr>
              <w:sz w:val="24"/>
              <w:szCs w:val="24"/>
            </w:rPr>
            <w:instrText xml:space="preserve"> PAGEREF _Toc478637695 \h </w:instrText>
          </w:r>
          <w:r>
            <w:rPr>
              <w:sz w:val="24"/>
              <w:szCs w:val="24"/>
            </w:rPr>
            <w:fldChar w:fldCharType="separate"/>
          </w:r>
          <w:r>
            <w:rPr>
              <w:sz w:val="24"/>
              <w:szCs w:val="24"/>
            </w:rPr>
            <w:t xml:space="preserve">4 </w:t>
          </w:r>
          <w:r>
            <w:rPr>
              <w:sz w:val="24"/>
              <w:szCs w:val="24"/>
            </w:rPr>
            <w:fldChar w:fldCharType="end"/>
          </w:r>
          <w:r>
            <w:rPr>
              <w:sz w:val="24"/>
              <w:szCs w:val="24"/>
            </w:rPr>
            <w:fldChar w:fldCharType="end"/>
          </w:r>
        </w:p>
        <w:p w14:paraId="2C7DC0F1">
          <w:pPr>
            <w:pStyle w:val="41"/>
            <w:tabs>
              <w:tab w:val="right" w:leader="dot" w:pos="8306"/>
            </w:tabs>
            <w:rPr>
              <w:sz w:val="24"/>
              <w:szCs w:val="24"/>
            </w:rPr>
          </w:pPr>
          <w:r>
            <w:rPr>
              <w:sz w:val="24"/>
              <w:szCs w:val="24"/>
            </w:rPr>
            <w:fldChar w:fldCharType="begin"/>
          </w:r>
          <w:r>
            <w:rPr>
              <w:sz w:val="24"/>
              <w:szCs w:val="24"/>
            </w:rPr>
            <w:instrText xml:space="preserve"> HYPERLINK \l _Toc1269554446 </w:instrText>
          </w:r>
          <w:r>
            <w:rPr>
              <w:sz w:val="24"/>
              <w:szCs w:val="24"/>
            </w:rPr>
            <w:fldChar w:fldCharType="separate"/>
          </w:r>
          <w:r>
            <w:rPr>
              <w:rFonts w:hint="eastAsia" w:eastAsia="楷体_GB2312" w:cs="楷体_GB2312"/>
              <w:sz w:val="24"/>
              <w:szCs w:val="24"/>
            </w:rPr>
            <w:t>（二）一般公共预算财政拨款支出决算结构情况</w:t>
          </w:r>
          <w:r>
            <w:rPr>
              <w:sz w:val="24"/>
              <w:szCs w:val="24"/>
            </w:rPr>
            <w:tab/>
          </w:r>
          <w:r>
            <w:rPr>
              <w:sz w:val="24"/>
              <w:szCs w:val="24"/>
            </w:rPr>
            <w:fldChar w:fldCharType="begin"/>
          </w:r>
          <w:r>
            <w:rPr>
              <w:sz w:val="24"/>
              <w:szCs w:val="24"/>
            </w:rPr>
            <w:instrText xml:space="preserve"> PAGEREF _Toc1269554446 \h </w:instrText>
          </w:r>
          <w:r>
            <w:rPr>
              <w:sz w:val="24"/>
              <w:szCs w:val="24"/>
            </w:rPr>
            <w:fldChar w:fldCharType="separate"/>
          </w:r>
          <w:r>
            <w:rPr>
              <w:sz w:val="24"/>
              <w:szCs w:val="24"/>
            </w:rPr>
            <w:t xml:space="preserve"> 5 </w:t>
          </w:r>
          <w:r>
            <w:rPr>
              <w:sz w:val="24"/>
              <w:szCs w:val="24"/>
            </w:rPr>
            <w:fldChar w:fldCharType="end"/>
          </w:r>
          <w:r>
            <w:rPr>
              <w:sz w:val="24"/>
              <w:szCs w:val="24"/>
            </w:rPr>
            <w:fldChar w:fldCharType="end"/>
          </w:r>
        </w:p>
        <w:p w14:paraId="4620BB69">
          <w:pPr>
            <w:pStyle w:val="41"/>
            <w:tabs>
              <w:tab w:val="right" w:leader="dot" w:pos="8306"/>
            </w:tabs>
            <w:rPr>
              <w:sz w:val="24"/>
              <w:szCs w:val="24"/>
            </w:rPr>
          </w:pPr>
          <w:r>
            <w:rPr>
              <w:sz w:val="24"/>
              <w:szCs w:val="24"/>
            </w:rPr>
            <w:fldChar w:fldCharType="begin"/>
          </w:r>
          <w:r>
            <w:rPr>
              <w:sz w:val="24"/>
              <w:szCs w:val="24"/>
            </w:rPr>
            <w:instrText xml:space="preserve"> HYPERLINK \l _Toc1362540705 </w:instrText>
          </w:r>
          <w:r>
            <w:rPr>
              <w:sz w:val="24"/>
              <w:szCs w:val="24"/>
            </w:rPr>
            <w:fldChar w:fldCharType="separate"/>
          </w:r>
          <w:r>
            <w:rPr>
              <w:rFonts w:hint="eastAsia" w:eastAsia="楷体_GB2312" w:cs="楷体_GB2312"/>
              <w:sz w:val="24"/>
              <w:szCs w:val="24"/>
            </w:rPr>
            <w:t>（三）一般公共预算财政拨款支出决算具体情况</w:t>
          </w:r>
          <w:r>
            <w:rPr>
              <w:sz w:val="24"/>
              <w:szCs w:val="24"/>
            </w:rPr>
            <w:tab/>
          </w:r>
          <w:r>
            <w:rPr>
              <w:sz w:val="24"/>
              <w:szCs w:val="24"/>
            </w:rPr>
            <w:fldChar w:fldCharType="begin"/>
          </w:r>
          <w:r>
            <w:rPr>
              <w:sz w:val="24"/>
              <w:szCs w:val="24"/>
            </w:rPr>
            <w:instrText xml:space="preserve"> PAGEREF _Toc1362540705 \h </w:instrText>
          </w:r>
          <w:r>
            <w:rPr>
              <w:sz w:val="24"/>
              <w:szCs w:val="24"/>
            </w:rPr>
            <w:fldChar w:fldCharType="separate"/>
          </w:r>
          <w:r>
            <w:rPr>
              <w:sz w:val="24"/>
              <w:szCs w:val="24"/>
            </w:rPr>
            <w:t xml:space="preserve">6 </w:t>
          </w:r>
          <w:r>
            <w:rPr>
              <w:sz w:val="24"/>
              <w:szCs w:val="24"/>
            </w:rPr>
            <w:fldChar w:fldCharType="end"/>
          </w:r>
          <w:r>
            <w:rPr>
              <w:sz w:val="24"/>
              <w:szCs w:val="24"/>
            </w:rPr>
            <w:fldChar w:fldCharType="end"/>
          </w:r>
        </w:p>
        <w:p w14:paraId="1B3EB247">
          <w:pPr>
            <w:pStyle w:val="40"/>
            <w:tabs>
              <w:tab w:val="right" w:leader="dot" w:pos="8306"/>
            </w:tabs>
            <w:rPr>
              <w:sz w:val="24"/>
              <w:szCs w:val="24"/>
            </w:rPr>
          </w:pPr>
          <w:r>
            <w:rPr>
              <w:sz w:val="24"/>
              <w:szCs w:val="24"/>
            </w:rPr>
            <w:fldChar w:fldCharType="begin"/>
          </w:r>
          <w:r>
            <w:rPr>
              <w:sz w:val="24"/>
              <w:szCs w:val="24"/>
            </w:rPr>
            <w:instrText xml:space="preserve"> HYPERLINK \l _Toc1734147887 </w:instrText>
          </w:r>
          <w:r>
            <w:rPr>
              <w:sz w:val="24"/>
              <w:szCs w:val="24"/>
            </w:rPr>
            <w:fldChar w:fldCharType="separate"/>
          </w:r>
          <w:r>
            <w:rPr>
              <w:rFonts w:hint="eastAsia" w:eastAsia="黑体"/>
              <w:sz w:val="24"/>
              <w:szCs w:val="24"/>
            </w:rPr>
            <w:t>六、一</w:t>
          </w:r>
          <w:r>
            <w:rPr>
              <w:rFonts w:hint="eastAsia" w:ascii="Times New Roman" w:hAnsi="Times New Roman" w:eastAsia="黑体"/>
              <w:sz w:val="24"/>
              <w:szCs w:val="24"/>
            </w:rPr>
            <w:t>般公共预算财政拨款基本支出决算情况说明</w:t>
          </w:r>
          <w:r>
            <w:rPr>
              <w:sz w:val="24"/>
              <w:szCs w:val="24"/>
            </w:rPr>
            <w:tab/>
          </w:r>
          <w:r>
            <w:rPr>
              <w:sz w:val="24"/>
              <w:szCs w:val="24"/>
            </w:rPr>
            <w:fldChar w:fldCharType="begin"/>
          </w:r>
          <w:r>
            <w:rPr>
              <w:sz w:val="24"/>
              <w:szCs w:val="24"/>
            </w:rPr>
            <w:instrText xml:space="preserve"> PAGEREF _Toc1734147887 \h </w:instrText>
          </w:r>
          <w:r>
            <w:rPr>
              <w:sz w:val="24"/>
              <w:szCs w:val="24"/>
            </w:rPr>
            <w:fldChar w:fldCharType="separate"/>
          </w:r>
          <w:r>
            <w:rPr>
              <w:sz w:val="24"/>
              <w:szCs w:val="24"/>
            </w:rPr>
            <w:t xml:space="preserve">7 </w:t>
          </w:r>
          <w:r>
            <w:rPr>
              <w:sz w:val="24"/>
              <w:szCs w:val="24"/>
            </w:rPr>
            <w:fldChar w:fldCharType="end"/>
          </w:r>
          <w:r>
            <w:rPr>
              <w:sz w:val="24"/>
              <w:szCs w:val="24"/>
            </w:rPr>
            <w:fldChar w:fldCharType="end"/>
          </w:r>
        </w:p>
        <w:p w14:paraId="23303B77">
          <w:pPr>
            <w:pStyle w:val="40"/>
            <w:tabs>
              <w:tab w:val="right" w:leader="dot" w:pos="8306"/>
            </w:tabs>
            <w:rPr>
              <w:sz w:val="24"/>
              <w:szCs w:val="24"/>
            </w:rPr>
          </w:pPr>
          <w:r>
            <w:rPr>
              <w:sz w:val="24"/>
              <w:szCs w:val="24"/>
            </w:rPr>
            <w:fldChar w:fldCharType="begin"/>
          </w:r>
          <w:r>
            <w:rPr>
              <w:sz w:val="24"/>
              <w:szCs w:val="24"/>
            </w:rPr>
            <w:instrText xml:space="preserve"> HYPERLINK \l _Toc1367491110 </w:instrText>
          </w:r>
          <w:r>
            <w:rPr>
              <w:sz w:val="24"/>
              <w:szCs w:val="24"/>
            </w:rPr>
            <w:fldChar w:fldCharType="separate"/>
          </w:r>
          <w:r>
            <w:rPr>
              <w:rFonts w:hint="eastAsia" w:eastAsia="黑体"/>
              <w:sz w:val="24"/>
              <w:szCs w:val="24"/>
            </w:rPr>
            <w:t>七、</w:t>
          </w:r>
          <w:r>
            <w:rPr>
              <w:rFonts w:hint="eastAsia" w:ascii="Times New Roman" w:hAnsi="Times New Roman" w:eastAsia="黑体"/>
              <w:sz w:val="24"/>
              <w:szCs w:val="24"/>
            </w:rPr>
            <w:t>财政拨款“三公”经费支出决算情况说明</w:t>
          </w:r>
          <w:r>
            <w:rPr>
              <w:sz w:val="24"/>
              <w:szCs w:val="24"/>
            </w:rPr>
            <w:tab/>
          </w:r>
          <w:r>
            <w:rPr>
              <w:sz w:val="24"/>
              <w:szCs w:val="24"/>
            </w:rPr>
            <w:fldChar w:fldCharType="begin"/>
          </w:r>
          <w:r>
            <w:rPr>
              <w:sz w:val="24"/>
              <w:szCs w:val="24"/>
            </w:rPr>
            <w:instrText xml:space="preserve"> PAGEREF _Toc1367491110 \h </w:instrText>
          </w:r>
          <w:r>
            <w:rPr>
              <w:sz w:val="24"/>
              <w:szCs w:val="24"/>
            </w:rPr>
            <w:fldChar w:fldCharType="separate"/>
          </w:r>
          <w:r>
            <w:rPr>
              <w:sz w:val="24"/>
              <w:szCs w:val="24"/>
            </w:rPr>
            <w:t>7</w:t>
          </w:r>
          <w:r>
            <w:rPr>
              <w:sz w:val="24"/>
              <w:szCs w:val="24"/>
            </w:rPr>
            <w:fldChar w:fldCharType="end"/>
          </w:r>
          <w:r>
            <w:rPr>
              <w:sz w:val="24"/>
              <w:szCs w:val="24"/>
            </w:rPr>
            <w:fldChar w:fldCharType="end"/>
          </w:r>
        </w:p>
        <w:p w14:paraId="1CD5EE05">
          <w:pPr>
            <w:pStyle w:val="41"/>
            <w:tabs>
              <w:tab w:val="right" w:leader="dot" w:pos="8306"/>
            </w:tabs>
            <w:rPr>
              <w:sz w:val="24"/>
              <w:szCs w:val="24"/>
            </w:rPr>
          </w:pPr>
          <w:r>
            <w:rPr>
              <w:sz w:val="24"/>
              <w:szCs w:val="24"/>
            </w:rPr>
            <w:fldChar w:fldCharType="begin"/>
          </w:r>
          <w:r>
            <w:rPr>
              <w:sz w:val="24"/>
              <w:szCs w:val="24"/>
            </w:rPr>
            <w:instrText xml:space="preserve"> HYPERLINK \l _Toc1035593281 </w:instrText>
          </w:r>
          <w:r>
            <w:rPr>
              <w:sz w:val="24"/>
              <w:szCs w:val="24"/>
            </w:rPr>
            <w:fldChar w:fldCharType="separate"/>
          </w:r>
          <w:r>
            <w:rPr>
              <w:rFonts w:hint="eastAsia" w:eastAsia="楷体_GB2312" w:cs="楷体_GB2312"/>
              <w:sz w:val="24"/>
              <w:szCs w:val="24"/>
            </w:rPr>
            <w:t>（一）财政拨款“三公”经费支出决算总体情况说明</w:t>
          </w:r>
          <w:r>
            <w:rPr>
              <w:sz w:val="24"/>
              <w:szCs w:val="24"/>
            </w:rPr>
            <w:tab/>
          </w:r>
          <w:r>
            <w:rPr>
              <w:sz w:val="24"/>
              <w:szCs w:val="24"/>
            </w:rPr>
            <w:fldChar w:fldCharType="begin"/>
          </w:r>
          <w:r>
            <w:rPr>
              <w:sz w:val="24"/>
              <w:szCs w:val="24"/>
            </w:rPr>
            <w:instrText xml:space="preserve"> PAGEREF _Toc1035593281 \h </w:instrText>
          </w:r>
          <w:r>
            <w:rPr>
              <w:sz w:val="24"/>
              <w:szCs w:val="24"/>
            </w:rPr>
            <w:fldChar w:fldCharType="separate"/>
          </w:r>
          <w:r>
            <w:rPr>
              <w:sz w:val="24"/>
              <w:szCs w:val="24"/>
            </w:rPr>
            <w:t>7</w:t>
          </w:r>
          <w:r>
            <w:rPr>
              <w:sz w:val="24"/>
              <w:szCs w:val="24"/>
            </w:rPr>
            <w:fldChar w:fldCharType="end"/>
          </w:r>
          <w:r>
            <w:rPr>
              <w:sz w:val="24"/>
              <w:szCs w:val="24"/>
            </w:rPr>
            <w:fldChar w:fldCharType="end"/>
          </w:r>
        </w:p>
        <w:p w14:paraId="7D9D8786">
          <w:pPr>
            <w:pStyle w:val="41"/>
            <w:tabs>
              <w:tab w:val="right" w:leader="dot" w:pos="8306"/>
            </w:tabs>
            <w:rPr>
              <w:sz w:val="24"/>
              <w:szCs w:val="24"/>
            </w:rPr>
          </w:pPr>
          <w:r>
            <w:rPr>
              <w:sz w:val="24"/>
              <w:szCs w:val="24"/>
            </w:rPr>
            <w:fldChar w:fldCharType="begin"/>
          </w:r>
          <w:r>
            <w:rPr>
              <w:sz w:val="24"/>
              <w:szCs w:val="24"/>
            </w:rPr>
            <w:instrText xml:space="preserve"> HYPERLINK \l _Toc882667650 </w:instrText>
          </w:r>
          <w:r>
            <w:rPr>
              <w:sz w:val="24"/>
              <w:szCs w:val="24"/>
            </w:rPr>
            <w:fldChar w:fldCharType="separate"/>
          </w:r>
          <w:r>
            <w:rPr>
              <w:rFonts w:hint="eastAsia" w:eastAsia="楷体_GB2312" w:cs="楷体_GB2312"/>
              <w:sz w:val="24"/>
              <w:szCs w:val="24"/>
            </w:rPr>
            <w:t>（二）财政拨款“三公”经费支出决算具体情况说明</w:t>
          </w:r>
          <w:r>
            <w:rPr>
              <w:sz w:val="24"/>
              <w:szCs w:val="24"/>
            </w:rPr>
            <w:tab/>
          </w:r>
          <w:r>
            <w:rPr>
              <w:sz w:val="24"/>
              <w:szCs w:val="24"/>
            </w:rPr>
            <w:fldChar w:fldCharType="begin"/>
          </w:r>
          <w:r>
            <w:rPr>
              <w:sz w:val="24"/>
              <w:szCs w:val="24"/>
            </w:rPr>
            <w:instrText xml:space="preserve"> PAGEREF _Toc882667650 \h </w:instrText>
          </w:r>
          <w:r>
            <w:rPr>
              <w:sz w:val="24"/>
              <w:szCs w:val="24"/>
            </w:rPr>
            <w:fldChar w:fldCharType="separate"/>
          </w:r>
          <w:r>
            <w:rPr>
              <w:sz w:val="24"/>
              <w:szCs w:val="24"/>
            </w:rPr>
            <w:t>7</w:t>
          </w:r>
          <w:r>
            <w:rPr>
              <w:sz w:val="24"/>
              <w:szCs w:val="24"/>
            </w:rPr>
            <w:fldChar w:fldCharType="end"/>
          </w:r>
          <w:r>
            <w:rPr>
              <w:sz w:val="24"/>
              <w:szCs w:val="24"/>
            </w:rPr>
            <w:fldChar w:fldCharType="end"/>
          </w:r>
        </w:p>
        <w:p w14:paraId="662B3D7E">
          <w:pPr>
            <w:pStyle w:val="40"/>
            <w:tabs>
              <w:tab w:val="right" w:leader="dot" w:pos="8306"/>
            </w:tabs>
            <w:rPr>
              <w:sz w:val="24"/>
              <w:szCs w:val="24"/>
            </w:rPr>
          </w:pPr>
          <w:r>
            <w:rPr>
              <w:sz w:val="24"/>
              <w:szCs w:val="24"/>
            </w:rPr>
            <w:fldChar w:fldCharType="begin"/>
          </w:r>
          <w:r>
            <w:rPr>
              <w:sz w:val="24"/>
              <w:szCs w:val="24"/>
            </w:rPr>
            <w:instrText xml:space="preserve"> HYPERLINK \l _Toc1173349725 </w:instrText>
          </w:r>
          <w:r>
            <w:rPr>
              <w:sz w:val="24"/>
              <w:szCs w:val="24"/>
            </w:rPr>
            <w:fldChar w:fldCharType="separate"/>
          </w:r>
          <w:r>
            <w:rPr>
              <w:rFonts w:hint="eastAsia" w:eastAsia="黑体"/>
              <w:sz w:val="24"/>
              <w:szCs w:val="24"/>
            </w:rPr>
            <w:t>八、</w:t>
          </w:r>
          <w:r>
            <w:rPr>
              <w:rFonts w:hint="eastAsia" w:ascii="Times New Roman" w:hAnsi="Times New Roman" w:eastAsia="黑体"/>
              <w:sz w:val="24"/>
              <w:szCs w:val="24"/>
            </w:rPr>
            <w:t>政府性基金预算支出决算情况说明</w:t>
          </w:r>
          <w:r>
            <w:rPr>
              <w:sz w:val="24"/>
              <w:szCs w:val="24"/>
            </w:rPr>
            <w:tab/>
          </w:r>
          <w:r>
            <w:rPr>
              <w:sz w:val="24"/>
              <w:szCs w:val="24"/>
            </w:rPr>
            <w:fldChar w:fldCharType="begin"/>
          </w:r>
          <w:r>
            <w:rPr>
              <w:sz w:val="24"/>
              <w:szCs w:val="24"/>
            </w:rPr>
            <w:instrText xml:space="preserve"> PAGEREF _Toc1173349725 \h </w:instrText>
          </w:r>
          <w:r>
            <w:rPr>
              <w:sz w:val="24"/>
              <w:szCs w:val="24"/>
            </w:rPr>
            <w:fldChar w:fldCharType="separate"/>
          </w:r>
          <w:r>
            <w:rPr>
              <w:sz w:val="24"/>
              <w:szCs w:val="24"/>
            </w:rPr>
            <w:t>9</w:t>
          </w:r>
          <w:r>
            <w:rPr>
              <w:sz w:val="24"/>
              <w:szCs w:val="24"/>
            </w:rPr>
            <w:fldChar w:fldCharType="end"/>
          </w:r>
          <w:r>
            <w:rPr>
              <w:sz w:val="24"/>
              <w:szCs w:val="24"/>
            </w:rPr>
            <w:fldChar w:fldCharType="end"/>
          </w:r>
        </w:p>
        <w:p w14:paraId="386A3325">
          <w:pPr>
            <w:pStyle w:val="40"/>
            <w:tabs>
              <w:tab w:val="right" w:leader="dot" w:pos="8306"/>
            </w:tabs>
            <w:rPr>
              <w:sz w:val="24"/>
              <w:szCs w:val="24"/>
            </w:rPr>
          </w:pPr>
          <w:r>
            <w:rPr>
              <w:sz w:val="24"/>
              <w:szCs w:val="24"/>
            </w:rPr>
            <w:fldChar w:fldCharType="begin"/>
          </w:r>
          <w:r>
            <w:rPr>
              <w:sz w:val="24"/>
              <w:szCs w:val="24"/>
            </w:rPr>
            <w:instrText xml:space="preserve"> HYPERLINK \l _Toc916750938 </w:instrText>
          </w:r>
          <w:r>
            <w:rPr>
              <w:sz w:val="24"/>
              <w:szCs w:val="24"/>
            </w:rPr>
            <w:fldChar w:fldCharType="separate"/>
          </w:r>
          <w:r>
            <w:rPr>
              <w:rFonts w:hint="eastAsia" w:ascii="Times New Roman" w:hAnsi="Times New Roman" w:eastAsia="黑体"/>
              <w:sz w:val="24"/>
              <w:szCs w:val="24"/>
            </w:rPr>
            <w:t>九、国有资本经营预算支</w:t>
          </w:r>
          <w:r>
            <w:rPr>
              <w:rFonts w:hint="eastAsia" w:eastAsia="黑体"/>
              <w:sz w:val="24"/>
              <w:szCs w:val="24"/>
              <w:lang w:eastAsia="zh-CN"/>
            </w:rPr>
            <w:t>无</w:t>
          </w:r>
          <w:r>
            <w:rPr>
              <w:rFonts w:hint="eastAsia" w:ascii="Times New Roman" w:hAnsi="Times New Roman" w:eastAsia="黑体"/>
              <w:sz w:val="24"/>
              <w:szCs w:val="24"/>
            </w:rPr>
            <w:t>出决算情况说明</w:t>
          </w:r>
          <w:r>
            <w:rPr>
              <w:sz w:val="24"/>
              <w:szCs w:val="24"/>
            </w:rPr>
            <w:tab/>
          </w:r>
          <w:r>
            <w:rPr>
              <w:sz w:val="24"/>
              <w:szCs w:val="24"/>
            </w:rPr>
            <w:fldChar w:fldCharType="begin"/>
          </w:r>
          <w:r>
            <w:rPr>
              <w:sz w:val="24"/>
              <w:szCs w:val="24"/>
            </w:rPr>
            <w:instrText xml:space="preserve"> PAGEREF _Toc916750938 \h </w:instrText>
          </w:r>
          <w:r>
            <w:rPr>
              <w:sz w:val="24"/>
              <w:szCs w:val="24"/>
            </w:rPr>
            <w:fldChar w:fldCharType="separate"/>
          </w:r>
          <w:r>
            <w:rPr>
              <w:sz w:val="24"/>
              <w:szCs w:val="24"/>
            </w:rPr>
            <w:t>9</w:t>
          </w:r>
          <w:r>
            <w:rPr>
              <w:sz w:val="24"/>
              <w:szCs w:val="24"/>
            </w:rPr>
            <w:fldChar w:fldCharType="end"/>
          </w:r>
          <w:r>
            <w:rPr>
              <w:sz w:val="24"/>
              <w:szCs w:val="24"/>
            </w:rPr>
            <w:fldChar w:fldCharType="end"/>
          </w:r>
        </w:p>
        <w:p w14:paraId="0298C7E7">
          <w:pPr>
            <w:pStyle w:val="40"/>
            <w:tabs>
              <w:tab w:val="right" w:leader="dot" w:pos="8306"/>
            </w:tabs>
            <w:rPr>
              <w:sz w:val="24"/>
              <w:szCs w:val="24"/>
            </w:rPr>
          </w:pPr>
          <w:r>
            <w:rPr>
              <w:sz w:val="24"/>
              <w:szCs w:val="24"/>
            </w:rPr>
            <w:fldChar w:fldCharType="begin"/>
          </w:r>
          <w:r>
            <w:rPr>
              <w:sz w:val="24"/>
              <w:szCs w:val="24"/>
            </w:rPr>
            <w:instrText xml:space="preserve"> HYPERLINK \l _Toc814199340 </w:instrText>
          </w:r>
          <w:r>
            <w:rPr>
              <w:sz w:val="24"/>
              <w:szCs w:val="24"/>
            </w:rPr>
            <w:fldChar w:fldCharType="separate"/>
          </w:r>
          <w:r>
            <w:rPr>
              <w:rFonts w:hint="eastAsia" w:ascii="Times New Roman" w:hAnsi="Times New Roman" w:eastAsia="黑体"/>
              <w:sz w:val="24"/>
              <w:szCs w:val="24"/>
            </w:rPr>
            <w:t>十、其他重要事项的情况说明</w:t>
          </w:r>
          <w:r>
            <w:rPr>
              <w:sz w:val="24"/>
              <w:szCs w:val="24"/>
            </w:rPr>
            <w:tab/>
          </w:r>
          <w:r>
            <w:rPr>
              <w:sz w:val="24"/>
              <w:szCs w:val="24"/>
            </w:rPr>
            <w:fldChar w:fldCharType="begin"/>
          </w:r>
          <w:r>
            <w:rPr>
              <w:sz w:val="24"/>
              <w:szCs w:val="24"/>
            </w:rPr>
            <w:instrText xml:space="preserve"> PAGEREF _Toc814199340 \h </w:instrText>
          </w:r>
          <w:r>
            <w:rPr>
              <w:sz w:val="24"/>
              <w:szCs w:val="24"/>
            </w:rPr>
            <w:fldChar w:fldCharType="separate"/>
          </w:r>
          <w:r>
            <w:rPr>
              <w:sz w:val="24"/>
              <w:szCs w:val="24"/>
            </w:rPr>
            <w:t>9</w:t>
          </w:r>
          <w:r>
            <w:rPr>
              <w:sz w:val="24"/>
              <w:szCs w:val="24"/>
            </w:rPr>
            <w:fldChar w:fldCharType="end"/>
          </w:r>
          <w:r>
            <w:rPr>
              <w:sz w:val="24"/>
              <w:szCs w:val="24"/>
            </w:rPr>
            <w:fldChar w:fldCharType="end"/>
          </w:r>
        </w:p>
        <w:p w14:paraId="36F68215">
          <w:pPr>
            <w:pStyle w:val="41"/>
            <w:tabs>
              <w:tab w:val="right" w:leader="dot" w:pos="8306"/>
            </w:tabs>
            <w:rPr>
              <w:sz w:val="24"/>
              <w:szCs w:val="24"/>
            </w:rPr>
          </w:pPr>
          <w:r>
            <w:rPr>
              <w:sz w:val="24"/>
              <w:szCs w:val="24"/>
            </w:rPr>
            <w:fldChar w:fldCharType="begin"/>
          </w:r>
          <w:r>
            <w:rPr>
              <w:sz w:val="24"/>
              <w:szCs w:val="24"/>
            </w:rPr>
            <w:instrText xml:space="preserve"> HYPERLINK \l _Toc1414445377 </w:instrText>
          </w:r>
          <w:r>
            <w:rPr>
              <w:sz w:val="24"/>
              <w:szCs w:val="24"/>
            </w:rPr>
            <w:fldChar w:fldCharType="separate"/>
          </w:r>
          <w:r>
            <w:rPr>
              <w:rFonts w:hint="eastAsia" w:eastAsia="楷体_GB2312" w:cs="楷体_GB2312"/>
              <w:sz w:val="24"/>
              <w:szCs w:val="24"/>
            </w:rPr>
            <w:t>（一）机关运行经费支出情况</w:t>
          </w:r>
          <w:r>
            <w:rPr>
              <w:sz w:val="24"/>
              <w:szCs w:val="24"/>
            </w:rPr>
            <w:tab/>
          </w:r>
          <w:r>
            <w:rPr>
              <w:sz w:val="24"/>
              <w:szCs w:val="24"/>
            </w:rPr>
            <w:fldChar w:fldCharType="begin"/>
          </w:r>
          <w:r>
            <w:rPr>
              <w:sz w:val="24"/>
              <w:szCs w:val="24"/>
            </w:rPr>
            <w:instrText xml:space="preserve"> PAGEREF _Toc1414445377 \h </w:instrText>
          </w:r>
          <w:r>
            <w:rPr>
              <w:sz w:val="24"/>
              <w:szCs w:val="24"/>
            </w:rPr>
            <w:fldChar w:fldCharType="separate"/>
          </w:r>
          <w:r>
            <w:rPr>
              <w:sz w:val="24"/>
              <w:szCs w:val="24"/>
            </w:rPr>
            <w:t xml:space="preserve">9 </w:t>
          </w:r>
          <w:r>
            <w:rPr>
              <w:sz w:val="24"/>
              <w:szCs w:val="24"/>
            </w:rPr>
            <w:fldChar w:fldCharType="end"/>
          </w:r>
          <w:r>
            <w:rPr>
              <w:sz w:val="24"/>
              <w:szCs w:val="24"/>
            </w:rPr>
            <w:fldChar w:fldCharType="end"/>
          </w:r>
        </w:p>
        <w:p w14:paraId="790A6CAD">
          <w:pPr>
            <w:pStyle w:val="41"/>
            <w:tabs>
              <w:tab w:val="right" w:leader="dot" w:pos="8306"/>
            </w:tabs>
            <w:rPr>
              <w:sz w:val="24"/>
              <w:szCs w:val="24"/>
            </w:rPr>
          </w:pPr>
          <w:r>
            <w:rPr>
              <w:sz w:val="24"/>
              <w:szCs w:val="24"/>
            </w:rPr>
            <w:fldChar w:fldCharType="begin"/>
          </w:r>
          <w:r>
            <w:rPr>
              <w:sz w:val="24"/>
              <w:szCs w:val="24"/>
            </w:rPr>
            <w:instrText xml:space="preserve"> HYPERLINK \l _Toc1671423529 </w:instrText>
          </w:r>
          <w:r>
            <w:rPr>
              <w:sz w:val="24"/>
              <w:szCs w:val="24"/>
            </w:rPr>
            <w:fldChar w:fldCharType="separate"/>
          </w:r>
          <w:r>
            <w:rPr>
              <w:rFonts w:hint="eastAsia" w:eastAsia="楷体_GB2312" w:cs="楷体_GB2312"/>
              <w:sz w:val="24"/>
              <w:szCs w:val="24"/>
            </w:rPr>
            <w:t>（二）政府采购支出情况</w:t>
          </w:r>
          <w:r>
            <w:rPr>
              <w:sz w:val="24"/>
              <w:szCs w:val="24"/>
            </w:rPr>
            <w:tab/>
          </w:r>
          <w:r>
            <w:rPr>
              <w:sz w:val="24"/>
              <w:szCs w:val="24"/>
            </w:rPr>
            <w:fldChar w:fldCharType="begin"/>
          </w:r>
          <w:r>
            <w:rPr>
              <w:sz w:val="24"/>
              <w:szCs w:val="24"/>
            </w:rPr>
            <w:instrText xml:space="preserve"> PAGEREF _Toc1671423529 \h </w:instrText>
          </w:r>
          <w:r>
            <w:rPr>
              <w:sz w:val="24"/>
              <w:szCs w:val="24"/>
            </w:rPr>
            <w:fldChar w:fldCharType="separate"/>
          </w:r>
          <w:r>
            <w:rPr>
              <w:sz w:val="24"/>
              <w:szCs w:val="24"/>
            </w:rPr>
            <w:t xml:space="preserve">10 </w:t>
          </w:r>
          <w:r>
            <w:rPr>
              <w:sz w:val="24"/>
              <w:szCs w:val="24"/>
            </w:rPr>
            <w:fldChar w:fldCharType="end"/>
          </w:r>
          <w:r>
            <w:rPr>
              <w:sz w:val="24"/>
              <w:szCs w:val="24"/>
            </w:rPr>
            <w:fldChar w:fldCharType="end"/>
          </w:r>
        </w:p>
        <w:p w14:paraId="7205A5ED">
          <w:pPr>
            <w:pStyle w:val="41"/>
            <w:tabs>
              <w:tab w:val="right" w:leader="dot" w:pos="8306"/>
            </w:tabs>
            <w:rPr>
              <w:sz w:val="24"/>
              <w:szCs w:val="24"/>
            </w:rPr>
          </w:pPr>
          <w:r>
            <w:rPr>
              <w:sz w:val="24"/>
              <w:szCs w:val="24"/>
            </w:rPr>
            <w:fldChar w:fldCharType="begin"/>
          </w:r>
          <w:r>
            <w:rPr>
              <w:sz w:val="24"/>
              <w:szCs w:val="24"/>
            </w:rPr>
            <w:instrText xml:space="preserve"> HYPERLINK \l _Toc103252207 </w:instrText>
          </w:r>
          <w:r>
            <w:rPr>
              <w:sz w:val="24"/>
              <w:szCs w:val="24"/>
            </w:rPr>
            <w:fldChar w:fldCharType="separate"/>
          </w:r>
          <w:r>
            <w:rPr>
              <w:rFonts w:hint="eastAsia" w:eastAsia="楷体_GB2312" w:cs="楷体_GB2312"/>
              <w:sz w:val="24"/>
              <w:szCs w:val="24"/>
            </w:rPr>
            <w:t>（三）国有资产占有使用情况</w:t>
          </w:r>
          <w:r>
            <w:rPr>
              <w:sz w:val="24"/>
              <w:szCs w:val="24"/>
            </w:rPr>
            <w:tab/>
          </w:r>
          <w:r>
            <w:rPr>
              <w:sz w:val="24"/>
              <w:szCs w:val="24"/>
            </w:rPr>
            <w:fldChar w:fldCharType="begin"/>
          </w:r>
          <w:r>
            <w:rPr>
              <w:sz w:val="24"/>
              <w:szCs w:val="24"/>
            </w:rPr>
            <w:instrText xml:space="preserve"> PAGEREF _Toc103252207 \h </w:instrText>
          </w:r>
          <w:r>
            <w:rPr>
              <w:sz w:val="24"/>
              <w:szCs w:val="24"/>
            </w:rPr>
            <w:fldChar w:fldCharType="separate"/>
          </w:r>
          <w:r>
            <w:rPr>
              <w:sz w:val="24"/>
              <w:szCs w:val="24"/>
            </w:rPr>
            <w:t>10</w:t>
          </w:r>
          <w:r>
            <w:rPr>
              <w:sz w:val="24"/>
              <w:szCs w:val="24"/>
            </w:rPr>
            <w:fldChar w:fldCharType="end"/>
          </w:r>
          <w:r>
            <w:rPr>
              <w:sz w:val="24"/>
              <w:szCs w:val="24"/>
            </w:rPr>
            <w:fldChar w:fldCharType="end"/>
          </w:r>
        </w:p>
        <w:p w14:paraId="2B3956B1">
          <w:pPr>
            <w:pStyle w:val="41"/>
            <w:tabs>
              <w:tab w:val="right" w:leader="dot" w:pos="8306"/>
            </w:tabs>
            <w:rPr>
              <w:sz w:val="24"/>
              <w:szCs w:val="24"/>
            </w:rPr>
          </w:pPr>
          <w:r>
            <w:rPr>
              <w:sz w:val="24"/>
              <w:szCs w:val="24"/>
            </w:rPr>
            <w:fldChar w:fldCharType="begin"/>
          </w:r>
          <w:r>
            <w:rPr>
              <w:sz w:val="24"/>
              <w:szCs w:val="24"/>
            </w:rPr>
            <w:instrText xml:space="preserve"> HYPERLINK \l _Toc721120541 </w:instrText>
          </w:r>
          <w:r>
            <w:rPr>
              <w:sz w:val="24"/>
              <w:szCs w:val="24"/>
            </w:rPr>
            <w:fldChar w:fldCharType="separate"/>
          </w:r>
          <w:r>
            <w:rPr>
              <w:rFonts w:hint="eastAsia" w:eastAsia="楷体_GB2312" w:cs="楷体_GB2312"/>
              <w:sz w:val="24"/>
              <w:szCs w:val="24"/>
            </w:rPr>
            <w:t>（四）预算绩效管理情况</w:t>
          </w:r>
          <w:r>
            <w:rPr>
              <w:sz w:val="24"/>
              <w:szCs w:val="24"/>
            </w:rPr>
            <w:tab/>
          </w:r>
          <w:r>
            <w:rPr>
              <w:sz w:val="24"/>
              <w:szCs w:val="24"/>
            </w:rPr>
            <w:fldChar w:fldCharType="begin"/>
          </w:r>
          <w:r>
            <w:rPr>
              <w:sz w:val="24"/>
              <w:szCs w:val="24"/>
            </w:rPr>
            <w:instrText xml:space="preserve"> PAGEREF _Toc721120541 \h </w:instrText>
          </w:r>
          <w:r>
            <w:rPr>
              <w:sz w:val="24"/>
              <w:szCs w:val="24"/>
            </w:rPr>
            <w:fldChar w:fldCharType="separate"/>
          </w:r>
          <w:r>
            <w:rPr>
              <w:sz w:val="24"/>
              <w:szCs w:val="24"/>
            </w:rPr>
            <w:t>10</w:t>
          </w:r>
          <w:r>
            <w:rPr>
              <w:sz w:val="24"/>
              <w:szCs w:val="24"/>
            </w:rPr>
            <w:fldChar w:fldCharType="end"/>
          </w:r>
          <w:r>
            <w:rPr>
              <w:sz w:val="24"/>
              <w:szCs w:val="24"/>
            </w:rPr>
            <w:fldChar w:fldCharType="end"/>
          </w:r>
        </w:p>
        <w:p w14:paraId="0E17507D">
          <w:pPr>
            <w:pStyle w:val="39"/>
            <w:tabs>
              <w:tab w:val="right" w:leader="dot" w:pos="8306"/>
            </w:tabs>
            <w:rPr>
              <w:sz w:val="24"/>
              <w:szCs w:val="24"/>
            </w:rPr>
          </w:pPr>
          <w:r>
            <w:rPr>
              <w:sz w:val="24"/>
              <w:szCs w:val="24"/>
            </w:rPr>
            <w:fldChar w:fldCharType="begin"/>
          </w:r>
          <w:r>
            <w:rPr>
              <w:sz w:val="24"/>
              <w:szCs w:val="24"/>
            </w:rPr>
            <w:instrText xml:space="preserve"> HYPERLINK \l _Toc1698542713 </w:instrText>
          </w:r>
          <w:r>
            <w:rPr>
              <w:sz w:val="24"/>
              <w:szCs w:val="24"/>
            </w:rPr>
            <w:fldChar w:fldCharType="separate"/>
          </w:r>
          <w:r>
            <w:rPr>
              <w:rFonts w:hint="eastAsia" w:eastAsia="黑体"/>
              <w:sz w:val="24"/>
              <w:szCs w:val="24"/>
            </w:rPr>
            <w:t>第三部分  名词解释</w:t>
          </w:r>
          <w:r>
            <w:rPr>
              <w:sz w:val="24"/>
              <w:szCs w:val="24"/>
            </w:rPr>
            <w:tab/>
          </w:r>
          <w:r>
            <w:rPr>
              <w:sz w:val="24"/>
              <w:szCs w:val="24"/>
            </w:rPr>
            <w:fldChar w:fldCharType="begin"/>
          </w:r>
          <w:r>
            <w:rPr>
              <w:sz w:val="24"/>
              <w:szCs w:val="24"/>
            </w:rPr>
            <w:instrText xml:space="preserve"> PAGEREF _Toc1698542713 \h </w:instrText>
          </w:r>
          <w:r>
            <w:rPr>
              <w:sz w:val="24"/>
              <w:szCs w:val="24"/>
            </w:rPr>
            <w:fldChar w:fldCharType="separate"/>
          </w:r>
          <w:r>
            <w:rPr>
              <w:sz w:val="24"/>
              <w:szCs w:val="24"/>
            </w:rPr>
            <w:t>12</w:t>
          </w:r>
          <w:r>
            <w:rPr>
              <w:sz w:val="24"/>
              <w:szCs w:val="24"/>
            </w:rPr>
            <w:fldChar w:fldCharType="end"/>
          </w:r>
          <w:r>
            <w:rPr>
              <w:sz w:val="24"/>
              <w:szCs w:val="24"/>
            </w:rPr>
            <w:fldChar w:fldCharType="end"/>
          </w:r>
        </w:p>
        <w:p w14:paraId="080A2C85">
          <w:pPr>
            <w:pStyle w:val="39"/>
            <w:tabs>
              <w:tab w:val="right" w:leader="dot" w:pos="8306"/>
            </w:tabs>
            <w:rPr>
              <w:sz w:val="24"/>
              <w:szCs w:val="24"/>
            </w:rPr>
          </w:pPr>
          <w:r>
            <w:rPr>
              <w:sz w:val="24"/>
              <w:szCs w:val="24"/>
            </w:rPr>
            <w:fldChar w:fldCharType="begin"/>
          </w:r>
          <w:r>
            <w:rPr>
              <w:sz w:val="24"/>
              <w:szCs w:val="24"/>
            </w:rPr>
            <w:instrText xml:space="preserve"> HYPERLINK \l _Toc1403060854 </w:instrText>
          </w:r>
          <w:r>
            <w:rPr>
              <w:sz w:val="24"/>
              <w:szCs w:val="24"/>
            </w:rPr>
            <w:fldChar w:fldCharType="separate"/>
          </w:r>
          <w:r>
            <w:rPr>
              <w:rFonts w:hint="eastAsia" w:eastAsia="黑体"/>
              <w:sz w:val="24"/>
              <w:szCs w:val="24"/>
            </w:rPr>
            <w:t>第四部分  附件</w:t>
          </w:r>
          <w:r>
            <w:rPr>
              <w:sz w:val="24"/>
              <w:szCs w:val="24"/>
            </w:rPr>
            <w:tab/>
          </w:r>
          <w:r>
            <w:rPr>
              <w:sz w:val="24"/>
              <w:szCs w:val="24"/>
            </w:rPr>
            <w:fldChar w:fldCharType="begin"/>
          </w:r>
          <w:r>
            <w:rPr>
              <w:sz w:val="24"/>
              <w:szCs w:val="24"/>
            </w:rPr>
            <w:instrText xml:space="preserve"> PAGEREF _Toc1403060854 \h </w:instrText>
          </w:r>
          <w:r>
            <w:rPr>
              <w:sz w:val="24"/>
              <w:szCs w:val="24"/>
            </w:rPr>
            <w:fldChar w:fldCharType="separate"/>
          </w:r>
          <w:r>
            <w:rPr>
              <w:sz w:val="24"/>
              <w:szCs w:val="24"/>
            </w:rPr>
            <w:t>14</w:t>
          </w:r>
          <w:r>
            <w:rPr>
              <w:sz w:val="24"/>
              <w:szCs w:val="24"/>
            </w:rPr>
            <w:fldChar w:fldCharType="end"/>
          </w:r>
          <w:r>
            <w:rPr>
              <w:sz w:val="24"/>
              <w:szCs w:val="24"/>
            </w:rPr>
            <w:fldChar w:fldCharType="end"/>
          </w:r>
        </w:p>
        <w:p w14:paraId="1C44F783">
          <w:pPr>
            <w:pStyle w:val="39"/>
            <w:tabs>
              <w:tab w:val="right" w:leader="dot" w:pos="8306"/>
            </w:tabs>
            <w:rPr>
              <w:sz w:val="24"/>
              <w:szCs w:val="24"/>
            </w:rPr>
          </w:pPr>
          <w:r>
            <w:rPr>
              <w:sz w:val="24"/>
              <w:szCs w:val="24"/>
            </w:rPr>
            <w:fldChar w:fldCharType="begin"/>
          </w:r>
          <w:r>
            <w:rPr>
              <w:sz w:val="24"/>
              <w:szCs w:val="24"/>
            </w:rPr>
            <w:instrText xml:space="preserve"> HYPERLINK \l _Toc91009493 </w:instrText>
          </w:r>
          <w:r>
            <w:rPr>
              <w:sz w:val="24"/>
              <w:szCs w:val="24"/>
            </w:rPr>
            <w:fldChar w:fldCharType="separate"/>
          </w:r>
          <w:r>
            <w:rPr>
              <w:rFonts w:hint="eastAsia" w:eastAsia="黑体"/>
              <w:sz w:val="24"/>
              <w:szCs w:val="24"/>
            </w:rPr>
            <w:t>第五部分 附表</w:t>
          </w:r>
          <w:r>
            <w:rPr>
              <w:sz w:val="24"/>
              <w:szCs w:val="24"/>
            </w:rPr>
            <w:tab/>
          </w:r>
          <w:r>
            <w:rPr>
              <w:rFonts w:hint="eastAsia"/>
              <w:sz w:val="24"/>
              <w:szCs w:val="24"/>
              <w:lang w:val="en-US" w:eastAsia="zh-CN"/>
            </w:rPr>
            <w:t>1</w:t>
          </w:r>
          <w:r>
            <w:rPr>
              <w:sz w:val="24"/>
              <w:szCs w:val="24"/>
            </w:rPr>
            <w:fldChar w:fldCharType="end"/>
          </w:r>
          <w:r>
            <w:rPr>
              <w:sz w:val="24"/>
              <w:szCs w:val="24"/>
            </w:rPr>
            <w:fldChar w:fldCharType="end"/>
          </w:r>
          <w:r>
            <w:rPr>
              <w:rFonts w:hint="eastAsia"/>
              <w:sz w:val="24"/>
              <w:szCs w:val="24"/>
              <w:lang w:val="en-US" w:eastAsia="zh-CN"/>
            </w:rPr>
            <w:t>5</w:t>
          </w:r>
        </w:p>
      </w:sdtContent>
    </w:sdt>
    <w:p w14:paraId="0C4D839E"/>
    <w:p w14:paraId="6662A9B4">
      <w:pPr>
        <w:pStyle w:val="3"/>
        <w:jc w:val="center"/>
        <w:rPr>
          <w:rFonts w:hint="eastAsia" w:eastAsia="方正小标宋简体" w:cs="方正小标宋简体"/>
          <w:b w:val="0"/>
        </w:rPr>
        <w:sectPr>
          <w:footerReference r:id="rId5" w:type="default"/>
          <w:pgSz w:w="11906" w:h="16838"/>
          <w:pgMar w:top="1440" w:right="1800" w:bottom="1440" w:left="1800" w:header="851" w:footer="992" w:gutter="0"/>
          <w:pgNumType w:fmt="numberInDash" w:start="1"/>
          <w:cols w:space="425" w:num="1"/>
          <w:docGrid w:type="lines" w:linePitch="312" w:charSpace="0"/>
        </w:sectPr>
      </w:pPr>
      <w:bookmarkStart w:id="12" w:name="_Toc1404779787"/>
    </w:p>
    <w:p w14:paraId="185762D2">
      <w:pPr>
        <w:pStyle w:val="3"/>
        <w:jc w:val="center"/>
        <w:rPr>
          <w:rStyle w:val="29"/>
          <w:rFonts w:eastAsia="方正小标宋简体" w:cs="方正小标宋简体"/>
          <w:b/>
          <w:bCs w:val="0"/>
        </w:rPr>
      </w:pPr>
      <w:r>
        <w:rPr>
          <w:rFonts w:hint="eastAsia" w:eastAsia="方正小标宋简体" w:cs="方正小标宋简体"/>
          <w:b w:val="0"/>
        </w:rPr>
        <w:t xml:space="preserve">第一部分  </w:t>
      </w:r>
      <w:r>
        <w:rPr>
          <w:rStyle w:val="29"/>
          <w:rFonts w:hint="eastAsia" w:eastAsia="方正小标宋简体" w:cs="方正小标宋简体"/>
          <w:b w:val="0"/>
          <w:bCs w:val="0"/>
        </w:rPr>
        <w:t>部门概况</w:t>
      </w:r>
      <w:bookmarkEnd w:id="12"/>
    </w:p>
    <w:p w14:paraId="50682E24">
      <w:pPr>
        <w:widowControl/>
        <w:jc w:val="left"/>
        <w:rPr>
          <w:rFonts w:eastAsia="黑体"/>
          <w:sz w:val="32"/>
          <w:szCs w:val="32"/>
        </w:rPr>
      </w:pPr>
    </w:p>
    <w:p w14:paraId="2BDBF86F">
      <w:pPr>
        <w:pStyle w:val="4"/>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eastAsia" w:ascii="Times New Roman" w:hAnsi="Times New Roman" w:eastAsia="黑体"/>
          <w:b w:val="0"/>
        </w:rPr>
      </w:pPr>
      <w:bookmarkStart w:id="13" w:name="_Toc15377197"/>
      <w:bookmarkStart w:id="14" w:name="_Toc15396600"/>
      <w:bookmarkStart w:id="15" w:name="_Toc1497007907"/>
      <w:r>
        <w:rPr>
          <w:rFonts w:hint="eastAsia" w:ascii="Times New Roman" w:hAnsi="Times New Roman" w:eastAsia="黑体"/>
          <w:b w:val="0"/>
        </w:rPr>
        <w:t>一、</w:t>
      </w:r>
      <w:bookmarkEnd w:id="13"/>
      <w:bookmarkEnd w:id="14"/>
      <w:r>
        <w:rPr>
          <w:rFonts w:hint="eastAsia" w:ascii="Times New Roman" w:hAnsi="Times New Roman" w:eastAsia="黑体"/>
          <w:b w:val="0"/>
        </w:rPr>
        <w:t>部门职责</w:t>
      </w:r>
      <w:bookmarkEnd w:id="15"/>
    </w:p>
    <w:p w14:paraId="5CCFDE8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sz w:val="32"/>
          <w:szCs w:val="32"/>
        </w:rPr>
      </w:pPr>
      <w:r>
        <w:rPr>
          <w:rFonts w:hint="default" w:ascii="Times New Roman" w:hAnsi="Times New Roman" w:eastAsia="仿宋_GB2312"/>
          <w:sz w:val="32"/>
          <w:szCs w:val="32"/>
          <w:highlight w:val="none"/>
          <w:lang w:bidi="ar-SA"/>
        </w:rPr>
        <w:t>落实文化旅游康养产业发展和公共服务发展的政策、法规、规划、标准；研究分析文化旅游康养产业发展情况；参与全市文化旅游康养产业发展战略、中长期规划和年度计划的组织实施；负责文化旅游康养产业投资促进服务和项目推进服务；负责文化旅游康养从业者教育培训及统计工作；负责全市文化旅游康养的宣传营销服务；开展本市文化旅游公共服务工作，协助推进区域文化旅游公共服务一体化工作；实施旅游公共信息服务体系建设，负责旅游公共服务信息平台运营、维护和管理，发布相关旅游公共服务信息；负责旅游公共服务设施和旅游便民服务体系建设。负责渡口建设指挥部招待所文物整理、保管、展示陈列和攀枝花开发建设纪念馆免费开放等工作。承担市康养产业领导小组办公室日常事务性工作。</w:t>
      </w:r>
    </w:p>
    <w:p w14:paraId="2C797AF3">
      <w:pPr>
        <w:pStyle w:val="4"/>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Style w:val="30"/>
          <w:rFonts w:ascii="Times New Roman" w:hAnsi="Times New Roman"/>
          <w:b w:val="0"/>
          <w:bCs w:val="0"/>
        </w:rPr>
      </w:pPr>
      <w:bookmarkStart w:id="16" w:name="_Toc15396601"/>
      <w:bookmarkStart w:id="17" w:name="_Toc15377200"/>
      <w:bookmarkStart w:id="18" w:name="_Toc37092011"/>
      <w:r>
        <w:rPr>
          <w:rFonts w:hint="eastAsia" w:ascii="Times New Roman" w:hAnsi="Times New Roman" w:eastAsia="黑体"/>
          <w:b w:val="0"/>
        </w:rPr>
        <w:t>二、机</w:t>
      </w:r>
      <w:r>
        <w:rPr>
          <w:rStyle w:val="30"/>
          <w:rFonts w:hint="eastAsia" w:ascii="Times New Roman" w:hAnsi="Times New Roman" w:eastAsia="黑体"/>
          <w:b w:val="0"/>
          <w:bCs w:val="0"/>
        </w:rPr>
        <w:t>构设置</w:t>
      </w:r>
      <w:bookmarkEnd w:id="16"/>
      <w:bookmarkEnd w:id="17"/>
      <w:bookmarkEnd w:id="18"/>
    </w:p>
    <w:p w14:paraId="58444EE4">
      <w:pPr>
        <w:pStyle w:val="37"/>
        <w:spacing w:line="600" w:lineRule="exact"/>
        <w:rPr>
          <w:rFonts w:hint="eastAsia" w:eastAsia="仿宋_GB2312"/>
          <w:lang w:eastAsia="zh-CN"/>
        </w:rPr>
      </w:pPr>
      <w:r>
        <w:rPr>
          <w:rFonts w:hint="default" w:ascii="Times New Roman" w:hAnsi="Times New Roman" w:eastAsia="仿宋_GB2312"/>
          <w:sz w:val="32"/>
          <w:szCs w:val="32"/>
          <w:highlight w:val="none"/>
          <w:lang w:eastAsia="zh-CN"/>
        </w:rPr>
        <w:t>攀枝花市文化旅游产业发展中心是攀枝花市文化广播电视和旅游局下属二级预算单位，无下属非独立核算单位。</w:t>
      </w:r>
    </w:p>
    <w:p w14:paraId="7E4CCC85">
      <w:pPr>
        <w:widowControl/>
        <w:jc w:val="left"/>
        <w:rPr>
          <w:rFonts w:eastAsia="仿宋"/>
          <w:kern w:val="0"/>
          <w:sz w:val="32"/>
          <w:szCs w:val="32"/>
        </w:rPr>
      </w:pPr>
      <w:r>
        <w:rPr>
          <w:rFonts w:eastAsia="仿宋"/>
          <w:sz w:val="32"/>
          <w:szCs w:val="32"/>
        </w:rPr>
        <w:br w:type="page"/>
      </w:r>
    </w:p>
    <w:p w14:paraId="73886EB3">
      <w:pPr>
        <w:pStyle w:val="3"/>
        <w:jc w:val="center"/>
        <w:rPr>
          <w:rFonts w:eastAsia="方正小标宋简体" w:cs="方正小标宋简体"/>
          <w:b w:val="0"/>
        </w:rPr>
      </w:pPr>
      <w:bookmarkStart w:id="19" w:name="_Toc386738511"/>
      <w:bookmarkStart w:id="20" w:name="_Toc15396602"/>
      <w:bookmarkStart w:id="21" w:name="_Toc15377204"/>
      <w:r>
        <w:rPr>
          <w:rFonts w:hint="eastAsia" w:eastAsia="方正小标宋简体" w:cs="方正小标宋简体"/>
          <w:b w:val="0"/>
        </w:rPr>
        <w:t>第二部分  2025年度部门决算情况说明</w:t>
      </w:r>
      <w:bookmarkEnd w:id="19"/>
      <w:bookmarkEnd w:id="20"/>
      <w:bookmarkEnd w:id="21"/>
    </w:p>
    <w:p w14:paraId="08075EA8"/>
    <w:p w14:paraId="297C7AEB">
      <w:pPr>
        <w:pStyle w:val="28"/>
        <w:spacing w:line="600" w:lineRule="exact"/>
        <w:ind w:firstLine="640"/>
        <w:outlineLvl w:val="1"/>
        <w:rPr>
          <w:rStyle w:val="30"/>
          <w:rFonts w:ascii="Times New Roman" w:hAnsi="Times New Roman" w:eastAsia="黑体"/>
          <w:b w:val="0"/>
        </w:rPr>
      </w:pPr>
      <w:bookmarkStart w:id="22" w:name="_Toc15396603"/>
      <w:bookmarkStart w:id="23" w:name="_Toc15377205"/>
      <w:bookmarkStart w:id="24" w:name="_Toc163074223"/>
      <w:r>
        <w:rPr>
          <w:rFonts w:hint="eastAsia" w:eastAsia="黑体"/>
          <w:sz w:val="32"/>
          <w:szCs w:val="32"/>
        </w:rPr>
        <w:t>一、收</w:t>
      </w:r>
      <w:r>
        <w:rPr>
          <w:rStyle w:val="30"/>
          <w:rFonts w:hint="eastAsia" w:ascii="Times New Roman" w:hAnsi="Times New Roman" w:eastAsia="黑体"/>
          <w:b w:val="0"/>
        </w:rPr>
        <w:t>入支出决算总体情况说明</w:t>
      </w:r>
      <w:bookmarkEnd w:id="22"/>
      <w:bookmarkEnd w:id="23"/>
      <w:bookmarkEnd w:id="24"/>
    </w:p>
    <w:p w14:paraId="7C51E477">
      <w:pPr>
        <w:snapToGrid w:val="0"/>
        <w:spacing w:line="600" w:lineRule="exact"/>
        <w:ind w:firstLine="640" w:firstLineChars="200"/>
        <w:rPr>
          <w:rFonts w:hint="default" w:ascii="Times New Roman" w:hAnsi="Times New Roman" w:eastAsia="仿宋_GB2312" w:cs="Times New Roman"/>
          <w:sz w:val="32"/>
          <w:szCs w:val="32"/>
          <w:highlight w:val="none"/>
        </w:rPr>
      </w:pPr>
      <w:r>
        <w:rPr>
          <w:rFonts w:hint="eastAsia" w:eastAsia="仿宋_GB2312" w:cs="仿宋_GB2312"/>
          <w:sz w:val="32"/>
          <w:szCs w:val="32"/>
        </w:rPr>
        <w:t>2025年度收入、支出总计均为</w:t>
      </w:r>
      <w:r>
        <w:rPr>
          <w:rFonts w:hint="default" w:ascii="Times New Roman" w:hAnsi="Times New Roman" w:eastAsia="仿宋_GB2312" w:cs="Times New Roman"/>
          <w:sz w:val="32"/>
          <w:szCs w:val="32"/>
          <w:highlight w:val="none"/>
          <w:lang w:val="en-US" w:eastAsia="zh-CN"/>
        </w:rPr>
        <w:t>401.81</w:t>
      </w:r>
      <w:r>
        <w:rPr>
          <w:rFonts w:hint="eastAsia" w:eastAsia="仿宋_GB2312" w:cs="仿宋_GB2312"/>
          <w:sz w:val="32"/>
          <w:szCs w:val="32"/>
        </w:rPr>
        <w:t>万元。与上年度相比，收入、支出总计各</w:t>
      </w:r>
      <w:r>
        <w:rPr>
          <w:rFonts w:hint="default" w:ascii="Times New Roman" w:hAnsi="Times New Roman" w:eastAsia="仿宋_GB2312" w:cs="Times New Roman"/>
          <w:sz w:val="32"/>
          <w:szCs w:val="32"/>
          <w:highlight w:val="none"/>
          <w:lang w:val="en-US" w:eastAsia="zh-CN"/>
        </w:rPr>
        <w:t>增加91.39万元，增长29.44%。</w:t>
      </w:r>
      <w:r>
        <w:rPr>
          <w:rFonts w:hint="eastAsia" w:eastAsia="仿宋_GB2312" w:cs="仿宋_GB2312"/>
          <w:sz w:val="32"/>
          <w:szCs w:val="32"/>
        </w:rPr>
        <w:t>主要变动原因是</w:t>
      </w:r>
      <w:r>
        <w:rPr>
          <w:rFonts w:hint="default" w:ascii="Times New Roman" w:hAnsi="Times New Roman" w:eastAsia="仿宋_GB2312" w:cs="Times New Roman"/>
          <w:sz w:val="32"/>
          <w:szCs w:val="32"/>
          <w:highlight w:val="none"/>
          <w:lang w:val="en-US" w:eastAsia="zh-CN"/>
        </w:rPr>
        <w:t>机构改革人员增加，且2025年安排了项目支出</w:t>
      </w:r>
      <w:r>
        <w:rPr>
          <w:rFonts w:hint="default" w:ascii="Times New Roman" w:hAnsi="Times New Roman" w:eastAsia="仿宋_GB2312" w:cs="Times New Roman"/>
          <w:sz w:val="32"/>
          <w:szCs w:val="32"/>
          <w:highlight w:val="none"/>
        </w:rPr>
        <w:t>。</w:t>
      </w:r>
    </w:p>
    <w:p w14:paraId="3528C279">
      <w:pPr>
        <w:pStyle w:val="28"/>
        <w:spacing w:line="600" w:lineRule="exact"/>
        <w:ind w:firstLine="1260" w:firstLineChars="600"/>
        <w:outlineLvl w:val="1"/>
        <w:rPr>
          <w:rFonts w:eastAsia="仿宋_GB2312" w:cs="仿宋_GB2312"/>
          <w:sz w:val="32"/>
          <w:szCs w:val="32"/>
        </w:rPr>
      </w:pPr>
      <w:bookmarkStart w:id="25" w:name="_Toc1341437452"/>
      <w:r>
        <w:rPr>
          <w:rFonts w:ascii="Times New Roman" w:hAnsi="Times New Roman" w:cs="Times New Roman"/>
        </w:rPr>
        <w:drawing>
          <wp:anchor distT="0" distB="0" distL="114300" distR="114300" simplePos="0" relativeHeight="251659264" behindDoc="0" locked="0" layoutInCell="1" allowOverlap="1">
            <wp:simplePos x="0" y="0"/>
            <wp:positionH relativeFrom="column">
              <wp:posOffset>343535</wp:posOffset>
            </wp:positionH>
            <wp:positionV relativeFrom="paragraph">
              <wp:posOffset>10795</wp:posOffset>
            </wp:positionV>
            <wp:extent cx="4819650" cy="2952750"/>
            <wp:effectExtent l="4445" t="4445" r="14605" b="14605"/>
            <wp:wrapSquare wrapText="bothSides"/>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eastAsia="仿宋_GB2312" w:cs="仿宋_GB2312"/>
          <w:sz w:val="32"/>
          <w:szCs w:val="32"/>
        </w:rPr>
        <w:t>（图1：收入、支出决算总计变动情况图）</w:t>
      </w:r>
      <w:bookmarkEnd w:id="25"/>
    </w:p>
    <w:p w14:paraId="3AF4F751">
      <w:pPr>
        <w:ind w:firstLine="640" w:firstLineChars="200"/>
        <w:rPr>
          <w:rFonts w:eastAsia="仿宋_GB2312" w:cs="仿宋_GB2312"/>
          <w:sz w:val="32"/>
          <w:szCs w:val="32"/>
        </w:rPr>
      </w:pPr>
    </w:p>
    <w:p w14:paraId="7897DC48">
      <w:pPr>
        <w:pStyle w:val="28"/>
        <w:spacing w:line="600" w:lineRule="exact"/>
        <w:ind w:firstLine="640"/>
        <w:outlineLvl w:val="1"/>
        <w:rPr>
          <w:rFonts w:eastAsia="黑体"/>
          <w:sz w:val="32"/>
          <w:szCs w:val="32"/>
        </w:rPr>
      </w:pPr>
      <w:bookmarkStart w:id="26" w:name="_Toc1528173105"/>
      <w:bookmarkStart w:id="27" w:name="_Toc15377206"/>
      <w:bookmarkStart w:id="28" w:name="_Toc15396604"/>
      <w:r>
        <w:rPr>
          <w:rFonts w:hint="eastAsia" w:eastAsia="黑体"/>
          <w:sz w:val="32"/>
          <w:szCs w:val="32"/>
        </w:rPr>
        <w:t>二、收入决算情况说明</w:t>
      </w:r>
      <w:bookmarkEnd w:id="26"/>
      <w:bookmarkEnd w:id="27"/>
      <w:bookmarkEnd w:id="28"/>
    </w:p>
    <w:p w14:paraId="468CADB3">
      <w:pPr>
        <w:pStyle w:val="28"/>
        <w:spacing w:line="600" w:lineRule="exact"/>
        <w:ind w:firstLine="640"/>
        <w:outlineLvl w:val="1"/>
        <w:rPr>
          <w:rFonts w:hint="eastAsia" w:eastAsia="仿宋_GB2312" w:cs="仿宋_GB2312"/>
          <w:sz w:val="32"/>
          <w:szCs w:val="32"/>
          <w:lang w:eastAsia="zh-CN"/>
        </w:rPr>
      </w:pPr>
      <w:bookmarkStart w:id="29" w:name="_Toc666356901"/>
      <w:r>
        <w:rPr>
          <w:rFonts w:hint="eastAsia" w:eastAsia="仿宋_GB2312" w:cs="仿宋_GB2312"/>
          <w:sz w:val="32"/>
          <w:szCs w:val="32"/>
        </w:rPr>
        <w:t>2025年度本年收入合计</w:t>
      </w:r>
      <w:r>
        <w:rPr>
          <w:rFonts w:hint="default" w:ascii="Times New Roman" w:hAnsi="Times New Roman" w:eastAsia="仿宋_GB2312" w:cs="Times New Roman"/>
          <w:sz w:val="32"/>
          <w:szCs w:val="32"/>
          <w:highlight w:val="none"/>
          <w:lang w:val="en-US" w:eastAsia="zh-CN"/>
        </w:rPr>
        <w:t>401.81</w:t>
      </w:r>
      <w:r>
        <w:rPr>
          <w:rFonts w:hint="eastAsia" w:eastAsia="仿宋_GB2312" w:cs="仿宋_GB2312"/>
          <w:sz w:val="32"/>
          <w:szCs w:val="32"/>
        </w:rPr>
        <w:t>万元，其中：一般公共预算财政拨款收入</w:t>
      </w:r>
      <w:r>
        <w:rPr>
          <w:rFonts w:hint="default" w:ascii="Times New Roman" w:hAnsi="Times New Roman" w:eastAsia="仿宋_GB2312" w:cs="Times New Roman"/>
          <w:sz w:val="32"/>
          <w:szCs w:val="32"/>
          <w:highlight w:val="none"/>
          <w:lang w:val="en-US" w:eastAsia="zh-CN"/>
        </w:rPr>
        <w:t>401.81</w:t>
      </w:r>
      <w:r>
        <w:rPr>
          <w:rFonts w:hint="eastAsia" w:eastAsia="仿宋_GB2312" w:cs="仿宋_GB2312"/>
          <w:sz w:val="32"/>
          <w:szCs w:val="32"/>
        </w:rPr>
        <w:t>万元，占</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bookmarkEnd w:id="29"/>
    </w:p>
    <w:p w14:paraId="733EEB6A">
      <w:pPr>
        <w:pStyle w:val="28"/>
        <w:spacing w:line="600" w:lineRule="exact"/>
        <w:ind w:firstLine="640"/>
        <w:outlineLvl w:val="9"/>
        <w:rPr>
          <w:rFonts w:hint="eastAsia" w:eastAsia="仿宋_GB2312" w:cs="仿宋_GB2312"/>
          <w:sz w:val="32"/>
          <w:szCs w:val="32"/>
          <w:lang w:eastAsia="zh-CN"/>
        </w:rPr>
      </w:pPr>
    </w:p>
    <w:p w14:paraId="20ED8E30">
      <w:pPr>
        <w:pStyle w:val="28"/>
        <w:spacing w:line="600" w:lineRule="exact"/>
        <w:ind w:firstLine="640"/>
        <w:outlineLvl w:val="9"/>
        <w:rPr>
          <w:rFonts w:hint="eastAsia" w:eastAsia="仿宋_GB2312" w:cs="仿宋_GB2312"/>
          <w:sz w:val="32"/>
          <w:szCs w:val="32"/>
          <w:lang w:eastAsia="zh-CN"/>
        </w:rPr>
      </w:pPr>
    </w:p>
    <w:p w14:paraId="269A4D8C">
      <w:pPr>
        <w:pStyle w:val="28"/>
        <w:spacing w:line="600" w:lineRule="exact"/>
        <w:ind w:firstLine="2100" w:firstLineChars="1000"/>
        <w:outlineLvl w:val="1"/>
        <w:rPr>
          <w:rFonts w:hint="eastAsia" w:eastAsia="仿宋_GB2312" w:cs="仿宋_GB2312"/>
          <w:sz w:val="32"/>
          <w:szCs w:val="32"/>
          <w:lang w:val="en-US" w:eastAsia="zh-CN"/>
        </w:rPr>
      </w:pPr>
      <w:bookmarkStart w:id="30" w:name="_Toc1031731107"/>
      <w:r>
        <w:drawing>
          <wp:anchor distT="0" distB="0" distL="114300" distR="114300" simplePos="0" relativeHeight="251660288" behindDoc="0" locked="0" layoutInCell="1" allowOverlap="1">
            <wp:simplePos x="0" y="0"/>
            <wp:positionH relativeFrom="column">
              <wp:posOffset>464185</wp:posOffset>
            </wp:positionH>
            <wp:positionV relativeFrom="paragraph">
              <wp:posOffset>116205</wp:posOffset>
            </wp:positionV>
            <wp:extent cx="4438650" cy="2905125"/>
            <wp:effectExtent l="4445" t="4445" r="14605" b="5080"/>
            <wp:wrapTopAndBottom/>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eastAsia="仿宋_GB2312" w:cs="仿宋_GB2312"/>
          <w:sz w:val="32"/>
          <w:szCs w:val="32"/>
        </w:rPr>
        <w:t>（图2：收入决算结构图）</w:t>
      </w:r>
      <w:bookmarkEnd w:id="30"/>
      <w:r>
        <w:rPr>
          <w:rFonts w:hint="eastAsia" w:eastAsia="仿宋_GB2312" w:cs="仿宋_GB2312"/>
          <w:sz w:val="32"/>
          <w:szCs w:val="32"/>
          <w:lang w:val="en-US" w:eastAsia="zh-CN"/>
        </w:rPr>
        <w:t xml:space="preserve"> </w:t>
      </w:r>
    </w:p>
    <w:p w14:paraId="4F7090DA">
      <w:pPr>
        <w:pStyle w:val="28"/>
        <w:spacing w:line="600" w:lineRule="exact"/>
        <w:ind w:firstLine="640"/>
        <w:outlineLvl w:val="1"/>
        <w:rPr>
          <w:rStyle w:val="30"/>
          <w:rFonts w:ascii="Times New Roman" w:hAnsi="Times New Roman" w:eastAsia="黑体"/>
          <w:b w:val="0"/>
        </w:rPr>
      </w:pPr>
      <w:bookmarkStart w:id="31" w:name="_Toc15377207"/>
      <w:bookmarkStart w:id="32" w:name="_Toc493285321"/>
      <w:bookmarkStart w:id="33" w:name="_Toc15396605"/>
      <w:r>
        <w:rPr>
          <w:rFonts w:hint="eastAsia" w:eastAsia="黑体"/>
          <w:sz w:val="32"/>
          <w:szCs w:val="32"/>
        </w:rPr>
        <w:t>三、支</w:t>
      </w:r>
      <w:r>
        <w:rPr>
          <w:rStyle w:val="30"/>
          <w:rFonts w:hint="eastAsia" w:ascii="Times New Roman" w:hAnsi="Times New Roman" w:eastAsia="黑体"/>
          <w:b w:val="0"/>
        </w:rPr>
        <w:t>出决算情况说明</w:t>
      </w:r>
      <w:bookmarkEnd w:id="31"/>
      <w:bookmarkEnd w:id="32"/>
      <w:bookmarkEnd w:id="33"/>
    </w:p>
    <w:p w14:paraId="67E0391A">
      <w:pPr>
        <w:pStyle w:val="28"/>
        <w:spacing w:line="600" w:lineRule="exact"/>
        <w:ind w:firstLine="640"/>
        <w:outlineLvl w:val="1"/>
        <w:rPr>
          <w:rFonts w:hint="eastAsia" w:eastAsia="仿宋_GB2312" w:cs="仿宋_GB2312"/>
          <w:sz w:val="32"/>
          <w:szCs w:val="32"/>
          <w:lang w:val="en-US" w:eastAsia="zh-CN"/>
        </w:rPr>
      </w:pPr>
      <w:bookmarkStart w:id="34" w:name="_Toc954182505"/>
      <w:r>
        <w:rPr>
          <w:rFonts w:hint="eastAsia" w:eastAsia="仿宋_GB2312" w:cs="仿宋_GB2312"/>
          <w:sz w:val="32"/>
          <w:szCs w:val="32"/>
        </w:rPr>
        <w:t>2025年度本年支出合计</w:t>
      </w:r>
      <w:r>
        <w:rPr>
          <w:rFonts w:hint="default" w:ascii="Times New Roman" w:hAnsi="Times New Roman" w:eastAsia="仿宋_GB2312" w:cs="Times New Roman"/>
          <w:sz w:val="32"/>
          <w:szCs w:val="32"/>
          <w:highlight w:val="none"/>
          <w:lang w:val="en-US" w:eastAsia="zh-CN"/>
        </w:rPr>
        <w:t>401.81</w:t>
      </w:r>
      <w:r>
        <w:rPr>
          <w:rFonts w:hint="eastAsia" w:eastAsia="仿宋_GB2312" w:cs="仿宋_GB2312"/>
          <w:sz w:val="32"/>
          <w:szCs w:val="32"/>
        </w:rPr>
        <w:t>万元，其中：基本支出</w:t>
      </w:r>
      <w:r>
        <w:rPr>
          <w:rFonts w:hint="eastAsia" w:eastAsia="仿宋_GB2312" w:cs="仿宋_GB2312"/>
          <w:sz w:val="32"/>
          <w:szCs w:val="32"/>
          <w:lang w:val="en-US" w:eastAsia="zh-CN"/>
        </w:rPr>
        <w:t>376.79</w:t>
      </w:r>
      <w:r>
        <w:rPr>
          <w:rFonts w:hint="eastAsia" w:eastAsia="仿宋_GB2312" w:cs="仿宋_GB2312"/>
          <w:sz w:val="32"/>
          <w:szCs w:val="32"/>
        </w:rPr>
        <w:t>万元，占</w:t>
      </w:r>
      <w:r>
        <w:rPr>
          <w:rFonts w:hint="eastAsia" w:eastAsia="仿宋_GB2312" w:cs="仿宋_GB2312"/>
          <w:sz w:val="32"/>
          <w:szCs w:val="32"/>
          <w:lang w:val="en-US" w:eastAsia="zh-CN"/>
        </w:rPr>
        <w:t>93.77</w:t>
      </w:r>
      <w:r>
        <w:rPr>
          <w:rFonts w:hint="eastAsia" w:eastAsia="仿宋_GB2312" w:cs="仿宋_GB2312"/>
          <w:sz w:val="32"/>
          <w:szCs w:val="32"/>
        </w:rPr>
        <w:t>%；项目支出</w:t>
      </w:r>
      <w:r>
        <w:rPr>
          <w:rFonts w:hint="eastAsia" w:eastAsia="仿宋_GB2312" w:cs="仿宋_GB2312"/>
          <w:sz w:val="32"/>
          <w:szCs w:val="32"/>
          <w:lang w:val="en-US" w:eastAsia="zh-CN"/>
        </w:rPr>
        <w:t>25.02</w:t>
      </w:r>
      <w:r>
        <w:rPr>
          <w:rFonts w:hint="eastAsia" w:eastAsia="仿宋_GB2312" w:cs="仿宋_GB2312"/>
          <w:sz w:val="32"/>
          <w:szCs w:val="32"/>
        </w:rPr>
        <w:t>万元，占</w:t>
      </w:r>
      <w:r>
        <w:rPr>
          <w:rFonts w:hint="eastAsia" w:eastAsia="仿宋_GB2312" w:cs="仿宋_GB2312"/>
          <w:sz w:val="32"/>
          <w:szCs w:val="32"/>
          <w:lang w:val="en-US" w:eastAsia="zh-CN"/>
        </w:rPr>
        <w:t>6.23</w:t>
      </w:r>
      <w:r>
        <w:rPr>
          <w:rFonts w:hint="eastAsia" w:eastAsia="仿宋_GB2312" w:cs="仿宋_GB2312"/>
          <w:sz w:val="32"/>
          <w:szCs w:val="32"/>
        </w:rPr>
        <w:t>%</w:t>
      </w:r>
      <w:r>
        <w:rPr>
          <w:rFonts w:hint="eastAsia" w:eastAsia="仿宋_GB2312" w:cs="仿宋_GB2312"/>
          <w:sz w:val="32"/>
          <w:szCs w:val="32"/>
          <w:lang w:val="en-US" w:eastAsia="zh-CN"/>
        </w:rPr>
        <w:t>.</w:t>
      </w:r>
      <w:bookmarkEnd w:id="34"/>
    </w:p>
    <w:p w14:paraId="008BE46A">
      <w:pPr>
        <w:pStyle w:val="28"/>
        <w:spacing w:line="600" w:lineRule="exact"/>
        <w:ind w:firstLine="2310" w:firstLineChars="1100"/>
        <w:outlineLvl w:val="1"/>
        <w:rPr>
          <w:rFonts w:eastAsia="仿宋_GB2312" w:cs="仿宋_GB2312"/>
          <w:sz w:val="32"/>
          <w:szCs w:val="32"/>
        </w:rPr>
      </w:pPr>
      <w:bookmarkStart w:id="35" w:name="_Toc598160271"/>
      <w:r>
        <w:drawing>
          <wp:anchor distT="0" distB="0" distL="114300" distR="114300" simplePos="0" relativeHeight="251661312" behindDoc="0" locked="0" layoutInCell="1" allowOverlap="1">
            <wp:simplePos x="0" y="0"/>
            <wp:positionH relativeFrom="column">
              <wp:posOffset>438150</wp:posOffset>
            </wp:positionH>
            <wp:positionV relativeFrom="paragraph">
              <wp:posOffset>222250</wp:posOffset>
            </wp:positionV>
            <wp:extent cx="4572000" cy="2857500"/>
            <wp:effectExtent l="5080" t="4445" r="13970" b="14605"/>
            <wp:wrapTopAndBottom/>
            <wp:docPr id="7"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eastAsia="仿宋_GB2312" w:cs="仿宋_GB2312"/>
          <w:sz w:val="32"/>
          <w:szCs w:val="32"/>
        </w:rPr>
        <w:t>（图3：支出决算结构图）</w:t>
      </w:r>
      <w:bookmarkEnd w:id="35"/>
    </w:p>
    <w:p w14:paraId="221C1E6B">
      <w:pPr>
        <w:spacing w:line="600" w:lineRule="exact"/>
        <w:ind w:firstLine="640" w:firstLineChars="200"/>
        <w:outlineLvl w:val="1"/>
        <w:rPr>
          <w:rStyle w:val="30"/>
          <w:rFonts w:ascii="Times New Roman" w:hAnsi="Times New Roman" w:eastAsia="黑体"/>
          <w:b w:val="0"/>
        </w:rPr>
      </w:pPr>
      <w:bookmarkStart w:id="36" w:name="_Toc15377208"/>
      <w:bookmarkStart w:id="37" w:name="_Toc15396606"/>
      <w:bookmarkStart w:id="38" w:name="_Toc681249487"/>
      <w:r>
        <w:rPr>
          <w:rFonts w:hint="eastAsia" w:eastAsia="黑体"/>
          <w:sz w:val="32"/>
          <w:szCs w:val="32"/>
        </w:rPr>
        <w:t>四、财</w:t>
      </w:r>
      <w:r>
        <w:rPr>
          <w:rStyle w:val="30"/>
          <w:rFonts w:hint="eastAsia" w:ascii="Times New Roman" w:hAnsi="Times New Roman" w:eastAsia="黑体"/>
          <w:b w:val="0"/>
        </w:rPr>
        <w:t>政拨款收入支出决算总体情况说明</w:t>
      </w:r>
      <w:bookmarkEnd w:id="36"/>
      <w:bookmarkEnd w:id="37"/>
      <w:bookmarkEnd w:id="38"/>
    </w:p>
    <w:p w14:paraId="74C03CD5">
      <w:pPr>
        <w:snapToGrid w:val="0"/>
        <w:spacing w:line="600" w:lineRule="exact"/>
        <w:ind w:firstLine="640" w:firstLineChars="200"/>
        <w:rPr>
          <w:rFonts w:hint="default" w:ascii="Times New Roman" w:hAnsi="Times New Roman" w:eastAsia="仿宋_GB2312" w:cs="Times New Roman"/>
          <w:sz w:val="32"/>
          <w:szCs w:val="32"/>
          <w:highlight w:val="none"/>
        </w:rPr>
      </w:pPr>
      <w:r>
        <w:rPr>
          <w:rFonts w:hint="eastAsia" w:eastAsia="仿宋_GB2312" w:cs="仿宋_GB2312"/>
          <w:sz w:val="32"/>
          <w:szCs w:val="32"/>
        </w:rPr>
        <w:t>2025年度财政拨款收入、支出总计均为</w:t>
      </w:r>
      <w:r>
        <w:rPr>
          <w:rFonts w:hint="default" w:ascii="Times New Roman" w:hAnsi="Times New Roman" w:eastAsia="仿宋_GB2312" w:cs="Times New Roman"/>
          <w:sz w:val="32"/>
          <w:szCs w:val="32"/>
          <w:highlight w:val="none"/>
          <w:lang w:val="en-US" w:eastAsia="zh-CN"/>
        </w:rPr>
        <w:t>401.81</w:t>
      </w:r>
      <w:r>
        <w:rPr>
          <w:rFonts w:hint="eastAsia" w:eastAsia="仿宋_GB2312" w:cs="仿宋_GB2312"/>
          <w:sz w:val="32"/>
          <w:szCs w:val="32"/>
        </w:rPr>
        <w:t>万元。与上年度相比，财政拨款收入、支出总计各增加</w:t>
      </w:r>
      <w:r>
        <w:rPr>
          <w:rFonts w:hint="eastAsia" w:eastAsia="仿宋_GB2312" w:cs="仿宋_GB2312"/>
          <w:sz w:val="32"/>
          <w:szCs w:val="32"/>
          <w:lang w:val="en-US" w:eastAsia="zh-CN"/>
        </w:rPr>
        <w:t>91.39</w:t>
      </w:r>
      <w:r>
        <w:rPr>
          <w:rFonts w:hint="eastAsia" w:eastAsia="仿宋_GB2312" w:cs="仿宋_GB2312"/>
          <w:sz w:val="32"/>
          <w:szCs w:val="32"/>
        </w:rPr>
        <w:t>万元，增长</w:t>
      </w:r>
      <w:r>
        <w:rPr>
          <w:rFonts w:hint="eastAsia" w:eastAsia="仿宋_GB2312" w:cs="仿宋_GB2312"/>
          <w:sz w:val="32"/>
          <w:szCs w:val="32"/>
          <w:lang w:val="en-US" w:eastAsia="zh-CN"/>
        </w:rPr>
        <w:t>29.44</w:t>
      </w:r>
      <w:r>
        <w:rPr>
          <w:rFonts w:hint="eastAsia" w:eastAsia="仿宋_GB2312" w:cs="仿宋_GB2312"/>
          <w:sz w:val="32"/>
          <w:szCs w:val="32"/>
        </w:rPr>
        <w:t>%。主要变动原因是</w:t>
      </w:r>
      <w:r>
        <w:rPr>
          <w:rFonts w:hint="default" w:ascii="Times New Roman" w:hAnsi="Times New Roman" w:eastAsia="仿宋_GB2312" w:cs="Times New Roman"/>
          <w:sz w:val="32"/>
          <w:szCs w:val="32"/>
          <w:highlight w:val="none"/>
          <w:lang w:val="en-US" w:eastAsia="zh-CN"/>
        </w:rPr>
        <w:t>机构改革人员增加，且2025年安排了项目支出</w:t>
      </w:r>
      <w:r>
        <w:rPr>
          <w:rFonts w:hint="default" w:ascii="Times New Roman" w:hAnsi="Times New Roman" w:eastAsia="仿宋_GB2312" w:cs="Times New Roman"/>
          <w:sz w:val="32"/>
          <w:szCs w:val="32"/>
          <w:highlight w:val="none"/>
        </w:rPr>
        <w:t>。</w:t>
      </w:r>
    </w:p>
    <w:p w14:paraId="7AE0D57B">
      <w:pPr>
        <w:snapToGrid w:val="0"/>
        <w:spacing w:line="600" w:lineRule="exact"/>
        <w:ind w:firstLine="1050" w:firstLineChars="500"/>
        <w:rPr>
          <w:rFonts w:eastAsia="仿宋_GB2312" w:cs="仿宋_GB2312"/>
          <w:sz w:val="32"/>
          <w:szCs w:val="32"/>
        </w:rPr>
      </w:pPr>
      <w:r>
        <w:rPr>
          <w:rFonts w:ascii="Times New Roman" w:hAnsi="Times New Roman" w:cs="Times New Roman"/>
        </w:rPr>
        <w:drawing>
          <wp:anchor distT="0" distB="0" distL="114300" distR="114300" simplePos="0" relativeHeight="251664384" behindDoc="0" locked="0" layoutInCell="1" allowOverlap="1">
            <wp:simplePos x="0" y="0"/>
            <wp:positionH relativeFrom="column">
              <wp:posOffset>342900</wp:posOffset>
            </wp:positionH>
            <wp:positionV relativeFrom="paragraph">
              <wp:posOffset>74295</wp:posOffset>
            </wp:positionV>
            <wp:extent cx="4819650" cy="2952750"/>
            <wp:effectExtent l="4445" t="4445" r="14605" b="14605"/>
            <wp:wrapSquare wrapText="bothSides"/>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eastAsia="仿宋_GB2312" w:cs="仿宋_GB2312"/>
          <w:sz w:val="32"/>
          <w:szCs w:val="32"/>
        </w:rPr>
        <w:t>（图4：财政拨款收、支决算总计变动情况）</w:t>
      </w:r>
    </w:p>
    <w:p w14:paraId="1B56E11D">
      <w:pPr>
        <w:spacing w:line="600" w:lineRule="exact"/>
        <w:ind w:firstLine="640"/>
        <w:rPr>
          <w:rFonts w:eastAsia="仿宋_GB2312" w:cs="仿宋_GB2312"/>
          <w:sz w:val="32"/>
          <w:szCs w:val="32"/>
        </w:rPr>
      </w:pPr>
    </w:p>
    <w:p w14:paraId="7CA65FC6">
      <w:pPr>
        <w:spacing w:line="600" w:lineRule="exact"/>
        <w:ind w:firstLine="640" w:firstLineChars="200"/>
        <w:outlineLvl w:val="1"/>
        <w:rPr>
          <w:rStyle w:val="30"/>
          <w:rFonts w:ascii="Times New Roman" w:hAnsi="Times New Roman" w:eastAsia="黑体"/>
          <w:b w:val="0"/>
        </w:rPr>
      </w:pPr>
      <w:bookmarkStart w:id="39" w:name="_Toc15377209"/>
      <w:bookmarkStart w:id="40" w:name="_Toc15396607"/>
      <w:bookmarkStart w:id="41" w:name="_Toc899600352"/>
      <w:r>
        <w:rPr>
          <w:rFonts w:hint="eastAsia" w:eastAsia="黑体"/>
          <w:sz w:val="32"/>
          <w:szCs w:val="32"/>
        </w:rPr>
        <w:t>五、</w:t>
      </w:r>
      <w:r>
        <w:rPr>
          <w:rFonts w:hint="eastAsia" w:eastAsia="黑体"/>
          <w:b/>
          <w:sz w:val="32"/>
          <w:szCs w:val="32"/>
        </w:rPr>
        <w:t>一</w:t>
      </w:r>
      <w:r>
        <w:rPr>
          <w:rStyle w:val="30"/>
          <w:rFonts w:hint="eastAsia" w:ascii="Times New Roman" w:hAnsi="Times New Roman" w:eastAsia="黑体"/>
          <w:b w:val="0"/>
        </w:rPr>
        <w:t>般公共预算财政拨款支出决算情况说明</w:t>
      </w:r>
      <w:bookmarkEnd w:id="39"/>
      <w:bookmarkEnd w:id="40"/>
      <w:bookmarkEnd w:id="41"/>
    </w:p>
    <w:p w14:paraId="1347D7B4">
      <w:pPr>
        <w:spacing w:line="600" w:lineRule="exact"/>
        <w:ind w:firstLine="643" w:firstLineChars="200"/>
        <w:outlineLvl w:val="2"/>
        <w:rPr>
          <w:rFonts w:eastAsia="楷体_GB2312" w:cs="楷体_GB2312"/>
          <w:b/>
          <w:sz w:val="32"/>
          <w:szCs w:val="32"/>
        </w:rPr>
      </w:pPr>
      <w:bookmarkStart w:id="42" w:name="_Toc15377210"/>
      <w:bookmarkStart w:id="43" w:name="_Toc478637695"/>
      <w:r>
        <w:rPr>
          <w:rFonts w:hint="eastAsia" w:eastAsia="楷体_GB2312" w:cs="楷体_GB2312"/>
          <w:b/>
          <w:sz w:val="32"/>
          <w:szCs w:val="32"/>
        </w:rPr>
        <w:t>（一）一般公共预算财政拨款支出决算总体情况</w:t>
      </w:r>
      <w:bookmarkEnd w:id="42"/>
      <w:bookmarkEnd w:id="43"/>
    </w:p>
    <w:p w14:paraId="78EB6255">
      <w:pPr>
        <w:spacing w:line="600" w:lineRule="exact"/>
        <w:ind w:firstLine="640"/>
        <w:rPr>
          <w:rFonts w:hint="default" w:ascii="Times New Roman" w:hAnsi="Times New Roman" w:eastAsia="仿宋_GB2312" w:cs="Times New Roman"/>
          <w:sz w:val="32"/>
          <w:szCs w:val="32"/>
          <w:highlight w:val="none"/>
        </w:rPr>
      </w:pPr>
      <w:r>
        <w:rPr>
          <w:rFonts w:hint="eastAsia" w:eastAsia="仿宋_GB2312" w:cs="仿宋_GB2312"/>
          <w:sz w:val="32"/>
          <w:szCs w:val="32"/>
        </w:rPr>
        <w:t>2025年度一般公共预算财政拨款支出</w:t>
      </w:r>
      <w:r>
        <w:rPr>
          <w:rFonts w:hint="default" w:ascii="Times New Roman" w:hAnsi="Times New Roman" w:eastAsia="仿宋_GB2312" w:cs="Times New Roman"/>
          <w:sz w:val="32"/>
          <w:szCs w:val="32"/>
          <w:highlight w:val="none"/>
          <w:lang w:val="en-US" w:eastAsia="zh-CN"/>
        </w:rPr>
        <w:t>401.81</w:t>
      </w:r>
      <w:r>
        <w:rPr>
          <w:rFonts w:hint="eastAsia" w:eastAsia="仿宋_GB2312" w:cs="仿宋_GB2312"/>
          <w:sz w:val="32"/>
          <w:szCs w:val="32"/>
        </w:rPr>
        <w:t>万元，占本年支出合计的</w:t>
      </w:r>
      <w:r>
        <w:rPr>
          <w:rFonts w:hint="eastAsia" w:eastAsia="仿宋_GB2312" w:cs="仿宋_GB2312"/>
          <w:sz w:val="32"/>
          <w:szCs w:val="32"/>
          <w:lang w:val="en-US" w:eastAsia="zh-CN"/>
        </w:rPr>
        <w:t>100</w:t>
      </w:r>
      <w:r>
        <w:rPr>
          <w:rFonts w:hint="eastAsia" w:eastAsia="仿宋_GB2312" w:cs="仿宋_GB2312"/>
          <w:sz w:val="32"/>
          <w:szCs w:val="32"/>
        </w:rPr>
        <w:t>%。与上年度相比，一般公共预算财政拨款支出增加</w:t>
      </w:r>
      <w:r>
        <w:rPr>
          <w:rFonts w:hint="eastAsia" w:eastAsia="仿宋_GB2312" w:cs="仿宋_GB2312"/>
          <w:sz w:val="32"/>
          <w:szCs w:val="32"/>
          <w:lang w:val="en-US" w:eastAsia="zh-CN"/>
        </w:rPr>
        <w:t>91.39</w:t>
      </w:r>
      <w:r>
        <w:rPr>
          <w:rFonts w:hint="eastAsia" w:eastAsia="仿宋_GB2312" w:cs="仿宋_GB2312"/>
          <w:sz w:val="32"/>
          <w:szCs w:val="32"/>
        </w:rPr>
        <w:t>万元，增长</w:t>
      </w:r>
      <w:r>
        <w:rPr>
          <w:rFonts w:hint="eastAsia" w:eastAsia="仿宋_GB2312" w:cs="仿宋_GB2312"/>
          <w:sz w:val="32"/>
          <w:szCs w:val="32"/>
          <w:lang w:val="en-US" w:eastAsia="zh-CN"/>
        </w:rPr>
        <w:t>29.44</w:t>
      </w:r>
      <w:r>
        <w:rPr>
          <w:rFonts w:hint="eastAsia" w:eastAsia="仿宋_GB2312" w:cs="仿宋_GB2312"/>
          <w:sz w:val="32"/>
          <w:szCs w:val="32"/>
        </w:rPr>
        <w:t>%。</w:t>
      </w:r>
      <w:r>
        <w:rPr>
          <w:rFonts w:hint="default" w:ascii="Times New Roman" w:hAnsi="Times New Roman" w:eastAsia="仿宋_GB2312" w:cs="Times New Roman"/>
          <w:sz w:val="32"/>
          <w:szCs w:val="32"/>
          <w:highlight w:val="none"/>
          <w:lang w:val="en-US" w:eastAsia="zh-CN"/>
        </w:rPr>
        <w:t>主要原因是机构改革人员增加，且2025年安排了项目支出</w:t>
      </w:r>
      <w:r>
        <w:rPr>
          <w:rFonts w:hint="default" w:ascii="Times New Roman" w:hAnsi="Times New Roman" w:eastAsia="仿宋_GB2312" w:cs="Times New Roman"/>
          <w:sz w:val="32"/>
          <w:szCs w:val="32"/>
          <w:highlight w:val="none"/>
        </w:rPr>
        <w:t>。</w:t>
      </w:r>
    </w:p>
    <w:p w14:paraId="157C13E9">
      <w:pPr>
        <w:spacing w:line="600" w:lineRule="exact"/>
        <w:ind w:firstLine="640"/>
        <w:rPr>
          <w:rFonts w:hint="default" w:ascii="Times New Roman" w:hAnsi="Times New Roman" w:eastAsia="仿宋_GB2312" w:cs="Times New Roman"/>
          <w:sz w:val="32"/>
          <w:szCs w:val="32"/>
          <w:highlight w:val="none"/>
        </w:rPr>
      </w:pPr>
    </w:p>
    <w:p w14:paraId="51D37213">
      <w:pPr>
        <w:spacing w:line="600" w:lineRule="exact"/>
        <w:ind w:firstLine="640"/>
        <w:rPr>
          <w:rFonts w:hint="default" w:ascii="Times New Roman" w:hAnsi="Times New Roman" w:eastAsia="仿宋_GB2312" w:cs="Times New Roman"/>
          <w:sz w:val="32"/>
          <w:szCs w:val="32"/>
          <w:highlight w:val="none"/>
        </w:rPr>
      </w:pPr>
    </w:p>
    <w:p w14:paraId="31ED740C">
      <w:pPr>
        <w:spacing w:line="600" w:lineRule="exact"/>
        <w:ind w:firstLine="640"/>
        <w:rPr>
          <w:rFonts w:hint="default" w:ascii="Times New Roman" w:hAnsi="Times New Roman" w:eastAsia="仿宋_GB2312" w:cs="Times New Roman"/>
          <w:sz w:val="32"/>
          <w:szCs w:val="32"/>
          <w:highlight w:val="none"/>
        </w:rPr>
      </w:pPr>
    </w:p>
    <w:p w14:paraId="2383B855">
      <w:pPr>
        <w:spacing w:line="600" w:lineRule="exact"/>
        <w:ind w:firstLine="640"/>
        <w:rPr>
          <w:rFonts w:hint="default" w:ascii="Times New Roman" w:hAnsi="Times New Roman" w:eastAsia="仿宋_GB2312" w:cs="Times New Roman"/>
          <w:sz w:val="32"/>
          <w:szCs w:val="32"/>
          <w:highlight w:val="none"/>
        </w:rPr>
      </w:pPr>
    </w:p>
    <w:p w14:paraId="5303E7E0">
      <w:pPr>
        <w:spacing w:line="600" w:lineRule="exact"/>
        <w:ind w:firstLine="640"/>
        <w:rPr>
          <w:rFonts w:eastAsia="仿宋_GB2312" w:cs="仿宋_GB2312"/>
          <w:sz w:val="32"/>
          <w:szCs w:val="32"/>
        </w:rPr>
      </w:pPr>
      <w:r>
        <w:drawing>
          <wp:anchor distT="0" distB="0" distL="114300" distR="114300" simplePos="0" relativeHeight="251663360" behindDoc="0" locked="0" layoutInCell="1" allowOverlap="1">
            <wp:simplePos x="0" y="0"/>
            <wp:positionH relativeFrom="column">
              <wp:posOffset>358140</wp:posOffset>
            </wp:positionH>
            <wp:positionV relativeFrom="paragraph">
              <wp:posOffset>106045</wp:posOffset>
            </wp:positionV>
            <wp:extent cx="4572000" cy="3019425"/>
            <wp:effectExtent l="4445" t="4445" r="14605" b="5080"/>
            <wp:wrapTopAndBottom/>
            <wp:docPr id="9"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eastAsia="仿宋_GB2312" w:cs="仿宋_GB2312"/>
          <w:sz w:val="32"/>
          <w:szCs w:val="32"/>
        </w:rPr>
        <w:t>（图5：一般公共预算财政拨款支出决算变动情况）</w:t>
      </w:r>
    </w:p>
    <w:p w14:paraId="410CD8A7">
      <w:pPr>
        <w:spacing w:line="600" w:lineRule="exact"/>
        <w:ind w:firstLine="643" w:firstLineChars="200"/>
        <w:outlineLvl w:val="9"/>
        <w:rPr>
          <w:rFonts w:hint="eastAsia" w:eastAsia="楷体_GB2312" w:cs="楷体_GB2312"/>
          <w:b/>
          <w:sz w:val="32"/>
          <w:szCs w:val="32"/>
        </w:rPr>
      </w:pPr>
      <w:bookmarkStart w:id="44" w:name="_Toc15377211"/>
    </w:p>
    <w:p w14:paraId="30A80CAF">
      <w:pPr>
        <w:spacing w:line="600" w:lineRule="exact"/>
        <w:ind w:firstLine="643" w:firstLineChars="200"/>
        <w:outlineLvl w:val="2"/>
        <w:rPr>
          <w:rFonts w:eastAsia="楷体_GB2312" w:cs="楷体_GB2312"/>
          <w:b/>
          <w:sz w:val="32"/>
          <w:szCs w:val="32"/>
        </w:rPr>
      </w:pPr>
      <w:bookmarkStart w:id="45" w:name="_Toc1269554446"/>
      <w:r>
        <w:rPr>
          <w:rFonts w:hint="eastAsia" w:eastAsia="楷体_GB2312" w:cs="楷体_GB2312"/>
          <w:b/>
          <w:sz w:val="32"/>
          <w:szCs w:val="32"/>
        </w:rPr>
        <w:t>（二）一般公共预算财政拨款支出决算结构情况</w:t>
      </w:r>
      <w:bookmarkEnd w:id="44"/>
      <w:bookmarkEnd w:id="45"/>
    </w:p>
    <w:p w14:paraId="43159E42">
      <w:pPr>
        <w:snapToGrid w:val="0"/>
        <w:spacing w:line="600" w:lineRule="exact"/>
        <w:ind w:firstLine="420" w:firstLineChars="200"/>
        <w:rPr>
          <w:rFonts w:ascii="Times New Roman" w:hAnsi="Times New Roman" w:eastAsia="仿宋_GB2312" w:cs="Times New Roman"/>
          <w:sz w:val="32"/>
          <w:szCs w:val="32"/>
        </w:rPr>
      </w:pPr>
      <w:r>
        <w:rPr>
          <w:rFonts w:ascii="Times New Roman" w:hAnsi="Times New Roman" w:cs="Times New Roman"/>
        </w:rPr>
        <w:drawing>
          <wp:anchor distT="0" distB="0" distL="114300" distR="114300" simplePos="0" relativeHeight="251662336" behindDoc="0" locked="0" layoutInCell="1" allowOverlap="1">
            <wp:simplePos x="0" y="0"/>
            <wp:positionH relativeFrom="column">
              <wp:posOffset>86360</wp:posOffset>
            </wp:positionH>
            <wp:positionV relativeFrom="paragraph">
              <wp:posOffset>1677035</wp:posOffset>
            </wp:positionV>
            <wp:extent cx="5223510" cy="2768600"/>
            <wp:effectExtent l="4445" t="4445" r="10795" b="8255"/>
            <wp:wrapSquare wrapText="bothSides"/>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eastAsia="仿宋_GB2312" w:cs="仿宋_GB2312"/>
          <w:sz w:val="32"/>
          <w:szCs w:val="32"/>
        </w:rPr>
        <w:t>2025年度一般公共预算财政拨款支出</w:t>
      </w:r>
      <w:r>
        <w:rPr>
          <w:rFonts w:hint="default" w:ascii="Times New Roman" w:hAnsi="Times New Roman" w:eastAsia="仿宋_GB2312" w:cs="Times New Roman"/>
          <w:sz w:val="32"/>
          <w:szCs w:val="32"/>
          <w:lang w:val="en-US" w:eastAsia="zh-CN"/>
        </w:rPr>
        <w:t>401.81</w:t>
      </w:r>
      <w:r>
        <w:rPr>
          <w:rFonts w:hint="eastAsia" w:eastAsia="仿宋_GB2312" w:cs="仿宋_GB2312"/>
          <w:sz w:val="32"/>
          <w:szCs w:val="32"/>
        </w:rPr>
        <w:t>万元，主要用于以下方面：</w:t>
      </w:r>
      <w:r>
        <w:rPr>
          <w:rFonts w:ascii="Times New Roman" w:hAnsi="Times New Roman" w:eastAsia="仿宋_GB2312" w:cs="Times New Roman"/>
          <w:sz w:val="32"/>
          <w:szCs w:val="32"/>
        </w:rPr>
        <w:t>文化旅游体育与传媒支出</w:t>
      </w:r>
      <w:r>
        <w:rPr>
          <w:rFonts w:hint="default" w:ascii="Times New Roman" w:hAnsi="Times New Roman" w:eastAsia="仿宋_GB2312" w:cs="Times New Roman"/>
          <w:sz w:val="32"/>
          <w:szCs w:val="32"/>
          <w:lang w:val="en-US" w:eastAsia="zh-CN"/>
        </w:rPr>
        <w:t>228.86</w:t>
      </w:r>
      <w:r>
        <w:rPr>
          <w:rFonts w:ascii="Times New Roman" w:hAnsi="Times New Roman" w:eastAsia="仿宋_GB2312" w:cs="Times New Roman"/>
          <w:sz w:val="32"/>
          <w:szCs w:val="32"/>
        </w:rPr>
        <w:t>万元，社会保障和就业支出</w:t>
      </w:r>
      <w:r>
        <w:rPr>
          <w:rFonts w:hint="default" w:ascii="Times New Roman" w:hAnsi="Times New Roman" w:eastAsia="仿宋_GB2312" w:cs="Times New Roman"/>
          <w:sz w:val="32"/>
          <w:szCs w:val="32"/>
          <w:lang w:val="en-US" w:eastAsia="zh-CN"/>
        </w:rPr>
        <w:t>139.52</w:t>
      </w:r>
      <w:r>
        <w:rPr>
          <w:rFonts w:ascii="Times New Roman" w:hAnsi="Times New Roman" w:eastAsia="仿宋_GB2312" w:cs="Times New Roman"/>
          <w:sz w:val="32"/>
          <w:szCs w:val="32"/>
        </w:rPr>
        <w:t>万元，</w:t>
      </w:r>
      <w:r>
        <w:rPr>
          <w:rFonts w:hint="default" w:ascii="Times New Roman" w:hAnsi="Times New Roman" w:eastAsia="仿宋_GB2312" w:cs="Times New Roman"/>
          <w:sz w:val="32"/>
          <w:szCs w:val="32"/>
        </w:rPr>
        <w:t>卫生健康支出</w:t>
      </w:r>
      <w:r>
        <w:rPr>
          <w:rFonts w:hint="default" w:ascii="Times New Roman" w:hAnsi="Times New Roman" w:eastAsia="仿宋_GB2312" w:cs="Times New Roman"/>
          <w:sz w:val="32"/>
          <w:szCs w:val="32"/>
          <w:lang w:val="en-US" w:eastAsia="zh-CN"/>
        </w:rPr>
        <w:t>15.09</w:t>
      </w:r>
      <w:r>
        <w:rPr>
          <w:rFonts w:hint="default" w:ascii="Times New Roman" w:hAnsi="Times New Roman" w:eastAsia="仿宋_GB2312" w:cs="Times New Roman"/>
          <w:sz w:val="32"/>
          <w:szCs w:val="32"/>
        </w:rPr>
        <w:t>万元，</w:t>
      </w:r>
      <w:r>
        <w:rPr>
          <w:rFonts w:ascii="Times New Roman" w:hAnsi="Times New Roman" w:eastAsia="仿宋_GB2312" w:cs="Times New Roman"/>
          <w:sz w:val="32"/>
          <w:szCs w:val="32"/>
        </w:rPr>
        <w:t>住房保障支出</w:t>
      </w:r>
      <w:r>
        <w:rPr>
          <w:rFonts w:hint="default" w:ascii="Times New Roman" w:hAnsi="Times New Roman" w:eastAsia="仿宋_GB2312" w:cs="Times New Roman"/>
          <w:sz w:val="32"/>
          <w:szCs w:val="32"/>
          <w:lang w:val="en-US" w:eastAsia="zh-CN"/>
        </w:rPr>
        <w:t>18.34</w:t>
      </w:r>
      <w:r>
        <w:rPr>
          <w:rFonts w:ascii="Times New Roman" w:hAnsi="Times New Roman" w:eastAsia="仿宋_GB2312" w:cs="Times New Roman"/>
          <w:sz w:val="32"/>
          <w:szCs w:val="32"/>
        </w:rPr>
        <w:t>万元。</w:t>
      </w:r>
    </w:p>
    <w:p w14:paraId="37217386">
      <w:pPr>
        <w:spacing w:line="600" w:lineRule="exact"/>
        <w:ind w:firstLine="640"/>
        <w:rPr>
          <w:rFonts w:eastAsia="仿宋_GB2312" w:cs="仿宋_GB2312"/>
          <w:sz w:val="32"/>
          <w:szCs w:val="32"/>
        </w:rPr>
      </w:pPr>
      <w:r>
        <w:rPr>
          <w:rFonts w:hint="eastAsia" w:eastAsia="仿宋_GB2312" w:cs="仿宋_GB2312"/>
          <w:sz w:val="32"/>
          <w:szCs w:val="32"/>
        </w:rPr>
        <w:t>（图6：一般公共预算财政拨款支出决算结构）</w:t>
      </w:r>
    </w:p>
    <w:p w14:paraId="7DED5252">
      <w:pPr>
        <w:spacing w:line="600" w:lineRule="exact"/>
        <w:ind w:firstLine="643" w:firstLineChars="200"/>
        <w:outlineLvl w:val="2"/>
        <w:rPr>
          <w:rFonts w:eastAsia="楷体_GB2312" w:cs="楷体_GB2312"/>
          <w:b/>
          <w:sz w:val="32"/>
          <w:szCs w:val="32"/>
        </w:rPr>
      </w:pPr>
      <w:bookmarkStart w:id="46" w:name="_Toc1362540705"/>
      <w:bookmarkStart w:id="47" w:name="_Toc15377212"/>
      <w:r>
        <w:rPr>
          <w:rFonts w:hint="eastAsia" w:eastAsia="楷体_GB2312" w:cs="楷体_GB2312"/>
          <w:b/>
          <w:sz w:val="32"/>
          <w:szCs w:val="32"/>
        </w:rPr>
        <w:t>（三）一般公共预算财政拨款支出决算具体情况</w:t>
      </w:r>
      <w:bookmarkEnd w:id="46"/>
      <w:bookmarkEnd w:id="47"/>
    </w:p>
    <w:p w14:paraId="79FF37F3">
      <w:pPr>
        <w:spacing w:line="600" w:lineRule="exact"/>
        <w:ind w:firstLine="640"/>
        <w:rPr>
          <w:rFonts w:eastAsia="仿宋_GB2312" w:cs="仿宋_GB2312"/>
          <w:sz w:val="32"/>
          <w:szCs w:val="32"/>
        </w:rPr>
      </w:pPr>
      <w:bookmarkStart w:id="48" w:name="_Toc15377444"/>
      <w:bookmarkStart w:id="49" w:name="_Toc15378460"/>
      <w:bookmarkStart w:id="50" w:name="_Toc15377213"/>
      <w:r>
        <w:rPr>
          <w:rFonts w:hint="eastAsia" w:eastAsia="仿宋_GB2312" w:cs="仿宋_GB2312"/>
          <w:sz w:val="32"/>
          <w:szCs w:val="32"/>
        </w:rPr>
        <w:t>2025年度一般公共预算支出决算数为</w:t>
      </w:r>
      <w:r>
        <w:rPr>
          <w:rFonts w:hint="eastAsia" w:eastAsia="仿宋_GB2312" w:cs="仿宋_GB2312"/>
          <w:sz w:val="32"/>
          <w:szCs w:val="32"/>
          <w:lang w:val="en-US" w:eastAsia="zh-CN"/>
        </w:rPr>
        <w:t>401.81</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%。其中：</w:t>
      </w:r>
      <w:bookmarkEnd w:id="48"/>
      <w:bookmarkEnd w:id="49"/>
      <w:bookmarkEnd w:id="50"/>
    </w:p>
    <w:p w14:paraId="50AA8806">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1.文化旅游体育与传媒（类）</w:t>
      </w:r>
      <w:r>
        <w:rPr>
          <w:rFonts w:hint="eastAsia" w:eastAsia="仿宋_GB2312" w:cs="仿宋_GB2312"/>
          <w:sz w:val="32"/>
          <w:szCs w:val="32"/>
          <w:lang w:eastAsia="zh-CN"/>
        </w:rPr>
        <w:t>文化和旅游</w:t>
      </w:r>
      <w:r>
        <w:rPr>
          <w:rFonts w:hint="eastAsia" w:eastAsia="仿宋_GB2312" w:cs="仿宋_GB2312"/>
          <w:sz w:val="32"/>
          <w:szCs w:val="32"/>
        </w:rPr>
        <w:t>（款）</w:t>
      </w:r>
      <w:r>
        <w:rPr>
          <w:rFonts w:hint="eastAsia" w:eastAsia="仿宋_GB2312" w:cs="仿宋_GB2312"/>
          <w:sz w:val="32"/>
          <w:szCs w:val="32"/>
          <w:lang w:eastAsia="zh-CN"/>
        </w:rPr>
        <w:t>其他文化和旅游</w:t>
      </w:r>
      <w:r>
        <w:rPr>
          <w:rFonts w:hint="eastAsia" w:eastAsia="仿宋_GB2312" w:cs="仿宋_GB2312"/>
          <w:sz w:val="32"/>
          <w:szCs w:val="32"/>
        </w:rPr>
        <w:t>（项）：支出决算为</w:t>
      </w:r>
      <w:r>
        <w:rPr>
          <w:rFonts w:hint="eastAsia" w:eastAsia="仿宋_GB2312" w:cs="仿宋_GB2312"/>
          <w:sz w:val="32"/>
          <w:szCs w:val="32"/>
          <w:lang w:val="en-US" w:eastAsia="zh-CN"/>
        </w:rPr>
        <w:t>228.86</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70D450A1">
      <w:pPr>
        <w:spacing w:line="600" w:lineRule="exact"/>
        <w:ind w:firstLine="640"/>
        <w:rPr>
          <w:rFonts w:hint="eastAsia" w:eastAsia="仿宋_GB2312" w:cs="仿宋_GB2312"/>
          <w:sz w:val="32"/>
          <w:szCs w:val="32"/>
          <w:lang w:eastAsia="zh-CN"/>
        </w:rPr>
      </w:pPr>
      <w:r>
        <w:rPr>
          <w:rFonts w:hint="eastAsia" w:eastAsia="仿宋_GB2312" w:cs="仿宋_GB2312"/>
          <w:sz w:val="32"/>
          <w:szCs w:val="32"/>
          <w:lang w:val="en-US" w:eastAsia="zh-CN"/>
        </w:rPr>
        <w:t>2</w:t>
      </w:r>
      <w:r>
        <w:rPr>
          <w:rFonts w:hint="eastAsia" w:eastAsia="仿宋_GB2312" w:cs="仿宋_GB2312"/>
          <w:sz w:val="32"/>
          <w:szCs w:val="32"/>
        </w:rPr>
        <w:t>.社会保障和就业（类）</w:t>
      </w:r>
      <w:r>
        <w:rPr>
          <w:rFonts w:hint="eastAsia" w:eastAsia="仿宋_GB2312" w:cs="仿宋_GB2312"/>
          <w:sz w:val="32"/>
          <w:szCs w:val="32"/>
          <w:lang w:eastAsia="zh-CN"/>
        </w:rPr>
        <w:t>行政事业单位养老支出</w:t>
      </w:r>
      <w:r>
        <w:rPr>
          <w:rFonts w:hint="eastAsia" w:eastAsia="仿宋_GB2312" w:cs="仿宋_GB2312"/>
          <w:sz w:val="32"/>
          <w:szCs w:val="32"/>
        </w:rPr>
        <w:t>（款）</w:t>
      </w:r>
      <w:r>
        <w:rPr>
          <w:rFonts w:hint="eastAsia" w:eastAsia="仿宋_GB2312" w:cs="仿宋_GB2312"/>
          <w:sz w:val="32"/>
          <w:szCs w:val="32"/>
          <w:lang w:eastAsia="zh-CN"/>
        </w:rPr>
        <w:t>事业单位离退休</w:t>
      </w:r>
      <w:r>
        <w:rPr>
          <w:rFonts w:hint="eastAsia" w:eastAsia="仿宋_GB2312" w:cs="仿宋_GB2312"/>
          <w:sz w:val="32"/>
          <w:szCs w:val="32"/>
        </w:rPr>
        <w:t>（项）：支出决算为</w:t>
      </w:r>
      <w:r>
        <w:rPr>
          <w:rFonts w:hint="eastAsia" w:eastAsia="仿宋_GB2312" w:cs="仿宋_GB2312"/>
          <w:sz w:val="32"/>
          <w:szCs w:val="32"/>
          <w:lang w:val="en-US" w:eastAsia="zh-CN"/>
        </w:rPr>
        <w:t>113.4</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411088A4">
      <w:pPr>
        <w:spacing w:line="600" w:lineRule="exact"/>
        <w:ind w:firstLine="640"/>
        <w:rPr>
          <w:rFonts w:hint="eastAsia" w:eastAsia="仿宋_GB2312" w:cs="仿宋_GB2312"/>
          <w:sz w:val="32"/>
          <w:szCs w:val="32"/>
          <w:lang w:eastAsia="zh-CN"/>
        </w:rPr>
      </w:pPr>
      <w:r>
        <w:rPr>
          <w:rFonts w:hint="eastAsia" w:eastAsia="仿宋_GB2312" w:cs="仿宋_GB2312"/>
          <w:sz w:val="32"/>
          <w:szCs w:val="32"/>
          <w:lang w:val="en-US" w:eastAsia="zh-CN"/>
        </w:rPr>
        <w:t>3</w:t>
      </w:r>
      <w:r>
        <w:rPr>
          <w:rFonts w:hint="eastAsia" w:eastAsia="仿宋_GB2312" w:cs="仿宋_GB2312"/>
          <w:sz w:val="32"/>
          <w:szCs w:val="32"/>
        </w:rPr>
        <w:t>.社会保障和就业（类）</w:t>
      </w:r>
      <w:r>
        <w:rPr>
          <w:rFonts w:hint="eastAsia" w:eastAsia="仿宋_GB2312" w:cs="仿宋_GB2312"/>
          <w:sz w:val="32"/>
          <w:szCs w:val="32"/>
          <w:lang w:eastAsia="zh-CN"/>
        </w:rPr>
        <w:t>行政事业单位养老支出</w:t>
      </w:r>
      <w:r>
        <w:rPr>
          <w:rFonts w:hint="eastAsia" w:eastAsia="仿宋_GB2312" w:cs="仿宋_GB2312"/>
          <w:sz w:val="32"/>
          <w:szCs w:val="32"/>
        </w:rPr>
        <w:t>（款）</w:t>
      </w:r>
      <w:r>
        <w:rPr>
          <w:rFonts w:hint="eastAsia" w:eastAsia="仿宋_GB2312" w:cs="仿宋_GB2312"/>
          <w:sz w:val="32"/>
          <w:szCs w:val="32"/>
          <w:lang w:eastAsia="zh-CN"/>
        </w:rPr>
        <w:t>机关事业单位基本养老保险支出</w:t>
      </w:r>
      <w:r>
        <w:rPr>
          <w:rFonts w:hint="eastAsia" w:eastAsia="仿宋_GB2312" w:cs="仿宋_GB2312"/>
          <w:sz w:val="32"/>
          <w:szCs w:val="32"/>
        </w:rPr>
        <w:t>（项）：支出决算为</w:t>
      </w:r>
      <w:r>
        <w:rPr>
          <w:rFonts w:hint="eastAsia" w:eastAsia="仿宋_GB2312" w:cs="仿宋_GB2312"/>
          <w:sz w:val="32"/>
          <w:szCs w:val="32"/>
          <w:lang w:val="en-US" w:eastAsia="zh-CN"/>
        </w:rPr>
        <w:t>24.77</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2E19E563">
      <w:pPr>
        <w:spacing w:line="600" w:lineRule="exact"/>
        <w:ind w:firstLine="640"/>
        <w:rPr>
          <w:rFonts w:hint="eastAsia" w:eastAsia="仿宋_GB2312" w:cs="仿宋_GB2312"/>
          <w:sz w:val="32"/>
          <w:szCs w:val="32"/>
          <w:lang w:eastAsia="zh-CN"/>
        </w:rPr>
      </w:pPr>
      <w:r>
        <w:rPr>
          <w:rFonts w:hint="eastAsia" w:eastAsia="仿宋_GB2312" w:cs="仿宋_GB2312"/>
          <w:sz w:val="32"/>
          <w:szCs w:val="32"/>
          <w:lang w:val="en-US" w:eastAsia="zh-CN"/>
        </w:rPr>
        <w:t>4</w:t>
      </w:r>
      <w:r>
        <w:rPr>
          <w:rFonts w:hint="eastAsia" w:eastAsia="仿宋_GB2312" w:cs="仿宋_GB2312"/>
          <w:sz w:val="32"/>
          <w:szCs w:val="32"/>
        </w:rPr>
        <w:t>.社会保障和就业（类）</w:t>
      </w:r>
      <w:r>
        <w:rPr>
          <w:rFonts w:hint="eastAsia" w:eastAsia="仿宋_GB2312" w:cs="仿宋_GB2312"/>
          <w:sz w:val="32"/>
          <w:szCs w:val="32"/>
          <w:lang w:eastAsia="zh-CN"/>
        </w:rPr>
        <w:t>其他社会保障和就业支出</w:t>
      </w:r>
      <w:r>
        <w:rPr>
          <w:rFonts w:hint="eastAsia" w:eastAsia="仿宋_GB2312" w:cs="仿宋_GB2312"/>
          <w:sz w:val="32"/>
          <w:szCs w:val="32"/>
        </w:rPr>
        <w:t>（款）</w:t>
      </w:r>
      <w:r>
        <w:rPr>
          <w:rFonts w:hint="eastAsia" w:eastAsia="仿宋_GB2312" w:cs="仿宋_GB2312"/>
          <w:sz w:val="32"/>
          <w:szCs w:val="32"/>
          <w:lang w:eastAsia="zh-CN"/>
        </w:rPr>
        <w:t>其他社会保障和就业支出</w:t>
      </w:r>
      <w:r>
        <w:rPr>
          <w:rFonts w:hint="eastAsia" w:eastAsia="仿宋_GB2312" w:cs="仿宋_GB2312"/>
          <w:sz w:val="32"/>
          <w:szCs w:val="32"/>
        </w:rPr>
        <w:t>（项）：支出决算为</w:t>
      </w:r>
      <w:r>
        <w:rPr>
          <w:rFonts w:hint="eastAsia" w:eastAsia="仿宋_GB2312" w:cs="仿宋_GB2312"/>
          <w:sz w:val="32"/>
          <w:szCs w:val="32"/>
          <w:lang w:val="en-US" w:eastAsia="zh-CN"/>
        </w:rPr>
        <w:t>1.35</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7EBBA56A">
      <w:pPr>
        <w:spacing w:line="600" w:lineRule="exact"/>
        <w:ind w:firstLine="640"/>
        <w:rPr>
          <w:rFonts w:hint="eastAsia" w:eastAsia="仿宋_GB2312" w:cs="仿宋_GB2312"/>
          <w:sz w:val="32"/>
          <w:szCs w:val="32"/>
          <w:lang w:eastAsia="zh-CN"/>
        </w:rPr>
      </w:pPr>
      <w:r>
        <w:rPr>
          <w:rFonts w:hint="eastAsia" w:eastAsia="仿宋_GB2312" w:cs="仿宋_GB2312"/>
          <w:sz w:val="32"/>
          <w:szCs w:val="32"/>
          <w:lang w:val="en-US" w:eastAsia="zh-CN"/>
        </w:rPr>
        <w:t>5</w:t>
      </w:r>
      <w:r>
        <w:rPr>
          <w:rFonts w:hint="eastAsia" w:eastAsia="仿宋_GB2312" w:cs="仿宋_GB2312"/>
          <w:sz w:val="32"/>
          <w:szCs w:val="32"/>
        </w:rPr>
        <w:t>.卫生健康（类）</w:t>
      </w:r>
      <w:r>
        <w:rPr>
          <w:rFonts w:hint="eastAsia" w:eastAsia="仿宋_GB2312" w:cs="仿宋_GB2312"/>
          <w:sz w:val="32"/>
          <w:szCs w:val="32"/>
          <w:lang w:eastAsia="zh-CN"/>
        </w:rPr>
        <w:t>行政事业单位医疗</w:t>
      </w:r>
      <w:r>
        <w:rPr>
          <w:rFonts w:hint="eastAsia" w:eastAsia="仿宋_GB2312" w:cs="仿宋_GB2312"/>
          <w:sz w:val="32"/>
          <w:szCs w:val="32"/>
        </w:rPr>
        <w:t>（款）</w:t>
      </w:r>
      <w:r>
        <w:rPr>
          <w:rFonts w:hint="eastAsia" w:eastAsia="仿宋_GB2312" w:cs="仿宋_GB2312"/>
          <w:sz w:val="32"/>
          <w:szCs w:val="32"/>
          <w:lang w:eastAsia="zh-CN"/>
        </w:rPr>
        <w:t>事业单位医疗</w:t>
      </w:r>
      <w:r>
        <w:rPr>
          <w:rFonts w:hint="eastAsia" w:eastAsia="仿宋_GB2312" w:cs="仿宋_GB2312"/>
          <w:sz w:val="32"/>
          <w:szCs w:val="32"/>
        </w:rPr>
        <w:t>（项）：支出决算为</w:t>
      </w:r>
      <w:r>
        <w:rPr>
          <w:rFonts w:hint="eastAsia" w:eastAsia="仿宋_GB2312" w:cs="仿宋_GB2312"/>
          <w:sz w:val="32"/>
          <w:szCs w:val="32"/>
          <w:lang w:val="en-US" w:eastAsia="zh-CN"/>
        </w:rPr>
        <w:t>12.08</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55E77EA6">
      <w:pPr>
        <w:spacing w:line="600" w:lineRule="exact"/>
        <w:ind w:firstLine="640"/>
        <w:rPr>
          <w:rFonts w:hint="eastAsia" w:eastAsia="仿宋_GB2312" w:cs="仿宋_GB2312"/>
          <w:sz w:val="32"/>
          <w:szCs w:val="32"/>
          <w:lang w:eastAsia="zh-CN"/>
        </w:rPr>
      </w:pPr>
      <w:r>
        <w:rPr>
          <w:rFonts w:hint="eastAsia" w:eastAsia="仿宋_GB2312" w:cs="仿宋_GB2312"/>
          <w:sz w:val="32"/>
          <w:szCs w:val="32"/>
          <w:lang w:val="en-US" w:eastAsia="zh-CN"/>
        </w:rPr>
        <w:t>6</w:t>
      </w:r>
      <w:r>
        <w:rPr>
          <w:rFonts w:hint="eastAsia" w:eastAsia="仿宋_GB2312" w:cs="仿宋_GB2312"/>
          <w:sz w:val="32"/>
          <w:szCs w:val="32"/>
        </w:rPr>
        <w:t>.卫生健康（类）</w:t>
      </w:r>
      <w:r>
        <w:rPr>
          <w:rFonts w:hint="eastAsia" w:eastAsia="仿宋_GB2312" w:cs="仿宋_GB2312"/>
          <w:sz w:val="32"/>
          <w:szCs w:val="32"/>
          <w:lang w:eastAsia="zh-CN"/>
        </w:rPr>
        <w:t>行政事业单位医疗</w:t>
      </w:r>
      <w:r>
        <w:rPr>
          <w:rFonts w:hint="eastAsia" w:eastAsia="仿宋_GB2312" w:cs="仿宋_GB2312"/>
          <w:sz w:val="32"/>
          <w:szCs w:val="32"/>
        </w:rPr>
        <w:t>（款）</w:t>
      </w:r>
      <w:r>
        <w:rPr>
          <w:rFonts w:hint="eastAsia" w:eastAsia="仿宋_GB2312" w:cs="仿宋_GB2312"/>
          <w:sz w:val="32"/>
          <w:szCs w:val="32"/>
          <w:lang w:eastAsia="zh-CN"/>
        </w:rPr>
        <w:t>公务员医疗补助</w:t>
      </w:r>
      <w:r>
        <w:rPr>
          <w:rFonts w:hint="eastAsia" w:eastAsia="仿宋_GB2312" w:cs="仿宋_GB2312"/>
          <w:sz w:val="32"/>
          <w:szCs w:val="32"/>
        </w:rPr>
        <w:t>（项）：支出决算为</w:t>
      </w:r>
      <w:r>
        <w:rPr>
          <w:rFonts w:hint="eastAsia" w:eastAsia="仿宋_GB2312" w:cs="仿宋_GB2312"/>
          <w:sz w:val="32"/>
          <w:szCs w:val="32"/>
          <w:lang w:val="en-US" w:eastAsia="zh-CN"/>
        </w:rPr>
        <w:t>3.01</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45BA5A7C">
      <w:pPr>
        <w:spacing w:line="600" w:lineRule="exact"/>
        <w:ind w:firstLine="640"/>
        <w:rPr>
          <w:rFonts w:hint="eastAsia" w:eastAsia="仿宋_GB2312" w:cs="仿宋_GB2312"/>
          <w:sz w:val="32"/>
          <w:szCs w:val="32"/>
        </w:rPr>
      </w:pPr>
      <w:r>
        <w:rPr>
          <w:rFonts w:hint="eastAsia" w:eastAsia="仿宋_GB2312" w:cs="仿宋_GB2312"/>
          <w:sz w:val="32"/>
          <w:szCs w:val="32"/>
          <w:lang w:val="en-US" w:eastAsia="zh-CN"/>
        </w:rPr>
        <w:t>7.</w:t>
      </w:r>
      <w:r>
        <w:rPr>
          <w:rFonts w:hint="eastAsia" w:eastAsia="仿宋_GB2312" w:cs="仿宋_GB2312"/>
          <w:sz w:val="32"/>
          <w:szCs w:val="32"/>
        </w:rPr>
        <w:t>住房保障支出（类）住房改革支出（款）住房公积金（项）：支出决算为</w:t>
      </w:r>
      <w:r>
        <w:rPr>
          <w:rFonts w:hint="eastAsia" w:eastAsia="仿宋_GB2312" w:cs="仿宋_GB2312"/>
          <w:sz w:val="32"/>
          <w:szCs w:val="32"/>
          <w:lang w:val="en-US" w:eastAsia="zh-CN"/>
        </w:rPr>
        <w:t>18.34</w:t>
      </w:r>
      <w:r>
        <w:rPr>
          <w:rFonts w:hint="eastAsia" w:eastAsia="仿宋_GB2312" w:cs="仿宋_GB2312"/>
          <w:sz w:val="32"/>
          <w:szCs w:val="32"/>
        </w:rPr>
        <w:t>万元，完成预算100%。</w:t>
      </w:r>
    </w:p>
    <w:p w14:paraId="3E733A6A">
      <w:pPr>
        <w:spacing w:line="600" w:lineRule="exact"/>
        <w:ind w:firstLine="640"/>
        <w:rPr>
          <w:rFonts w:hint="eastAsia" w:eastAsia="仿宋_GB2312" w:cs="仿宋_GB2312"/>
          <w:sz w:val="32"/>
          <w:szCs w:val="32"/>
          <w:lang w:eastAsia="zh-CN"/>
        </w:rPr>
      </w:pPr>
    </w:p>
    <w:p w14:paraId="13356DAD">
      <w:pPr>
        <w:spacing w:line="600" w:lineRule="exact"/>
        <w:ind w:firstLine="640"/>
        <w:rPr>
          <w:rFonts w:hint="eastAsia" w:eastAsia="仿宋_GB2312" w:cs="仿宋_GB2312"/>
          <w:sz w:val="32"/>
          <w:szCs w:val="32"/>
          <w:lang w:eastAsia="zh-CN"/>
        </w:rPr>
      </w:pPr>
    </w:p>
    <w:p w14:paraId="093A60E2">
      <w:pPr>
        <w:tabs>
          <w:tab w:val="right" w:pos="8306"/>
        </w:tabs>
        <w:spacing w:line="600" w:lineRule="exact"/>
        <w:ind w:firstLine="640"/>
        <w:outlineLvl w:val="1"/>
        <w:rPr>
          <w:rStyle w:val="30"/>
          <w:rFonts w:ascii="Times New Roman" w:hAnsi="Times New Roman"/>
        </w:rPr>
      </w:pPr>
      <w:bookmarkStart w:id="51" w:name="_Toc1734147887"/>
      <w:bookmarkStart w:id="52" w:name="_Toc15377214"/>
      <w:bookmarkStart w:id="53" w:name="_Toc15396608"/>
      <w:r>
        <w:rPr>
          <w:rFonts w:hint="eastAsia" w:eastAsia="黑体"/>
          <w:sz w:val="32"/>
          <w:szCs w:val="32"/>
        </w:rPr>
        <w:t>六</w:t>
      </w:r>
      <w:r>
        <w:rPr>
          <w:rFonts w:hint="eastAsia" w:eastAsia="黑体"/>
          <w:b/>
          <w:sz w:val="32"/>
          <w:szCs w:val="32"/>
        </w:rPr>
        <w:t>、一</w:t>
      </w:r>
      <w:r>
        <w:rPr>
          <w:rStyle w:val="30"/>
          <w:rFonts w:hint="eastAsia" w:ascii="Times New Roman" w:hAnsi="Times New Roman" w:eastAsia="黑体"/>
          <w:b w:val="0"/>
        </w:rPr>
        <w:t>般公共预算财政拨款基本支出决算情况说明</w:t>
      </w:r>
      <w:bookmarkEnd w:id="51"/>
      <w:bookmarkEnd w:id="52"/>
      <w:bookmarkEnd w:id="53"/>
      <w:r>
        <w:rPr>
          <w:rStyle w:val="30"/>
          <w:rFonts w:ascii="Times New Roman" w:hAnsi="Times New Roman" w:eastAsia="黑体"/>
          <w:b w:val="0"/>
        </w:rPr>
        <w:tab/>
      </w:r>
    </w:p>
    <w:p w14:paraId="5673BF5E">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2025年度一般公共预算财政拨款基本支出</w:t>
      </w:r>
      <w:r>
        <w:rPr>
          <w:rFonts w:hint="eastAsia" w:eastAsia="仿宋_GB2312" w:cs="仿宋_GB2312"/>
          <w:sz w:val="32"/>
          <w:szCs w:val="32"/>
          <w:lang w:val="en-US" w:eastAsia="zh-CN"/>
        </w:rPr>
        <w:t>376.79</w:t>
      </w:r>
      <w:r>
        <w:rPr>
          <w:rFonts w:hint="eastAsia" w:eastAsia="仿宋_GB2312" w:cs="仿宋_GB2312"/>
          <w:sz w:val="32"/>
          <w:szCs w:val="32"/>
        </w:rPr>
        <w:t>万元，其中：</w:t>
      </w:r>
    </w:p>
    <w:p w14:paraId="63C05EDA">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eastAsia" w:eastAsia="仿宋_GB2312" w:cs="仿宋_GB2312"/>
          <w:sz w:val="32"/>
          <w:szCs w:val="32"/>
        </w:rPr>
        <w:t>人员经费</w:t>
      </w:r>
      <w:r>
        <w:rPr>
          <w:rFonts w:hint="default" w:eastAsia="仿宋_GB2312" w:cs="仿宋_GB2312"/>
          <w:sz w:val="32"/>
          <w:szCs w:val="32"/>
          <w:lang w:val="en-US" w:eastAsia="zh-CN"/>
        </w:rPr>
        <w:t>357.81</w:t>
      </w:r>
      <w:r>
        <w:rPr>
          <w:rFonts w:hint="eastAsia" w:eastAsia="仿宋_GB2312" w:cs="仿宋_GB2312"/>
          <w:sz w:val="32"/>
          <w:szCs w:val="32"/>
        </w:rPr>
        <w:t>万元，主要包括：基本工资</w:t>
      </w:r>
      <w:r>
        <w:rPr>
          <w:rFonts w:hint="eastAsia" w:eastAsia="仿宋_GB2312" w:cs="仿宋_GB2312"/>
          <w:sz w:val="32"/>
          <w:szCs w:val="32"/>
          <w:lang w:val="en-US" w:eastAsia="zh-CN"/>
        </w:rPr>
        <w:t>69.89万元</w:t>
      </w:r>
      <w:r>
        <w:rPr>
          <w:rFonts w:hint="eastAsia" w:eastAsia="仿宋_GB2312" w:cs="仿宋_GB2312"/>
          <w:sz w:val="32"/>
          <w:szCs w:val="32"/>
        </w:rPr>
        <w:t>、津贴补贴</w:t>
      </w:r>
      <w:r>
        <w:rPr>
          <w:rFonts w:hint="eastAsia" w:eastAsia="仿宋_GB2312" w:cs="仿宋_GB2312"/>
          <w:sz w:val="32"/>
          <w:szCs w:val="32"/>
          <w:lang w:val="en-US" w:eastAsia="zh-CN"/>
        </w:rPr>
        <w:t>7.04万元</w:t>
      </w:r>
      <w:r>
        <w:rPr>
          <w:rFonts w:hint="eastAsia" w:eastAsia="仿宋_GB2312" w:cs="仿宋_GB2312"/>
          <w:sz w:val="32"/>
          <w:szCs w:val="32"/>
        </w:rPr>
        <w:t>、绩效工资</w:t>
      </w:r>
      <w:r>
        <w:rPr>
          <w:rFonts w:hint="eastAsia" w:eastAsia="仿宋_GB2312" w:cs="仿宋_GB2312"/>
          <w:sz w:val="32"/>
          <w:szCs w:val="32"/>
          <w:lang w:val="en-US" w:eastAsia="zh-CN"/>
        </w:rPr>
        <w:t>90.2万元</w:t>
      </w:r>
      <w:r>
        <w:rPr>
          <w:rFonts w:hint="eastAsia" w:eastAsia="仿宋_GB2312" w:cs="仿宋_GB2312"/>
          <w:sz w:val="32"/>
          <w:szCs w:val="32"/>
        </w:rPr>
        <w:t>、机关事业单位基本养老保险缴费</w:t>
      </w:r>
      <w:r>
        <w:rPr>
          <w:rFonts w:hint="eastAsia" w:eastAsia="仿宋_GB2312" w:cs="仿宋_GB2312"/>
          <w:sz w:val="32"/>
          <w:szCs w:val="32"/>
          <w:lang w:val="en-US" w:eastAsia="zh-CN"/>
        </w:rPr>
        <w:t>24.77万元</w:t>
      </w:r>
      <w:r>
        <w:rPr>
          <w:rFonts w:hint="eastAsia" w:eastAsia="仿宋_GB2312" w:cs="仿宋_GB2312"/>
          <w:sz w:val="32"/>
          <w:szCs w:val="32"/>
        </w:rPr>
        <w:t>、</w:t>
      </w:r>
      <w:r>
        <w:rPr>
          <w:rFonts w:hint="eastAsia" w:ascii="Times New Roman" w:hAnsi="Times New Roman" w:eastAsia="仿宋_GB2312" w:cs="Times New Roman"/>
          <w:color w:val="auto"/>
          <w:kern w:val="2"/>
          <w:sz w:val="32"/>
          <w:szCs w:val="32"/>
          <w:highlight w:val="none"/>
          <w:lang w:val="en-US" w:eastAsia="zh-CN" w:bidi="ar-SA"/>
        </w:rPr>
        <w:t>职工基本医疗保险缴费</w:t>
      </w:r>
      <w:r>
        <w:rPr>
          <w:rFonts w:hint="eastAsia" w:eastAsia="仿宋_GB2312" w:cs="Times New Roman"/>
          <w:color w:val="auto"/>
          <w:kern w:val="2"/>
          <w:sz w:val="32"/>
          <w:szCs w:val="32"/>
          <w:highlight w:val="none"/>
          <w:lang w:val="en-US" w:eastAsia="zh-CN" w:bidi="ar-SA"/>
        </w:rPr>
        <w:t>12.07万元、</w:t>
      </w:r>
      <w:r>
        <w:rPr>
          <w:rFonts w:hint="eastAsia" w:ascii="Times New Roman" w:hAnsi="Times New Roman" w:eastAsia="仿宋_GB2312" w:cs="Times New Roman"/>
          <w:color w:val="auto"/>
          <w:kern w:val="2"/>
          <w:sz w:val="32"/>
          <w:szCs w:val="32"/>
          <w:highlight w:val="none"/>
          <w:lang w:val="en-US" w:eastAsia="zh-CN" w:bidi="ar-SA"/>
        </w:rPr>
        <w:t>公务员医疗补助缴费</w:t>
      </w:r>
      <w:r>
        <w:rPr>
          <w:rFonts w:hint="eastAsia" w:eastAsia="仿宋_GB2312" w:cs="Times New Roman"/>
          <w:color w:val="auto"/>
          <w:kern w:val="2"/>
          <w:sz w:val="32"/>
          <w:szCs w:val="32"/>
          <w:highlight w:val="none"/>
          <w:lang w:val="en-US" w:eastAsia="zh-CN" w:bidi="ar-SA"/>
        </w:rPr>
        <w:t>3.01</w:t>
      </w:r>
      <w:r>
        <w:rPr>
          <w:rFonts w:hint="eastAsia" w:ascii="Times New Roman" w:hAnsi="Times New Roman" w:eastAsia="仿宋_GB2312" w:cs="Times New Roman"/>
          <w:color w:val="auto"/>
          <w:kern w:val="2"/>
          <w:sz w:val="32"/>
          <w:szCs w:val="32"/>
          <w:highlight w:val="none"/>
          <w:lang w:val="en-US" w:eastAsia="zh-CN" w:bidi="ar-SA"/>
        </w:rPr>
        <w:t>万元、</w:t>
      </w:r>
      <w:r>
        <w:rPr>
          <w:rFonts w:hint="default" w:ascii="Times New Roman" w:hAnsi="Times New Roman" w:eastAsia="仿宋_GB2312" w:cs="Times New Roman"/>
          <w:color w:val="auto"/>
          <w:kern w:val="2"/>
          <w:sz w:val="32"/>
          <w:szCs w:val="32"/>
          <w:highlight w:val="none"/>
          <w:lang w:val="en-US" w:eastAsia="zh-CN" w:bidi="ar-SA"/>
        </w:rPr>
        <w:t>其他社会保障缴费</w:t>
      </w:r>
      <w:r>
        <w:rPr>
          <w:rFonts w:hint="eastAsia" w:ascii="Times New Roman" w:hAnsi="Times New Roman" w:eastAsia="仿宋_GB2312" w:cs="Times New Roman"/>
          <w:color w:val="auto"/>
          <w:kern w:val="2"/>
          <w:sz w:val="32"/>
          <w:szCs w:val="32"/>
          <w:highlight w:val="none"/>
          <w:lang w:val="en-US" w:eastAsia="zh-CN" w:bidi="ar-SA"/>
        </w:rPr>
        <w:t>1.</w:t>
      </w:r>
      <w:r>
        <w:rPr>
          <w:rFonts w:hint="eastAsia" w:eastAsia="仿宋_GB2312" w:cs="Times New Roman"/>
          <w:color w:val="auto"/>
          <w:kern w:val="2"/>
          <w:sz w:val="32"/>
          <w:szCs w:val="32"/>
          <w:highlight w:val="none"/>
          <w:lang w:val="en-US" w:eastAsia="zh-CN" w:bidi="ar-SA"/>
        </w:rPr>
        <w:t>35</w:t>
      </w:r>
      <w:r>
        <w:rPr>
          <w:rFonts w:hint="eastAsia" w:ascii="Times New Roman" w:hAnsi="Times New Roman" w:eastAsia="仿宋_GB2312" w:cs="Times New Roman"/>
          <w:color w:val="auto"/>
          <w:kern w:val="2"/>
          <w:sz w:val="32"/>
          <w:szCs w:val="32"/>
          <w:highlight w:val="none"/>
          <w:lang w:val="en-US" w:eastAsia="zh-CN" w:bidi="ar-SA"/>
        </w:rPr>
        <w:t>万元</w:t>
      </w:r>
      <w:r>
        <w:rPr>
          <w:rFonts w:hint="default" w:ascii="Times New Roman" w:hAnsi="Times New Roman" w:eastAsia="仿宋_GB2312" w:cs="Times New Roman"/>
          <w:color w:val="auto"/>
          <w:kern w:val="2"/>
          <w:sz w:val="32"/>
          <w:szCs w:val="32"/>
          <w:highlight w:val="none"/>
          <w:lang w:val="en-US" w:eastAsia="zh-CN" w:bidi="ar-SA"/>
        </w:rPr>
        <w:t>、其他工资福利支出</w:t>
      </w:r>
      <w:r>
        <w:rPr>
          <w:rFonts w:hint="eastAsia" w:eastAsia="仿宋_GB2312" w:cs="Times New Roman"/>
          <w:color w:val="auto"/>
          <w:kern w:val="2"/>
          <w:sz w:val="32"/>
          <w:szCs w:val="32"/>
          <w:highlight w:val="none"/>
          <w:lang w:val="en-US" w:eastAsia="zh-CN" w:bidi="ar-SA"/>
        </w:rPr>
        <w:t>22.27</w:t>
      </w:r>
      <w:r>
        <w:rPr>
          <w:rFonts w:hint="eastAsia" w:ascii="Times New Roman" w:hAnsi="Times New Roman" w:eastAsia="仿宋_GB2312" w:cs="Times New Roman"/>
          <w:color w:val="auto"/>
          <w:kern w:val="2"/>
          <w:sz w:val="32"/>
          <w:szCs w:val="32"/>
          <w:highlight w:val="none"/>
          <w:lang w:val="en-US" w:eastAsia="zh-CN" w:bidi="ar-SA"/>
        </w:rPr>
        <w:t>万元</w:t>
      </w:r>
      <w:r>
        <w:rPr>
          <w:rFonts w:hint="default" w:ascii="Times New Roman" w:hAnsi="Times New Roman" w:eastAsia="仿宋_GB2312" w:cs="Times New Roman"/>
          <w:color w:val="auto"/>
          <w:kern w:val="2"/>
          <w:sz w:val="32"/>
          <w:szCs w:val="32"/>
          <w:highlight w:val="none"/>
          <w:lang w:val="en-US" w:eastAsia="zh-CN" w:bidi="ar-SA"/>
        </w:rPr>
        <w:t>、生活补助</w:t>
      </w:r>
      <w:r>
        <w:rPr>
          <w:rFonts w:hint="eastAsia" w:eastAsia="仿宋_GB2312" w:cs="Times New Roman"/>
          <w:color w:val="auto"/>
          <w:kern w:val="2"/>
          <w:sz w:val="32"/>
          <w:szCs w:val="32"/>
          <w:highlight w:val="none"/>
          <w:lang w:val="en-US" w:eastAsia="zh-CN" w:bidi="ar-SA"/>
        </w:rPr>
        <w:t>99.95</w:t>
      </w:r>
      <w:r>
        <w:rPr>
          <w:rFonts w:hint="eastAsia" w:ascii="Times New Roman" w:hAnsi="Times New Roman" w:eastAsia="仿宋_GB2312" w:cs="Times New Roman"/>
          <w:color w:val="auto"/>
          <w:kern w:val="2"/>
          <w:sz w:val="32"/>
          <w:szCs w:val="32"/>
          <w:highlight w:val="none"/>
          <w:lang w:val="en-US" w:eastAsia="zh-CN" w:bidi="ar-SA"/>
        </w:rPr>
        <w:t>万元</w:t>
      </w:r>
      <w:r>
        <w:rPr>
          <w:rFonts w:hint="default" w:ascii="Times New Roman" w:hAnsi="Times New Roman" w:eastAsia="仿宋_GB2312" w:cs="Times New Roman"/>
          <w:color w:val="auto"/>
          <w:kern w:val="2"/>
          <w:sz w:val="32"/>
          <w:szCs w:val="32"/>
          <w:highlight w:val="none"/>
          <w:lang w:val="en-US" w:eastAsia="zh-CN" w:bidi="ar-SA"/>
        </w:rPr>
        <w:t>、医疗费补助</w:t>
      </w:r>
      <w:r>
        <w:rPr>
          <w:rFonts w:hint="eastAsia" w:ascii="Times New Roman" w:hAnsi="Times New Roman" w:eastAsia="仿宋_GB2312" w:cs="Times New Roman"/>
          <w:color w:val="auto"/>
          <w:kern w:val="2"/>
          <w:sz w:val="32"/>
          <w:szCs w:val="32"/>
          <w:highlight w:val="none"/>
          <w:lang w:val="en-US" w:eastAsia="zh-CN" w:bidi="ar-SA"/>
        </w:rPr>
        <w:t>8.</w:t>
      </w:r>
      <w:r>
        <w:rPr>
          <w:rFonts w:hint="eastAsia" w:eastAsia="仿宋_GB2312" w:cs="Times New Roman"/>
          <w:color w:val="auto"/>
          <w:kern w:val="2"/>
          <w:sz w:val="32"/>
          <w:szCs w:val="32"/>
          <w:highlight w:val="none"/>
          <w:lang w:val="en-US" w:eastAsia="zh-CN" w:bidi="ar-SA"/>
        </w:rPr>
        <w:t>9</w:t>
      </w:r>
      <w:r>
        <w:rPr>
          <w:rFonts w:hint="eastAsia" w:ascii="Times New Roman" w:hAnsi="Times New Roman" w:eastAsia="仿宋_GB2312" w:cs="Times New Roman"/>
          <w:color w:val="auto"/>
          <w:kern w:val="2"/>
          <w:sz w:val="32"/>
          <w:szCs w:val="32"/>
          <w:highlight w:val="none"/>
          <w:lang w:val="en-US" w:eastAsia="zh-CN" w:bidi="ar-SA"/>
        </w:rPr>
        <w:t>万元</w:t>
      </w:r>
      <w:r>
        <w:rPr>
          <w:rFonts w:hint="default" w:ascii="Times New Roman" w:hAnsi="Times New Roman" w:eastAsia="仿宋_GB2312" w:cs="Times New Roman"/>
          <w:color w:val="auto"/>
          <w:kern w:val="2"/>
          <w:sz w:val="32"/>
          <w:szCs w:val="32"/>
          <w:highlight w:val="none"/>
          <w:lang w:val="en-US" w:eastAsia="zh-CN" w:bidi="ar-SA"/>
        </w:rPr>
        <w:t>、奖励金</w:t>
      </w:r>
      <w:r>
        <w:rPr>
          <w:rFonts w:hint="eastAsia" w:ascii="Times New Roman" w:hAnsi="Times New Roman" w:eastAsia="仿宋_GB2312" w:cs="Times New Roman"/>
          <w:color w:val="auto"/>
          <w:kern w:val="2"/>
          <w:sz w:val="32"/>
          <w:szCs w:val="32"/>
          <w:highlight w:val="none"/>
          <w:lang w:val="en-US" w:eastAsia="zh-CN" w:bidi="ar-SA"/>
        </w:rPr>
        <w:t>0.0</w:t>
      </w:r>
      <w:r>
        <w:rPr>
          <w:rFonts w:hint="eastAsia" w:eastAsia="仿宋_GB2312" w:cs="Times New Roman"/>
          <w:color w:val="auto"/>
          <w:kern w:val="2"/>
          <w:sz w:val="32"/>
          <w:szCs w:val="32"/>
          <w:highlight w:val="none"/>
          <w:lang w:val="en-US" w:eastAsia="zh-CN" w:bidi="ar-SA"/>
        </w:rPr>
        <w:t>2</w:t>
      </w:r>
      <w:r>
        <w:rPr>
          <w:rFonts w:hint="eastAsia" w:ascii="Times New Roman" w:hAnsi="Times New Roman" w:eastAsia="仿宋_GB2312" w:cs="Times New Roman"/>
          <w:color w:val="auto"/>
          <w:kern w:val="2"/>
          <w:sz w:val="32"/>
          <w:szCs w:val="32"/>
          <w:highlight w:val="none"/>
          <w:lang w:val="en-US" w:eastAsia="zh-CN" w:bidi="ar-SA"/>
        </w:rPr>
        <w:t>万元</w:t>
      </w:r>
      <w:r>
        <w:rPr>
          <w:rFonts w:hint="default" w:ascii="Times New Roman" w:hAnsi="Times New Roman" w:eastAsia="仿宋_GB2312" w:cs="Times New Roman"/>
          <w:color w:val="auto"/>
          <w:kern w:val="2"/>
          <w:sz w:val="32"/>
          <w:szCs w:val="32"/>
          <w:highlight w:val="none"/>
          <w:lang w:val="en-US" w:eastAsia="zh-CN" w:bidi="ar-SA"/>
        </w:rPr>
        <w:t>、住房公积金</w:t>
      </w:r>
      <w:r>
        <w:rPr>
          <w:rFonts w:hint="eastAsia" w:eastAsia="仿宋_GB2312" w:cs="Times New Roman"/>
          <w:color w:val="auto"/>
          <w:kern w:val="2"/>
          <w:sz w:val="32"/>
          <w:szCs w:val="32"/>
          <w:highlight w:val="none"/>
          <w:lang w:val="en-US" w:eastAsia="zh-CN" w:bidi="ar-SA"/>
        </w:rPr>
        <w:t>18.34</w:t>
      </w:r>
      <w:r>
        <w:rPr>
          <w:rFonts w:hint="eastAsia" w:ascii="Times New Roman" w:hAnsi="Times New Roman" w:eastAsia="仿宋_GB2312" w:cs="Times New Roman"/>
          <w:color w:val="auto"/>
          <w:kern w:val="2"/>
          <w:sz w:val="32"/>
          <w:szCs w:val="32"/>
          <w:highlight w:val="none"/>
          <w:lang w:val="en-US" w:eastAsia="zh-CN" w:bidi="ar-SA"/>
        </w:rPr>
        <w:t>万元</w:t>
      </w:r>
      <w:r>
        <w:rPr>
          <w:rFonts w:hint="default" w:ascii="Times New Roman" w:hAnsi="Times New Roman" w:eastAsia="仿宋_GB2312" w:cs="Times New Roman"/>
          <w:color w:val="auto"/>
          <w:kern w:val="2"/>
          <w:sz w:val="32"/>
          <w:szCs w:val="32"/>
          <w:highlight w:val="none"/>
          <w:lang w:val="en-US" w:eastAsia="zh-CN" w:bidi="ar-SA"/>
        </w:rPr>
        <w:t>等。</w:t>
      </w:r>
      <w:r>
        <w:rPr>
          <w:rFonts w:hint="default" w:ascii="Times New Roman" w:hAnsi="Times New Roman" w:eastAsia="仿宋_GB2312" w:cs="Times New Roman"/>
          <w:color w:val="auto"/>
          <w:kern w:val="2"/>
          <w:sz w:val="32"/>
          <w:szCs w:val="32"/>
          <w:highlight w:val="none"/>
          <w:lang w:val="en-US" w:eastAsia="zh-CN" w:bidi="ar-SA"/>
        </w:rPr>
        <w:br w:type="textWrapping"/>
      </w:r>
      <w:r>
        <w:rPr>
          <w:rFonts w:hint="eastAsia" w:eastAsia="仿宋_GB2312" w:cs="仿宋_GB2312"/>
          <w:sz w:val="32"/>
          <w:szCs w:val="32"/>
        </w:rPr>
        <w:t>　　公用经费</w:t>
      </w:r>
      <w:r>
        <w:rPr>
          <w:rFonts w:hint="eastAsia" w:eastAsia="仿宋_GB2312" w:cs="仿宋_GB2312"/>
          <w:sz w:val="32"/>
          <w:szCs w:val="32"/>
          <w:lang w:val="en-US" w:eastAsia="zh-CN"/>
        </w:rPr>
        <w:t>18.98</w:t>
      </w:r>
      <w:r>
        <w:rPr>
          <w:rFonts w:hint="eastAsia" w:eastAsia="仿宋_GB2312" w:cs="仿宋_GB2312"/>
          <w:sz w:val="32"/>
          <w:szCs w:val="32"/>
        </w:rPr>
        <w:t>万元，主要包括：办公费</w:t>
      </w:r>
      <w:r>
        <w:rPr>
          <w:rFonts w:hint="eastAsia" w:eastAsia="仿宋_GB2312" w:cs="仿宋_GB2312"/>
          <w:sz w:val="32"/>
          <w:szCs w:val="32"/>
          <w:lang w:val="en-US" w:eastAsia="zh-CN"/>
        </w:rPr>
        <w:t>0.34万元</w:t>
      </w:r>
      <w:r>
        <w:rPr>
          <w:rFonts w:hint="eastAsia" w:eastAsia="仿宋_GB2312" w:cs="仿宋_GB2312"/>
          <w:sz w:val="32"/>
          <w:szCs w:val="32"/>
        </w:rPr>
        <w:t>、</w:t>
      </w:r>
      <w:r>
        <w:rPr>
          <w:rFonts w:hint="eastAsia" w:eastAsia="仿宋_GB2312" w:cs="仿宋_GB2312"/>
          <w:sz w:val="32"/>
          <w:szCs w:val="32"/>
          <w:lang w:eastAsia="zh-CN"/>
        </w:rPr>
        <w:t>邮电费</w:t>
      </w:r>
      <w:r>
        <w:rPr>
          <w:rFonts w:hint="eastAsia" w:eastAsia="仿宋_GB2312" w:cs="仿宋_GB2312"/>
          <w:sz w:val="32"/>
          <w:szCs w:val="32"/>
          <w:lang w:val="en-US" w:eastAsia="zh-CN"/>
        </w:rPr>
        <w:t>0.23万元、</w:t>
      </w:r>
      <w:r>
        <w:rPr>
          <w:rFonts w:hint="default" w:ascii="Times New Roman" w:hAnsi="Times New Roman" w:eastAsia="仿宋_GB2312" w:cs="Times New Roman"/>
          <w:color w:val="auto"/>
          <w:kern w:val="2"/>
          <w:sz w:val="32"/>
          <w:szCs w:val="32"/>
          <w:highlight w:val="none"/>
          <w:lang w:val="en-US" w:eastAsia="zh-CN" w:bidi="ar-SA"/>
        </w:rPr>
        <w:t>物业管理费</w:t>
      </w:r>
      <w:r>
        <w:rPr>
          <w:rFonts w:hint="eastAsia" w:ascii="Times New Roman" w:hAnsi="Times New Roman" w:eastAsia="仿宋_GB2312" w:cs="Times New Roman"/>
          <w:color w:val="auto"/>
          <w:kern w:val="2"/>
          <w:sz w:val="32"/>
          <w:szCs w:val="32"/>
          <w:highlight w:val="none"/>
          <w:lang w:val="en-US" w:eastAsia="zh-CN" w:bidi="ar-SA"/>
        </w:rPr>
        <w:t>0.</w:t>
      </w:r>
      <w:r>
        <w:rPr>
          <w:rFonts w:hint="eastAsia" w:eastAsia="仿宋_GB2312" w:cs="Times New Roman"/>
          <w:color w:val="auto"/>
          <w:kern w:val="2"/>
          <w:sz w:val="32"/>
          <w:szCs w:val="32"/>
          <w:highlight w:val="none"/>
          <w:lang w:val="en-US" w:eastAsia="zh-CN" w:bidi="ar-SA"/>
        </w:rPr>
        <w:t>6</w:t>
      </w:r>
      <w:r>
        <w:rPr>
          <w:rFonts w:hint="eastAsia" w:ascii="Times New Roman" w:hAnsi="Times New Roman" w:eastAsia="仿宋_GB2312" w:cs="Times New Roman"/>
          <w:color w:val="auto"/>
          <w:kern w:val="2"/>
          <w:sz w:val="32"/>
          <w:szCs w:val="32"/>
          <w:highlight w:val="none"/>
          <w:lang w:val="en-US" w:eastAsia="zh-CN" w:bidi="ar-SA"/>
        </w:rPr>
        <w:t>万元</w:t>
      </w:r>
      <w:r>
        <w:rPr>
          <w:rFonts w:hint="default" w:ascii="Times New Roman" w:hAnsi="Times New Roman" w:eastAsia="仿宋_GB2312" w:cs="Times New Roman"/>
          <w:color w:val="auto"/>
          <w:kern w:val="2"/>
          <w:sz w:val="32"/>
          <w:szCs w:val="32"/>
          <w:highlight w:val="none"/>
          <w:lang w:val="en-US" w:eastAsia="zh-CN" w:bidi="ar-SA"/>
        </w:rPr>
        <w:t>、差旅费</w:t>
      </w:r>
      <w:r>
        <w:rPr>
          <w:rFonts w:hint="eastAsia" w:eastAsia="仿宋_GB2312" w:cs="Times New Roman"/>
          <w:color w:val="auto"/>
          <w:kern w:val="2"/>
          <w:sz w:val="32"/>
          <w:szCs w:val="32"/>
          <w:highlight w:val="none"/>
          <w:lang w:val="en-US" w:eastAsia="zh-CN" w:bidi="ar-SA"/>
        </w:rPr>
        <w:t>5.3</w:t>
      </w:r>
      <w:r>
        <w:rPr>
          <w:rFonts w:hint="eastAsia" w:ascii="Times New Roman" w:hAnsi="Times New Roman" w:eastAsia="仿宋_GB2312" w:cs="Times New Roman"/>
          <w:color w:val="auto"/>
          <w:kern w:val="2"/>
          <w:sz w:val="32"/>
          <w:szCs w:val="32"/>
          <w:highlight w:val="none"/>
          <w:lang w:val="en-US" w:eastAsia="zh-CN" w:bidi="ar-SA"/>
        </w:rPr>
        <w:t>万元</w:t>
      </w:r>
      <w:r>
        <w:rPr>
          <w:rFonts w:hint="default" w:ascii="Times New Roman" w:hAnsi="Times New Roman" w:eastAsia="仿宋_GB2312" w:cs="Times New Roman"/>
          <w:color w:val="auto"/>
          <w:kern w:val="2"/>
          <w:sz w:val="32"/>
          <w:szCs w:val="32"/>
          <w:highlight w:val="none"/>
          <w:lang w:val="en-US" w:eastAsia="zh-CN" w:bidi="ar-SA"/>
        </w:rPr>
        <w:t>、培训费</w:t>
      </w:r>
      <w:r>
        <w:rPr>
          <w:rFonts w:hint="eastAsia" w:eastAsia="仿宋_GB2312" w:cs="Times New Roman"/>
          <w:color w:val="auto"/>
          <w:kern w:val="2"/>
          <w:sz w:val="32"/>
          <w:szCs w:val="32"/>
          <w:highlight w:val="none"/>
          <w:lang w:val="en-US" w:eastAsia="zh-CN" w:bidi="ar-SA"/>
        </w:rPr>
        <w:t>0.21</w:t>
      </w:r>
      <w:r>
        <w:rPr>
          <w:rFonts w:hint="eastAsia" w:ascii="Times New Roman" w:hAnsi="Times New Roman" w:eastAsia="仿宋_GB2312" w:cs="Times New Roman"/>
          <w:color w:val="auto"/>
          <w:kern w:val="2"/>
          <w:sz w:val="32"/>
          <w:szCs w:val="32"/>
          <w:highlight w:val="none"/>
          <w:lang w:val="en-US" w:eastAsia="zh-CN" w:bidi="ar-SA"/>
        </w:rPr>
        <w:t>万元</w:t>
      </w:r>
      <w:r>
        <w:rPr>
          <w:rFonts w:hint="default" w:ascii="Times New Roman" w:hAnsi="Times New Roman" w:eastAsia="仿宋_GB2312" w:cs="Times New Roman"/>
          <w:color w:val="auto"/>
          <w:kern w:val="2"/>
          <w:sz w:val="32"/>
          <w:szCs w:val="32"/>
          <w:highlight w:val="none"/>
          <w:lang w:val="en-US" w:eastAsia="zh-CN" w:bidi="ar-SA"/>
        </w:rPr>
        <w:t>、劳务费</w:t>
      </w:r>
      <w:r>
        <w:rPr>
          <w:rFonts w:hint="eastAsia" w:eastAsia="仿宋_GB2312" w:cs="Times New Roman"/>
          <w:color w:val="auto"/>
          <w:kern w:val="2"/>
          <w:sz w:val="32"/>
          <w:szCs w:val="32"/>
          <w:highlight w:val="none"/>
          <w:lang w:val="en-US" w:eastAsia="zh-CN" w:bidi="ar-SA"/>
        </w:rPr>
        <w:t>0.93</w:t>
      </w:r>
      <w:r>
        <w:rPr>
          <w:rFonts w:hint="eastAsia" w:ascii="Times New Roman" w:hAnsi="Times New Roman" w:eastAsia="仿宋_GB2312" w:cs="Times New Roman"/>
          <w:color w:val="auto"/>
          <w:kern w:val="2"/>
          <w:sz w:val="32"/>
          <w:szCs w:val="32"/>
          <w:highlight w:val="none"/>
          <w:lang w:val="en-US" w:eastAsia="zh-CN" w:bidi="ar-SA"/>
        </w:rPr>
        <w:t>万元</w:t>
      </w:r>
      <w:r>
        <w:rPr>
          <w:rFonts w:hint="default" w:ascii="Times New Roman" w:hAnsi="Times New Roman" w:eastAsia="仿宋_GB2312" w:cs="Times New Roman"/>
          <w:color w:val="auto"/>
          <w:kern w:val="2"/>
          <w:sz w:val="32"/>
          <w:szCs w:val="32"/>
          <w:highlight w:val="none"/>
          <w:lang w:val="en-US" w:eastAsia="zh-CN" w:bidi="ar-SA"/>
        </w:rPr>
        <w:t>、委托业务费</w:t>
      </w:r>
      <w:r>
        <w:rPr>
          <w:rFonts w:hint="eastAsia" w:ascii="Times New Roman" w:hAnsi="Times New Roman" w:eastAsia="仿宋_GB2312" w:cs="Times New Roman"/>
          <w:color w:val="auto"/>
          <w:kern w:val="2"/>
          <w:sz w:val="32"/>
          <w:szCs w:val="32"/>
          <w:highlight w:val="none"/>
          <w:lang w:val="en-US" w:eastAsia="zh-CN" w:bidi="ar-SA"/>
        </w:rPr>
        <w:t>0.</w:t>
      </w:r>
      <w:r>
        <w:rPr>
          <w:rFonts w:hint="eastAsia" w:eastAsia="仿宋_GB2312" w:cs="Times New Roman"/>
          <w:color w:val="auto"/>
          <w:kern w:val="2"/>
          <w:sz w:val="32"/>
          <w:szCs w:val="32"/>
          <w:highlight w:val="none"/>
          <w:lang w:val="en-US" w:eastAsia="zh-CN" w:bidi="ar-SA"/>
        </w:rPr>
        <w:t>3</w:t>
      </w:r>
      <w:r>
        <w:rPr>
          <w:rFonts w:hint="eastAsia" w:ascii="Times New Roman" w:hAnsi="Times New Roman" w:eastAsia="仿宋_GB2312" w:cs="Times New Roman"/>
          <w:color w:val="auto"/>
          <w:kern w:val="2"/>
          <w:sz w:val="32"/>
          <w:szCs w:val="32"/>
          <w:highlight w:val="none"/>
          <w:lang w:val="en-US" w:eastAsia="zh-CN" w:bidi="ar-SA"/>
        </w:rPr>
        <w:t>万元</w:t>
      </w:r>
      <w:r>
        <w:rPr>
          <w:rFonts w:hint="default" w:ascii="Times New Roman" w:hAnsi="Times New Roman" w:eastAsia="仿宋_GB2312" w:cs="Times New Roman"/>
          <w:color w:val="auto"/>
          <w:kern w:val="2"/>
          <w:sz w:val="32"/>
          <w:szCs w:val="32"/>
          <w:highlight w:val="none"/>
          <w:lang w:val="en-US" w:eastAsia="zh-CN" w:bidi="ar-SA"/>
        </w:rPr>
        <w:t>、工会经费</w:t>
      </w:r>
      <w:r>
        <w:rPr>
          <w:rFonts w:hint="eastAsia" w:eastAsia="仿宋_GB2312" w:cs="Times New Roman"/>
          <w:color w:val="auto"/>
          <w:kern w:val="2"/>
          <w:sz w:val="32"/>
          <w:szCs w:val="32"/>
          <w:highlight w:val="none"/>
          <w:lang w:val="en-US" w:eastAsia="zh-CN" w:bidi="ar-SA"/>
        </w:rPr>
        <w:t>1.77</w:t>
      </w:r>
      <w:r>
        <w:rPr>
          <w:rFonts w:hint="eastAsia" w:ascii="Times New Roman" w:hAnsi="Times New Roman" w:eastAsia="仿宋_GB2312" w:cs="Times New Roman"/>
          <w:color w:val="auto"/>
          <w:kern w:val="2"/>
          <w:sz w:val="32"/>
          <w:szCs w:val="32"/>
          <w:highlight w:val="none"/>
          <w:lang w:val="en-US" w:eastAsia="zh-CN" w:bidi="ar-SA"/>
        </w:rPr>
        <w:t>万元</w:t>
      </w:r>
      <w:r>
        <w:rPr>
          <w:rFonts w:hint="default" w:ascii="Times New Roman" w:hAnsi="Times New Roman" w:eastAsia="仿宋_GB2312" w:cs="Times New Roman"/>
          <w:color w:val="auto"/>
          <w:kern w:val="2"/>
          <w:sz w:val="32"/>
          <w:szCs w:val="32"/>
          <w:highlight w:val="none"/>
          <w:lang w:val="en-US" w:eastAsia="zh-CN" w:bidi="ar-SA"/>
        </w:rPr>
        <w:t>、福利费</w:t>
      </w:r>
      <w:r>
        <w:rPr>
          <w:rFonts w:hint="eastAsia" w:eastAsia="仿宋_GB2312" w:cs="Times New Roman"/>
          <w:color w:val="auto"/>
          <w:kern w:val="2"/>
          <w:sz w:val="32"/>
          <w:szCs w:val="32"/>
          <w:highlight w:val="none"/>
          <w:lang w:val="en-US" w:eastAsia="zh-CN" w:bidi="ar-SA"/>
        </w:rPr>
        <w:t>2.27</w:t>
      </w:r>
      <w:r>
        <w:rPr>
          <w:rFonts w:hint="eastAsia" w:ascii="Times New Roman" w:hAnsi="Times New Roman" w:eastAsia="仿宋_GB2312" w:cs="Times New Roman"/>
          <w:color w:val="auto"/>
          <w:kern w:val="2"/>
          <w:sz w:val="32"/>
          <w:szCs w:val="32"/>
          <w:highlight w:val="none"/>
          <w:lang w:val="en-US" w:eastAsia="zh-CN" w:bidi="ar-SA"/>
        </w:rPr>
        <w:t>万元</w:t>
      </w:r>
      <w:r>
        <w:rPr>
          <w:rFonts w:hint="default" w:ascii="Times New Roman" w:hAnsi="Times New Roman" w:eastAsia="仿宋_GB2312" w:cs="Times New Roman"/>
          <w:color w:val="auto"/>
          <w:kern w:val="2"/>
          <w:sz w:val="32"/>
          <w:szCs w:val="32"/>
          <w:highlight w:val="none"/>
          <w:lang w:val="en-US" w:eastAsia="zh-CN" w:bidi="ar-SA"/>
        </w:rPr>
        <w:t>、公务用车运行维护费</w:t>
      </w:r>
      <w:r>
        <w:rPr>
          <w:rFonts w:hint="eastAsia" w:eastAsia="仿宋_GB2312" w:cs="Times New Roman"/>
          <w:color w:val="auto"/>
          <w:kern w:val="2"/>
          <w:sz w:val="32"/>
          <w:szCs w:val="32"/>
          <w:highlight w:val="none"/>
          <w:lang w:val="en-US" w:eastAsia="zh-CN" w:bidi="ar-SA"/>
        </w:rPr>
        <w:t>0.71</w:t>
      </w:r>
      <w:r>
        <w:rPr>
          <w:rFonts w:hint="eastAsia" w:ascii="Times New Roman" w:hAnsi="Times New Roman" w:eastAsia="仿宋_GB2312" w:cs="Times New Roman"/>
          <w:color w:val="auto"/>
          <w:kern w:val="2"/>
          <w:sz w:val="32"/>
          <w:szCs w:val="32"/>
          <w:highlight w:val="none"/>
          <w:lang w:val="en-US" w:eastAsia="zh-CN" w:bidi="ar-SA"/>
        </w:rPr>
        <w:t>万元</w:t>
      </w:r>
      <w:r>
        <w:rPr>
          <w:rFonts w:hint="default" w:ascii="Times New Roman" w:hAnsi="Times New Roman" w:eastAsia="仿宋_GB2312" w:cs="Times New Roman"/>
          <w:color w:val="auto"/>
          <w:kern w:val="2"/>
          <w:sz w:val="32"/>
          <w:szCs w:val="32"/>
          <w:highlight w:val="none"/>
          <w:lang w:val="en-US" w:eastAsia="zh-CN" w:bidi="ar-SA"/>
        </w:rPr>
        <w:t>、其他交通费</w:t>
      </w:r>
      <w:r>
        <w:rPr>
          <w:rFonts w:hint="eastAsia" w:eastAsia="仿宋_GB2312" w:cs="Times New Roman"/>
          <w:color w:val="auto"/>
          <w:kern w:val="2"/>
          <w:sz w:val="32"/>
          <w:szCs w:val="32"/>
          <w:highlight w:val="none"/>
          <w:lang w:val="en-US" w:eastAsia="zh-CN" w:bidi="ar-SA"/>
        </w:rPr>
        <w:t>2</w:t>
      </w:r>
      <w:r>
        <w:rPr>
          <w:rFonts w:hint="eastAsia" w:ascii="Times New Roman" w:hAnsi="Times New Roman" w:eastAsia="仿宋_GB2312" w:cs="Times New Roman"/>
          <w:color w:val="auto"/>
          <w:kern w:val="2"/>
          <w:sz w:val="32"/>
          <w:szCs w:val="32"/>
          <w:highlight w:val="none"/>
          <w:lang w:val="en-US" w:eastAsia="zh-CN" w:bidi="ar-SA"/>
        </w:rPr>
        <w:t>万元</w:t>
      </w:r>
      <w:r>
        <w:rPr>
          <w:rFonts w:hint="default" w:ascii="Times New Roman" w:hAnsi="Times New Roman" w:eastAsia="仿宋_GB2312" w:cs="Times New Roman"/>
          <w:color w:val="auto"/>
          <w:kern w:val="2"/>
          <w:sz w:val="32"/>
          <w:szCs w:val="32"/>
          <w:highlight w:val="none"/>
          <w:lang w:val="en-US" w:eastAsia="zh-CN" w:bidi="ar-SA"/>
        </w:rPr>
        <w:t>、其他商品和服务支出</w:t>
      </w:r>
      <w:r>
        <w:rPr>
          <w:rFonts w:hint="eastAsia" w:eastAsia="仿宋_GB2312" w:cs="Times New Roman"/>
          <w:color w:val="auto"/>
          <w:kern w:val="2"/>
          <w:sz w:val="32"/>
          <w:szCs w:val="32"/>
          <w:highlight w:val="none"/>
          <w:lang w:val="en-US" w:eastAsia="zh-CN" w:bidi="ar-SA"/>
        </w:rPr>
        <w:t>4.32</w:t>
      </w:r>
      <w:r>
        <w:rPr>
          <w:rFonts w:hint="eastAsia" w:ascii="Times New Roman" w:hAnsi="Times New Roman" w:eastAsia="仿宋_GB2312" w:cs="Times New Roman"/>
          <w:color w:val="auto"/>
          <w:kern w:val="2"/>
          <w:sz w:val="32"/>
          <w:szCs w:val="32"/>
          <w:highlight w:val="none"/>
          <w:lang w:val="en-US" w:eastAsia="zh-CN" w:bidi="ar-SA"/>
        </w:rPr>
        <w:t>万元</w:t>
      </w:r>
      <w:r>
        <w:rPr>
          <w:rFonts w:hint="default" w:ascii="Times New Roman" w:hAnsi="Times New Roman" w:eastAsia="仿宋_GB2312" w:cs="Times New Roman"/>
          <w:color w:val="auto"/>
          <w:kern w:val="2"/>
          <w:sz w:val="32"/>
          <w:szCs w:val="32"/>
          <w:highlight w:val="none"/>
          <w:lang w:val="en-US" w:eastAsia="zh-CN" w:bidi="ar-SA"/>
        </w:rPr>
        <w:t>等。</w:t>
      </w:r>
    </w:p>
    <w:p w14:paraId="3293C773">
      <w:pPr>
        <w:spacing w:line="600" w:lineRule="exact"/>
        <w:ind w:firstLine="640"/>
        <w:outlineLvl w:val="1"/>
        <w:rPr>
          <w:rStyle w:val="30"/>
          <w:rFonts w:ascii="Times New Roman" w:hAnsi="Times New Roman" w:eastAsia="黑体"/>
          <w:b w:val="0"/>
        </w:rPr>
      </w:pPr>
      <w:bookmarkStart w:id="54" w:name="_Toc15377215"/>
      <w:bookmarkStart w:id="55" w:name="_Toc1367491110"/>
      <w:bookmarkStart w:id="56" w:name="_Toc15396609"/>
      <w:r>
        <w:rPr>
          <w:rFonts w:hint="eastAsia" w:eastAsia="黑体"/>
          <w:sz w:val="32"/>
          <w:szCs w:val="32"/>
        </w:rPr>
        <w:t>七、</w:t>
      </w:r>
      <w:r>
        <w:rPr>
          <w:rStyle w:val="30"/>
          <w:rFonts w:hint="eastAsia" w:ascii="Times New Roman" w:hAnsi="Times New Roman" w:eastAsia="黑体"/>
          <w:b w:val="0"/>
        </w:rPr>
        <w:t>财政拨款</w:t>
      </w:r>
      <w:r>
        <w:rPr>
          <w:rStyle w:val="30"/>
          <w:rFonts w:hint="eastAsia" w:ascii="Times New Roman" w:hAnsi="Times New Roman" w:eastAsia="黑体"/>
        </w:rPr>
        <w:t>“</w:t>
      </w:r>
      <w:r>
        <w:rPr>
          <w:rStyle w:val="30"/>
          <w:rFonts w:hint="eastAsia" w:ascii="Times New Roman" w:hAnsi="Times New Roman" w:eastAsia="黑体"/>
          <w:b w:val="0"/>
        </w:rPr>
        <w:t>三公”经费支出决算情况说明</w:t>
      </w:r>
      <w:bookmarkEnd w:id="54"/>
      <w:bookmarkEnd w:id="55"/>
      <w:bookmarkEnd w:id="56"/>
    </w:p>
    <w:p w14:paraId="1AD165CE">
      <w:pPr>
        <w:spacing w:line="600" w:lineRule="exact"/>
        <w:ind w:firstLine="643" w:firstLineChars="200"/>
        <w:outlineLvl w:val="2"/>
        <w:rPr>
          <w:rFonts w:eastAsia="楷体_GB2312" w:cs="楷体_GB2312"/>
          <w:b/>
          <w:sz w:val="32"/>
          <w:szCs w:val="32"/>
        </w:rPr>
      </w:pPr>
      <w:bookmarkStart w:id="57" w:name="_Toc1035593281"/>
      <w:bookmarkStart w:id="58" w:name="_Toc15377216"/>
      <w:r>
        <w:rPr>
          <w:rFonts w:hint="eastAsia" w:eastAsia="楷体_GB2312" w:cs="楷体_GB2312"/>
          <w:b/>
          <w:sz w:val="32"/>
          <w:szCs w:val="32"/>
        </w:rPr>
        <w:t>（一）财政拨款“三公”经费支出决算总体情况说明</w:t>
      </w:r>
      <w:bookmarkEnd w:id="57"/>
      <w:bookmarkEnd w:id="58"/>
    </w:p>
    <w:p w14:paraId="641B553F">
      <w:pPr>
        <w:snapToGrid w:val="0"/>
        <w:spacing w:line="520" w:lineRule="exact"/>
        <w:ind w:firstLine="640" w:firstLineChars="200"/>
        <w:rPr>
          <w:rFonts w:hint="default" w:ascii="Times New Roman" w:hAnsi="Times New Roman" w:eastAsia="仿宋_GB2312" w:cs="Times New Roman"/>
          <w:sz w:val="32"/>
          <w:szCs w:val="32"/>
          <w:highlight w:val="none"/>
        </w:rPr>
      </w:pPr>
      <w:r>
        <w:rPr>
          <w:rFonts w:hint="eastAsia" w:eastAsia="仿宋_GB2312" w:cs="仿宋_GB2312"/>
          <w:sz w:val="32"/>
          <w:szCs w:val="32"/>
        </w:rPr>
        <w:t>2025年度财政拨款“三公”经费支出决算为</w:t>
      </w:r>
      <w:r>
        <w:rPr>
          <w:rFonts w:hint="eastAsia" w:eastAsia="仿宋_GB2312" w:cs="仿宋_GB2312"/>
          <w:sz w:val="32"/>
          <w:szCs w:val="32"/>
          <w:lang w:val="en-US" w:eastAsia="zh-CN"/>
        </w:rPr>
        <w:t>0.71</w:t>
      </w:r>
      <w:r>
        <w:rPr>
          <w:rFonts w:hint="eastAsia" w:eastAsia="仿宋_GB2312" w:cs="仿宋_GB2312"/>
          <w:sz w:val="32"/>
          <w:szCs w:val="32"/>
        </w:rPr>
        <w:t>万元，完成预算</w:t>
      </w:r>
      <w:r>
        <w:rPr>
          <w:rFonts w:hint="eastAsia" w:eastAsia="仿宋_GB2312" w:cs="仿宋_GB2312"/>
          <w:sz w:val="32"/>
          <w:szCs w:val="32"/>
          <w:lang w:val="en-US" w:eastAsia="zh-CN"/>
        </w:rPr>
        <w:t>62.83</w:t>
      </w:r>
      <w:r>
        <w:rPr>
          <w:rFonts w:hint="eastAsia" w:eastAsia="仿宋_GB2312" w:cs="仿宋_GB2312"/>
          <w:sz w:val="32"/>
          <w:szCs w:val="32"/>
        </w:rPr>
        <w:t>%，较上年度减少</w:t>
      </w:r>
      <w:r>
        <w:rPr>
          <w:rFonts w:hint="eastAsia" w:eastAsia="仿宋_GB2312" w:cs="仿宋_GB2312"/>
          <w:sz w:val="32"/>
          <w:szCs w:val="32"/>
          <w:lang w:val="en-US" w:eastAsia="zh-CN"/>
        </w:rPr>
        <w:t>0.43</w:t>
      </w:r>
      <w:r>
        <w:rPr>
          <w:rFonts w:hint="eastAsia" w:eastAsia="仿宋_GB2312" w:cs="仿宋_GB2312"/>
          <w:sz w:val="32"/>
          <w:szCs w:val="32"/>
        </w:rPr>
        <w:t>万元，下降</w:t>
      </w:r>
      <w:r>
        <w:rPr>
          <w:rFonts w:hint="eastAsia" w:eastAsia="仿宋_GB2312" w:cs="仿宋_GB2312"/>
          <w:sz w:val="32"/>
          <w:szCs w:val="32"/>
          <w:lang w:val="en-US" w:eastAsia="zh-CN"/>
        </w:rPr>
        <w:t>37.8</w:t>
      </w:r>
      <w:r>
        <w:rPr>
          <w:rFonts w:hint="eastAsia" w:eastAsia="仿宋_GB2312" w:cs="仿宋_GB2312"/>
          <w:sz w:val="32"/>
          <w:szCs w:val="32"/>
        </w:rPr>
        <w:t>%。决算数小于预算数的主要原因是</w:t>
      </w:r>
      <w:r>
        <w:rPr>
          <w:rFonts w:hint="eastAsia" w:eastAsia="仿宋_GB2312"/>
          <w:color w:val="000000"/>
          <w:sz w:val="32"/>
          <w:szCs w:val="32"/>
          <w:lang w:val="en-US" w:eastAsia="zh-CN"/>
        </w:rPr>
        <w:t>未产生车辆维修维护费用</w:t>
      </w:r>
      <w:r>
        <w:rPr>
          <w:rFonts w:hint="default" w:ascii="Times New Roman" w:hAnsi="Times New Roman" w:eastAsia="仿宋_GB2312" w:cs="Times New Roman"/>
          <w:sz w:val="32"/>
          <w:szCs w:val="32"/>
          <w:highlight w:val="none"/>
        </w:rPr>
        <w:t>。</w:t>
      </w:r>
    </w:p>
    <w:p w14:paraId="3E7FA591">
      <w:pPr>
        <w:spacing w:line="600" w:lineRule="exact"/>
        <w:ind w:firstLine="643" w:firstLineChars="200"/>
        <w:outlineLvl w:val="2"/>
        <w:rPr>
          <w:rFonts w:eastAsia="楷体_GB2312" w:cs="楷体_GB2312"/>
          <w:b/>
          <w:sz w:val="32"/>
          <w:szCs w:val="32"/>
        </w:rPr>
      </w:pPr>
      <w:bookmarkStart w:id="59" w:name="_Toc882667650"/>
      <w:bookmarkStart w:id="60" w:name="_Toc15377217"/>
      <w:r>
        <w:rPr>
          <w:rFonts w:hint="eastAsia" w:eastAsia="楷体_GB2312" w:cs="楷体_GB2312"/>
          <w:b/>
          <w:sz w:val="32"/>
          <w:szCs w:val="32"/>
        </w:rPr>
        <w:t>（二）财政拨款“三公”经费支出决算具体情况说明</w:t>
      </w:r>
      <w:bookmarkEnd w:id="59"/>
      <w:bookmarkEnd w:id="60"/>
    </w:p>
    <w:p w14:paraId="5657EBF9">
      <w:pPr>
        <w:spacing w:line="600" w:lineRule="exact"/>
        <w:ind w:firstLine="640"/>
        <w:rPr>
          <w:rFonts w:eastAsia="仿宋_GB2312" w:cs="仿宋_GB2312"/>
          <w:sz w:val="32"/>
          <w:szCs w:val="32"/>
        </w:rPr>
      </w:pPr>
      <w:r>
        <w:rPr>
          <w:rFonts w:hint="eastAsia" w:eastAsia="仿宋_GB2312" w:cs="仿宋_GB2312"/>
          <w:sz w:val="32"/>
          <w:szCs w:val="32"/>
        </w:rPr>
        <w:t>2025年度财政拨款“三公”经费支出决算中，因公出国（境）费支出决算</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%；公务用车购置及运行维护费支出决算</w:t>
      </w:r>
      <w:r>
        <w:rPr>
          <w:rFonts w:hint="eastAsia" w:eastAsia="仿宋_GB2312" w:cs="仿宋_GB2312"/>
          <w:sz w:val="32"/>
          <w:szCs w:val="32"/>
          <w:lang w:val="en-US" w:eastAsia="zh-CN"/>
        </w:rPr>
        <w:t>0.71</w:t>
      </w:r>
      <w:r>
        <w:rPr>
          <w:rFonts w:hint="eastAsia" w:eastAsia="仿宋_GB2312" w:cs="仿宋_GB2312"/>
          <w:sz w:val="32"/>
          <w:szCs w:val="32"/>
        </w:rPr>
        <w:t>万元，占</w:t>
      </w:r>
      <w:r>
        <w:rPr>
          <w:rFonts w:hint="eastAsia" w:eastAsia="仿宋_GB2312" w:cs="仿宋_GB2312"/>
          <w:sz w:val="32"/>
          <w:szCs w:val="32"/>
          <w:lang w:val="en-US" w:eastAsia="zh-CN"/>
        </w:rPr>
        <w:t>100</w:t>
      </w:r>
      <w:r>
        <w:rPr>
          <w:rFonts w:hint="eastAsia" w:eastAsia="仿宋_GB2312" w:cs="仿宋_GB2312"/>
          <w:sz w:val="32"/>
          <w:szCs w:val="32"/>
        </w:rPr>
        <w:t>%；公务接待费支出决算</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%。具体情况如下：</w:t>
      </w:r>
    </w:p>
    <w:p w14:paraId="05770678">
      <w:pPr>
        <w:spacing w:line="600" w:lineRule="exact"/>
        <w:ind w:firstLine="640"/>
        <w:rPr>
          <w:rFonts w:hint="eastAsia" w:eastAsia="仿宋_GB2312" w:cs="仿宋_GB2312"/>
          <w:sz w:val="32"/>
          <w:szCs w:val="32"/>
        </w:rPr>
      </w:pPr>
      <w:r>
        <w:drawing>
          <wp:anchor distT="0" distB="0" distL="114300" distR="114300" simplePos="0" relativeHeight="251665408" behindDoc="0" locked="0" layoutInCell="1" allowOverlap="1">
            <wp:simplePos x="0" y="0"/>
            <wp:positionH relativeFrom="column">
              <wp:posOffset>173990</wp:posOffset>
            </wp:positionH>
            <wp:positionV relativeFrom="page">
              <wp:posOffset>2322195</wp:posOffset>
            </wp:positionV>
            <wp:extent cx="4572000" cy="2743200"/>
            <wp:effectExtent l="4445" t="4445" r="14605" b="14605"/>
            <wp:wrapTopAndBottom/>
            <wp:docPr id="3"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0758B50A">
      <w:pPr>
        <w:spacing w:line="600" w:lineRule="exact"/>
        <w:ind w:firstLine="640"/>
        <w:rPr>
          <w:rFonts w:eastAsia="仿宋_GB2312" w:cs="仿宋_GB2312"/>
          <w:sz w:val="32"/>
          <w:szCs w:val="32"/>
        </w:rPr>
      </w:pPr>
      <w:r>
        <w:rPr>
          <w:rFonts w:hint="eastAsia" w:eastAsia="仿宋_GB2312" w:cs="仿宋_GB2312"/>
          <w:sz w:val="32"/>
          <w:szCs w:val="32"/>
        </w:rPr>
        <w:t>（图7：财政拨款“三公”经费支出结构）</w:t>
      </w:r>
    </w:p>
    <w:p w14:paraId="3A31E486">
      <w:pPr>
        <w:spacing w:line="600" w:lineRule="exact"/>
        <w:ind w:firstLine="640"/>
        <w:rPr>
          <w:rFonts w:hint="eastAsia" w:eastAsia="仿宋_GB2312" w:cs="仿宋_GB2312"/>
          <w:sz w:val="32"/>
          <w:szCs w:val="32"/>
        </w:rPr>
      </w:pPr>
      <w:r>
        <w:rPr>
          <w:rFonts w:hint="eastAsia" w:eastAsia="仿宋_GB2312" w:cs="仿宋_GB2312"/>
          <w:b/>
          <w:bCs/>
          <w:sz w:val="32"/>
          <w:szCs w:val="32"/>
        </w:rPr>
        <w:t>1.因公出国（境）经费支出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eastAsia="仿宋_GB2312" w:cs="仿宋_GB2312"/>
          <w:sz w:val="32"/>
          <w:szCs w:val="32"/>
        </w:rPr>
        <w:t>全年安排因公出国（境）团组</w:t>
      </w:r>
      <w:r>
        <w:rPr>
          <w:rFonts w:hint="eastAsia" w:eastAsia="仿宋_GB2312" w:cs="仿宋_GB2312"/>
          <w:sz w:val="32"/>
          <w:szCs w:val="32"/>
          <w:lang w:val="en-US" w:eastAsia="zh-CN"/>
        </w:rPr>
        <w:t>0</w:t>
      </w:r>
      <w:r>
        <w:rPr>
          <w:rFonts w:hint="eastAsia" w:eastAsia="仿宋_GB2312" w:cs="仿宋_GB2312"/>
          <w:sz w:val="32"/>
          <w:szCs w:val="32"/>
        </w:rPr>
        <w:t>次，出国（境）</w:t>
      </w:r>
      <w:r>
        <w:rPr>
          <w:rFonts w:hint="eastAsia" w:eastAsia="仿宋_GB2312" w:cs="仿宋_GB2312"/>
          <w:sz w:val="32"/>
          <w:szCs w:val="32"/>
          <w:lang w:val="en-US" w:eastAsia="zh-CN"/>
        </w:rPr>
        <w:t>0</w:t>
      </w:r>
      <w:r>
        <w:rPr>
          <w:rFonts w:hint="eastAsia" w:eastAsia="仿宋_GB2312" w:cs="仿宋_GB2312"/>
          <w:sz w:val="32"/>
          <w:szCs w:val="32"/>
        </w:rPr>
        <w:t>人。因公出国（境）支出决算比上年度增加/减少</w:t>
      </w:r>
      <w:r>
        <w:rPr>
          <w:rFonts w:hint="eastAsia" w:eastAsia="仿宋_GB2312" w:cs="仿宋_GB2312"/>
          <w:sz w:val="32"/>
          <w:szCs w:val="32"/>
          <w:lang w:val="en-US" w:eastAsia="zh-CN"/>
        </w:rPr>
        <w:t>0</w:t>
      </w:r>
      <w:r>
        <w:rPr>
          <w:rFonts w:hint="eastAsia" w:eastAsia="仿宋_GB2312" w:cs="仿宋_GB2312"/>
          <w:sz w:val="32"/>
          <w:szCs w:val="32"/>
        </w:rPr>
        <w:t>万元，增长/下降</w:t>
      </w:r>
      <w:r>
        <w:rPr>
          <w:rFonts w:hint="eastAsia" w:eastAsia="仿宋_GB2312" w:cs="仿宋_GB2312"/>
          <w:sz w:val="32"/>
          <w:szCs w:val="32"/>
          <w:lang w:val="en-US" w:eastAsia="zh-CN"/>
        </w:rPr>
        <w:t>0</w:t>
      </w:r>
      <w:r>
        <w:rPr>
          <w:rFonts w:hint="eastAsia" w:eastAsia="仿宋_GB2312" w:cs="仿宋_GB2312"/>
          <w:sz w:val="32"/>
          <w:szCs w:val="32"/>
        </w:rPr>
        <w:t>%。</w:t>
      </w:r>
    </w:p>
    <w:p w14:paraId="53F41632">
      <w:pPr>
        <w:snapToGrid w:val="0"/>
        <w:spacing w:line="520" w:lineRule="exact"/>
        <w:ind w:firstLine="643" w:firstLineChars="200"/>
        <w:rPr>
          <w:rFonts w:hint="default" w:ascii="Times New Roman" w:hAnsi="Times New Roman" w:eastAsia="仿宋_GB2312" w:cs="Times New Roman"/>
          <w:sz w:val="32"/>
          <w:szCs w:val="32"/>
          <w:highlight w:val="none"/>
        </w:rPr>
      </w:pPr>
      <w:r>
        <w:rPr>
          <w:rFonts w:hint="eastAsia" w:eastAsia="仿宋_GB2312" w:cs="仿宋_GB2312"/>
          <w:b/>
          <w:bCs/>
          <w:sz w:val="32"/>
          <w:szCs w:val="32"/>
        </w:rPr>
        <w:t>2.公务用车购置及运行维护费支出</w:t>
      </w:r>
      <w:r>
        <w:rPr>
          <w:rFonts w:hint="eastAsia" w:eastAsia="仿宋_GB2312" w:cs="仿宋_GB2312"/>
          <w:b/>
          <w:bCs/>
          <w:sz w:val="32"/>
          <w:szCs w:val="32"/>
          <w:lang w:val="en-US" w:eastAsia="zh-CN"/>
        </w:rPr>
        <w:t>0.71</w:t>
      </w:r>
      <w:r>
        <w:rPr>
          <w:rFonts w:hint="eastAsia" w:eastAsia="仿宋_GB2312" w:cs="仿宋_GB2312"/>
          <w:b/>
          <w:bCs/>
          <w:sz w:val="32"/>
          <w:szCs w:val="32"/>
        </w:rPr>
        <w:t>万元，完成预算</w:t>
      </w:r>
      <w:r>
        <w:rPr>
          <w:rFonts w:hint="eastAsia" w:eastAsia="仿宋_GB2312" w:cs="仿宋_GB2312"/>
          <w:sz w:val="32"/>
          <w:szCs w:val="32"/>
          <w:lang w:val="en-US" w:eastAsia="zh-CN"/>
        </w:rPr>
        <w:t>62.83</w:t>
      </w:r>
      <w:r>
        <w:rPr>
          <w:rFonts w:hint="eastAsia" w:eastAsia="仿宋_GB2312" w:cs="仿宋_GB2312"/>
          <w:sz w:val="32"/>
          <w:szCs w:val="32"/>
        </w:rPr>
        <w:t>%</w:t>
      </w:r>
      <w:r>
        <w:rPr>
          <w:rFonts w:hint="eastAsia" w:eastAsia="仿宋_GB2312" w:cs="仿宋_GB2312"/>
          <w:b/>
          <w:bCs/>
          <w:sz w:val="32"/>
          <w:szCs w:val="32"/>
        </w:rPr>
        <w:t>。</w:t>
      </w:r>
      <w:r>
        <w:rPr>
          <w:rFonts w:hint="eastAsia" w:eastAsia="仿宋_GB2312" w:cs="仿宋_GB2312"/>
          <w:sz w:val="32"/>
          <w:szCs w:val="32"/>
        </w:rPr>
        <w:t>公务用车购置及运行维护费支出决算比上年度减少</w:t>
      </w:r>
      <w:r>
        <w:rPr>
          <w:rFonts w:hint="eastAsia" w:eastAsia="仿宋_GB2312" w:cs="仿宋_GB2312"/>
          <w:sz w:val="32"/>
          <w:szCs w:val="32"/>
          <w:lang w:val="en-US" w:eastAsia="zh-CN"/>
        </w:rPr>
        <w:t>0.42</w:t>
      </w:r>
      <w:r>
        <w:rPr>
          <w:rFonts w:hint="eastAsia" w:eastAsia="仿宋_GB2312" w:cs="仿宋_GB2312"/>
          <w:sz w:val="32"/>
          <w:szCs w:val="32"/>
        </w:rPr>
        <w:t>万元，下降</w:t>
      </w:r>
      <w:r>
        <w:rPr>
          <w:rFonts w:hint="eastAsia" w:eastAsia="仿宋_GB2312" w:cs="仿宋_GB2312"/>
          <w:sz w:val="32"/>
          <w:szCs w:val="32"/>
          <w:lang w:val="en-US" w:eastAsia="zh-CN"/>
        </w:rPr>
        <w:t>37.8</w:t>
      </w:r>
      <w:r>
        <w:rPr>
          <w:rFonts w:hint="eastAsia" w:eastAsia="仿宋_GB2312" w:cs="仿宋_GB2312"/>
          <w:sz w:val="32"/>
          <w:szCs w:val="32"/>
        </w:rPr>
        <w:t>%。</w:t>
      </w:r>
      <w:r>
        <w:rPr>
          <w:rFonts w:hint="eastAsia" w:eastAsia="仿宋_GB2312" w:cs="仿宋_GB2312"/>
          <w:sz w:val="32"/>
          <w:szCs w:val="32"/>
          <w:lang w:eastAsia="zh-CN"/>
        </w:rPr>
        <w:t>主要原因是</w:t>
      </w:r>
      <w:r>
        <w:rPr>
          <w:rFonts w:hint="eastAsia" w:eastAsia="仿宋_GB2312"/>
          <w:color w:val="000000"/>
          <w:sz w:val="32"/>
          <w:szCs w:val="32"/>
          <w:lang w:val="en-US" w:eastAsia="zh-CN"/>
        </w:rPr>
        <w:t>未产生车辆维修维护费用</w:t>
      </w:r>
      <w:r>
        <w:rPr>
          <w:rFonts w:hint="default" w:ascii="Times New Roman" w:hAnsi="Times New Roman" w:eastAsia="仿宋_GB2312" w:cs="Times New Roman"/>
          <w:sz w:val="32"/>
          <w:szCs w:val="32"/>
          <w:highlight w:val="none"/>
        </w:rPr>
        <w:t>。</w:t>
      </w:r>
    </w:p>
    <w:p w14:paraId="4418CE4B">
      <w:pPr>
        <w:spacing w:line="600" w:lineRule="exact"/>
        <w:ind w:firstLine="640"/>
        <w:rPr>
          <w:rFonts w:eastAsia="仿宋_GB2312" w:cs="仿宋_GB2312"/>
          <w:sz w:val="32"/>
          <w:szCs w:val="32"/>
        </w:rPr>
      </w:pPr>
      <w:r>
        <w:rPr>
          <w:rFonts w:hint="eastAsia" w:eastAsia="仿宋_GB2312" w:cs="仿宋_GB2312"/>
          <w:sz w:val="32"/>
          <w:szCs w:val="32"/>
        </w:rPr>
        <w:t>其中：公务用车购置支出</w:t>
      </w:r>
      <w:r>
        <w:rPr>
          <w:rFonts w:hint="eastAsia" w:eastAsia="仿宋_GB2312" w:cs="仿宋_GB2312"/>
          <w:sz w:val="32"/>
          <w:szCs w:val="32"/>
          <w:lang w:val="en-US" w:eastAsia="zh-CN"/>
        </w:rPr>
        <w:t>0</w:t>
      </w:r>
      <w:r>
        <w:rPr>
          <w:rFonts w:hint="eastAsia" w:eastAsia="仿宋_GB2312" w:cs="仿宋_GB2312"/>
          <w:sz w:val="32"/>
          <w:szCs w:val="32"/>
        </w:rPr>
        <w:t>万元。全年按规定更新购置公务用车</w:t>
      </w:r>
      <w:r>
        <w:rPr>
          <w:rFonts w:hint="eastAsia" w:eastAsia="仿宋_GB2312" w:cs="仿宋_GB2312"/>
          <w:sz w:val="32"/>
          <w:szCs w:val="32"/>
          <w:lang w:val="en-US" w:eastAsia="zh-CN"/>
        </w:rPr>
        <w:t>0</w:t>
      </w:r>
      <w:r>
        <w:rPr>
          <w:rFonts w:hint="eastAsia" w:eastAsia="仿宋_GB2312" w:cs="仿宋_GB2312"/>
          <w:sz w:val="32"/>
          <w:szCs w:val="32"/>
        </w:rPr>
        <w:t>辆，其中：轿车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万元，越野车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万元，载客汽车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万元。截至2025年12月31日，单位共有公务用车</w:t>
      </w:r>
      <w:r>
        <w:rPr>
          <w:rFonts w:hint="eastAsia" w:eastAsia="仿宋_GB2312" w:cs="仿宋_GB2312"/>
          <w:sz w:val="32"/>
          <w:szCs w:val="32"/>
          <w:lang w:val="en-US" w:eastAsia="zh-CN"/>
        </w:rPr>
        <w:t>1</w:t>
      </w:r>
      <w:r>
        <w:rPr>
          <w:rFonts w:hint="eastAsia" w:eastAsia="仿宋_GB2312" w:cs="仿宋_GB2312"/>
          <w:sz w:val="32"/>
          <w:szCs w:val="32"/>
        </w:rPr>
        <w:t>辆，其中：轿车</w:t>
      </w:r>
      <w:r>
        <w:rPr>
          <w:rFonts w:hint="eastAsia" w:eastAsia="仿宋_GB2312" w:cs="仿宋_GB2312"/>
          <w:sz w:val="32"/>
          <w:szCs w:val="32"/>
          <w:lang w:val="en-US" w:eastAsia="zh-CN"/>
        </w:rPr>
        <w:t>1</w:t>
      </w:r>
      <w:r>
        <w:rPr>
          <w:rFonts w:hint="eastAsia" w:eastAsia="仿宋_GB2312" w:cs="仿宋_GB2312"/>
          <w:sz w:val="32"/>
          <w:szCs w:val="32"/>
        </w:rPr>
        <w:t>辆、越野车</w:t>
      </w:r>
      <w:r>
        <w:rPr>
          <w:rFonts w:hint="eastAsia" w:eastAsia="仿宋_GB2312" w:cs="仿宋_GB2312"/>
          <w:sz w:val="32"/>
          <w:szCs w:val="32"/>
          <w:lang w:val="en-US" w:eastAsia="zh-CN"/>
        </w:rPr>
        <w:t>0</w:t>
      </w:r>
      <w:r>
        <w:rPr>
          <w:rFonts w:hint="eastAsia" w:eastAsia="仿宋_GB2312" w:cs="仿宋_GB2312"/>
          <w:sz w:val="32"/>
          <w:szCs w:val="32"/>
        </w:rPr>
        <w:t>辆、载客汽车</w:t>
      </w:r>
      <w:r>
        <w:rPr>
          <w:rFonts w:hint="eastAsia" w:eastAsia="仿宋_GB2312" w:cs="仿宋_GB2312"/>
          <w:sz w:val="32"/>
          <w:szCs w:val="32"/>
          <w:lang w:val="en-US" w:eastAsia="zh-CN"/>
        </w:rPr>
        <w:t>0</w:t>
      </w:r>
      <w:r>
        <w:rPr>
          <w:rFonts w:hint="eastAsia" w:eastAsia="仿宋_GB2312" w:cs="仿宋_GB2312"/>
          <w:sz w:val="32"/>
          <w:szCs w:val="32"/>
        </w:rPr>
        <w:t>辆。</w:t>
      </w:r>
    </w:p>
    <w:p w14:paraId="14E2C6BC">
      <w:pPr>
        <w:spacing w:line="600" w:lineRule="exact"/>
        <w:ind w:firstLine="640"/>
        <w:rPr>
          <w:rFonts w:eastAsia="仿宋_GB2312" w:cs="仿宋_GB2312"/>
          <w:sz w:val="32"/>
          <w:szCs w:val="32"/>
        </w:rPr>
      </w:pPr>
      <w:r>
        <w:rPr>
          <w:rFonts w:hint="eastAsia" w:eastAsia="仿宋_GB2312" w:cs="仿宋_GB2312"/>
          <w:sz w:val="32"/>
          <w:szCs w:val="32"/>
        </w:rPr>
        <w:t>公务用车运行维护费支出</w:t>
      </w:r>
      <w:r>
        <w:rPr>
          <w:rFonts w:hint="eastAsia" w:eastAsia="仿宋_GB2312" w:cs="仿宋_GB2312"/>
          <w:sz w:val="32"/>
          <w:szCs w:val="32"/>
          <w:lang w:val="en-US" w:eastAsia="zh-CN"/>
        </w:rPr>
        <w:t>0.71</w:t>
      </w:r>
      <w:r>
        <w:rPr>
          <w:rFonts w:hint="eastAsia" w:eastAsia="仿宋_GB2312" w:cs="仿宋_GB2312"/>
          <w:sz w:val="32"/>
          <w:szCs w:val="32"/>
        </w:rPr>
        <w:t>万元。主要用于</w:t>
      </w:r>
      <w:r>
        <w:rPr>
          <w:rFonts w:hint="eastAsia" w:eastAsia="仿宋_GB2312" w:cs="仿宋_GB2312"/>
          <w:sz w:val="32"/>
          <w:szCs w:val="32"/>
          <w:lang w:eastAsia="zh-CN"/>
        </w:rPr>
        <w:t>文化旅游产业发展相关工作</w:t>
      </w:r>
      <w:r>
        <w:rPr>
          <w:rFonts w:hint="eastAsia" w:eastAsia="仿宋_GB2312" w:cs="仿宋_GB2312"/>
          <w:sz w:val="32"/>
          <w:szCs w:val="32"/>
        </w:rPr>
        <w:t>所需的公务用车燃料费、维修费、过路过桥费、保险费等支出。</w:t>
      </w:r>
    </w:p>
    <w:p w14:paraId="244E1C7B">
      <w:pPr>
        <w:numPr>
          <w:ilvl w:val="0"/>
          <w:numId w:val="1"/>
        </w:numPr>
        <w:spacing w:line="600" w:lineRule="exact"/>
        <w:ind w:firstLine="640"/>
        <w:rPr>
          <w:rFonts w:hint="eastAsia" w:eastAsia="仿宋_GB2312" w:cs="仿宋_GB2312"/>
          <w:sz w:val="32"/>
          <w:szCs w:val="32"/>
          <w:lang w:eastAsia="zh-CN"/>
        </w:rPr>
      </w:pPr>
      <w:r>
        <w:rPr>
          <w:rFonts w:hint="eastAsia" w:eastAsia="仿宋_GB2312" w:cs="仿宋_GB2312"/>
          <w:b/>
          <w:bCs/>
          <w:sz w:val="32"/>
          <w:szCs w:val="32"/>
        </w:rPr>
        <w:t>公务接待费支出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eastAsia="仿宋_GB2312" w:cs="仿宋_GB2312"/>
          <w:sz w:val="32"/>
          <w:szCs w:val="32"/>
        </w:rPr>
        <w:t>公务接待费支出决算比上年度增加/减少</w:t>
      </w:r>
      <w:r>
        <w:rPr>
          <w:rFonts w:hint="eastAsia" w:eastAsia="仿宋_GB2312" w:cs="仿宋_GB2312"/>
          <w:sz w:val="32"/>
          <w:szCs w:val="32"/>
          <w:lang w:val="en-US" w:eastAsia="zh-CN"/>
        </w:rPr>
        <w:t>0</w:t>
      </w:r>
      <w:r>
        <w:rPr>
          <w:rFonts w:hint="eastAsia" w:eastAsia="仿宋_GB2312" w:cs="仿宋_GB2312"/>
          <w:sz w:val="32"/>
          <w:szCs w:val="32"/>
        </w:rPr>
        <w:t>万元，增长/下降</w:t>
      </w:r>
      <w:r>
        <w:rPr>
          <w:rFonts w:hint="eastAsia" w:eastAsia="仿宋_GB2312" w:cs="仿宋_GB2312"/>
          <w:sz w:val="32"/>
          <w:szCs w:val="32"/>
          <w:lang w:val="en-US" w:eastAsia="zh-CN"/>
        </w:rPr>
        <w:t>0</w:t>
      </w:r>
      <w:r>
        <w:rPr>
          <w:rFonts w:hint="eastAsia" w:eastAsia="仿宋_GB2312" w:cs="仿宋_GB2312"/>
          <w:sz w:val="32"/>
          <w:szCs w:val="32"/>
        </w:rPr>
        <w:t>%。主要原因</w:t>
      </w:r>
      <w:r>
        <w:rPr>
          <w:rFonts w:hint="eastAsia" w:eastAsia="仿宋_GB2312" w:cs="仿宋_GB2312"/>
          <w:sz w:val="32"/>
          <w:szCs w:val="32"/>
          <w:lang w:eastAsia="zh-CN"/>
        </w:rPr>
        <w:t>。</w:t>
      </w:r>
    </w:p>
    <w:p w14:paraId="3ADE174E">
      <w:pPr>
        <w:numPr>
          <w:ilvl w:val="0"/>
          <w:numId w:val="1"/>
        </w:numPr>
        <w:spacing w:line="600" w:lineRule="exact"/>
        <w:ind w:firstLine="640"/>
        <w:rPr>
          <w:rFonts w:eastAsia="仿宋_GB2312" w:cs="仿宋_GB2312"/>
          <w:sz w:val="32"/>
          <w:szCs w:val="32"/>
        </w:rPr>
      </w:pPr>
      <w:r>
        <w:rPr>
          <w:rFonts w:hint="eastAsia" w:eastAsia="仿宋_GB2312" w:cs="仿宋_GB2312"/>
          <w:sz w:val="32"/>
          <w:szCs w:val="32"/>
        </w:rPr>
        <w:t>国内公务接待支出</w:t>
      </w:r>
      <w:r>
        <w:rPr>
          <w:rFonts w:hint="eastAsia" w:eastAsia="仿宋_GB2312" w:cs="仿宋_GB2312"/>
          <w:sz w:val="32"/>
          <w:szCs w:val="32"/>
          <w:lang w:val="en-US" w:eastAsia="zh-CN"/>
        </w:rPr>
        <w:t>0</w:t>
      </w:r>
      <w:r>
        <w:rPr>
          <w:rFonts w:hint="eastAsia" w:eastAsia="仿宋_GB2312" w:cs="仿宋_GB2312"/>
          <w:sz w:val="32"/>
          <w:szCs w:val="32"/>
        </w:rPr>
        <w:t>元。国内公务接待</w:t>
      </w:r>
      <w:r>
        <w:rPr>
          <w:rFonts w:hint="eastAsia" w:eastAsia="仿宋_GB2312" w:cs="仿宋_GB2312"/>
          <w:sz w:val="32"/>
          <w:szCs w:val="32"/>
          <w:lang w:val="en-US" w:eastAsia="zh-CN"/>
        </w:rPr>
        <w:t>0</w:t>
      </w:r>
      <w:r>
        <w:rPr>
          <w:rFonts w:hint="eastAsia" w:eastAsia="仿宋_GB2312" w:cs="仿宋_GB2312"/>
          <w:sz w:val="32"/>
          <w:szCs w:val="32"/>
        </w:rPr>
        <w:t>批次，</w:t>
      </w:r>
      <w:r>
        <w:rPr>
          <w:rFonts w:hint="eastAsia" w:eastAsia="仿宋_GB2312" w:cs="仿宋_GB2312"/>
          <w:sz w:val="32"/>
          <w:szCs w:val="32"/>
          <w:lang w:val="en-US" w:eastAsia="zh-CN"/>
        </w:rPr>
        <w:t>0</w:t>
      </w:r>
      <w:r>
        <w:rPr>
          <w:rFonts w:hint="eastAsia" w:eastAsia="仿宋_GB2312" w:cs="仿宋_GB2312"/>
          <w:sz w:val="32"/>
          <w:szCs w:val="32"/>
        </w:rPr>
        <w:t>人次（不包括陪同人员），共计支出</w:t>
      </w:r>
      <w:r>
        <w:rPr>
          <w:rFonts w:hint="eastAsia" w:eastAsia="仿宋_GB2312" w:cs="仿宋_GB2312"/>
          <w:sz w:val="32"/>
          <w:szCs w:val="32"/>
          <w:lang w:val="en-US" w:eastAsia="zh-CN"/>
        </w:rPr>
        <w:t>0</w:t>
      </w:r>
      <w:r>
        <w:rPr>
          <w:rFonts w:hint="eastAsia" w:eastAsia="仿宋_GB2312" w:cs="仿宋_GB2312"/>
          <w:sz w:val="32"/>
          <w:szCs w:val="32"/>
        </w:rPr>
        <w:t>万元。</w:t>
      </w:r>
    </w:p>
    <w:p w14:paraId="70EB3FE9">
      <w:pPr>
        <w:spacing w:line="600" w:lineRule="exact"/>
        <w:ind w:firstLine="640"/>
        <w:rPr>
          <w:rFonts w:eastAsia="仿宋_GB2312" w:cs="仿宋_GB2312"/>
          <w:sz w:val="32"/>
          <w:szCs w:val="32"/>
        </w:rPr>
      </w:pPr>
      <w:r>
        <w:rPr>
          <w:rFonts w:hint="eastAsia" w:eastAsia="仿宋_GB2312" w:cs="仿宋_GB2312"/>
          <w:sz w:val="32"/>
          <w:szCs w:val="32"/>
        </w:rPr>
        <w:t>外事接待支出</w:t>
      </w:r>
      <w:r>
        <w:rPr>
          <w:rFonts w:hint="eastAsia" w:eastAsia="仿宋_GB2312" w:cs="仿宋_GB2312"/>
          <w:sz w:val="32"/>
          <w:szCs w:val="32"/>
          <w:lang w:val="en-US" w:eastAsia="zh-CN"/>
        </w:rPr>
        <w:t>0</w:t>
      </w:r>
      <w:r>
        <w:rPr>
          <w:rFonts w:hint="eastAsia" w:eastAsia="仿宋_GB2312" w:cs="仿宋_GB2312"/>
          <w:sz w:val="32"/>
          <w:szCs w:val="32"/>
        </w:rPr>
        <w:t>万元。外事接待</w:t>
      </w:r>
      <w:r>
        <w:rPr>
          <w:rFonts w:hint="eastAsia" w:eastAsia="仿宋_GB2312" w:cs="仿宋_GB2312"/>
          <w:sz w:val="32"/>
          <w:szCs w:val="32"/>
          <w:lang w:val="en-US" w:eastAsia="zh-CN"/>
        </w:rPr>
        <w:t>0</w:t>
      </w:r>
      <w:r>
        <w:rPr>
          <w:rFonts w:hint="eastAsia" w:eastAsia="仿宋_GB2312" w:cs="仿宋_GB2312"/>
          <w:sz w:val="32"/>
          <w:szCs w:val="32"/>
        </w:rPr>
        <w:t>批次，</w:t>
      </w:r>
      <w:r>
        <w:rPr>
          <w:rFonts w:hint="eastAsia" w:eastAsia="仿宋_GB2312" w:cs="仿宋_GB2312"/>
          <w:sz w:val="32"/>
          <w:szCs w:val="32"/>
          <w:lang w:val="en-US" w:eastAsia="zh-CN"/>
        </w:rPr>
        <w:t>0</w:t>
      </w:r>
      <w:r>
        <w:rPr>
          <w:rFonts w:hint="eastAsia" w:eastAsia="仿宋_GB2312" w:cs="仿宋_GB2312"/>
          <w:sz w:val="32"/>
          <w:szCs w:val="32"/>
        </w:rPr>
        <w:t>人次（不包括陪同人员），共计支出</w:t>
      </w:r>
      <w:r>
        <w:rPr>
          <w:rFonts w:hint="eastAsia" w:eastAsia="仿宋_GB2312" w:cs="仿宋_GB2312"/>
          <w:sz w:val="32"/>
          <w:szCs w:val="32"/>
          <w:lang w:val="en-US" w:eastAsia="zh-CN"/>
        </w:rPr>
        <w:t>0</w:t>
      </w:r>
      <w:r>
        <w:rPr>
          <w:rFonts w:hint="eastAsia" w:eastAsia="仿宋_GB2312" w:cs="仿宋_GB2312"/>
          <w:sz w:val="32"/>
          <w:szCs w:val="32"/>
        </w:rPr>
        <w:t>万元。</w:t>
      </w:r>
    </w:p>
    <w:p w14:paraId="610E9F92">
      <w:pPr>
        <w:spacing w:line="600" w:lineRule="exact"/>
        <w:ind w:firstLine="640"/>
        <w:outlineLvl w:val="1"/>
        <w:rPr>
          <w:rStyle w:val="30"/>
          <w:rFonts w:ascii="Times New Roman" w:hAnsi="Times New Roman" w:eastAsia="黑体"/>
        </w:rPr>
      </w:pPr>
      <w:bookmarkStart w:id="61" w:name="_Toc15396610"/>
      <w:bookmarkStart w:id="62" w:name="_Toc15377218"/>
      <w:bookmarkStart w:id="63" w:name="_Toc1173349725"/>
      <w:r>
        <w:rPr>
          <w:rFonts w:hint="eastAsia" w:eastAsia="黑体"/>
          <w:sz w:val="32"/>
          <w:szCs w:val="32"/>
        </w:rPr>
        <w:t>八、</w:t>
      </w:r>
      <w:r>
        <w:rPr>
          <w:rStyle w:val="30"/>
          <w:rFonts w:hint="eastAsia" w:ascii="Times New Roman" w:hAnsi="Times New Roman" w:eastAsia="黑体"/>
          <w:b w:val="0"/>
        </w:rPr>
        <w:t>政府性基金预算支出决算情况说明</w:t>
      </w:r>
      <w:bookmarkEnd w:id="61"/>
      <w:bookmarkEnd w:id="62"/>
      <w:bookmarkEnd w:id="63"/>
    </w:p>
    <w:p w14:paraId="78036386">
      <w:pPr>
        <w:spacing w:line="600" w:lineRule="exact"/>
        <w:ind w:firstLine="640"/>
        <w:rPr>
          <w:rFonts w:eastAsia="仿宋_GB2312" w:cs="仿宋_GB2312"/>
          <w:b/>
          <w:bCs/>
          <w:sz w:val="32"/>
          <w:szCs w:val="32"/>
        </w:rPr>
      </w:pPr>
      <w:r>
        <w:rPr>
          <w:rFonts w:hint="eastAsia" w:eastAsia="仿宋_GB2312" w:cs="仿宋_GB2312"/>
          <w:sz w:val="32"/>
          <w:szCs w:val="32"/>
        </w:rPr>
        <w:t>2025年度政府性基金预算财政拨款支出</w:t>
      </w:r>
      <w:r>
        <w:rPr>
          <w:rFonts w:hint="eastAsia" w:eastAsia="仿宋_GB2312" w:cs="仿宋_GB2312"/>
          <w:sz w:val="32"/>
          <w:szCs w:val="32"/>
          <w:lang w:val="en-US" w:eastAsia="zh-CN"/>
        </w:rPr>
        <w:t>0</w:t>
      </w:r>
      <w:r>
        <w:rPr>
          <w:rFonts w:hint="eastAsia" w:eastAsia="仿宋_GB2312" w:cs="仿宋_GB2312"/>
          <w:sz w:val="32"/>
          <w:szCs w:val="32"/>
        </w:rPr>
        <w:t>万元，占本年支出合计的</w:t>
      </w:r>
      <w:r>
        <w:rPr>
          <w:rFonts w:hint="eastAsia" w:eastAsia="仿宋_GB2312" w:cs="仿宋_GB2312"/>
          <w:sz w:val="32"/>
          <w:szCs w:val="32"/>
          <w:lang w:val="en-US" w:eastAsia="zh-CN"/>
        </w:rPr>
        <w:t>0</w:t>
      </w:r>
      <w:r>
        <w:rPr>
          <w:rFonts w:hint="eastAsia" w:eastAsia="仿宋_GB2312" w:cs="仿宋_GB2312"/>
          <w:sz w:val="32"/>
          <w:szCs w:val="32"/>
        </w:rPr>
        <w:t>%。与上年度相比，政府性基金预算财政拨款支出增加/减少</w:t>
      </w:r>
      <w:r>
        <w:rPr>
          <w:rFonts w:hint="eastAsia" w:eastAsia="仿宋_GB2312" w:cs="仿宋_GB2312"/>
          <w:sz w:val="32"/>
          <w:szCs w:val="32"/>
          <w:lang w:val="en-US" w:eastAsia="zh-CN"/>
        </w:rPr>
        <w:t>0</w:t>
      </w:r>
      <w:r>
        <w:rPr>
          <w:rFonts w:hint="eastAsia" w:eastAsia="仿宋_GB2312" w:cs="仿宋_GB2312"/>
          <w:sz w:val="32"/>
          <w:szCs w:val="32"/>
        </w:rPr>
        <w:t>万元，增长/下降</w:t>
      </w:r>
      <w:r>
        <w:rPr>
          <w:rFonts w:hint="eastAsia" w:eastAsia="仿宋_GB2312" w:cs="仿宋_GB2312"/>
          <w:sz w:val="32"/>
          <w:szCs w:val="32"/>
          <w:lang w:val="en-US" w:eastAsia="zh-CN"/>
        </w:rPr>
        <w:t>0</w:t>
      </w:r>
      <w:r>
        <w:rPr>
          <w:rFonts w:hint="eastAsia" w:eastAsia="仿宋_GB2312" w:cs="仿宋_GB2312"/>
          <w:sz w:val="32"/>
          <w:szCs w:val="32"/>
        </w:rPr>
        <w:t>%。</w:t>
      </w:r>
    </w:p>
    <w:p w14:paraId="73656431">
      <w:pPr>
        <w:spacing w:line="600" w:lineRule="exact"/>
        <w:ind w:left="630"/>
        <w:outlineLvl w:val="1"/>
        <w:rPr>
          <w:rStyle w:val="30"/>
          <w:rFonts w:ascii="Times New Roman" w:hAnsi="Times New Roman" w:eastAsia="黑体"/>
          <w:b w:val="0"/>
        </w:rPr>
      </w:pPr>
      <w:bookmarkStart w:id="64" w:name="_Toc15377219"/>
      <w:bookmarkStart w:id="65" w:name="_Toc916750938"/>
      <w:bookmarkStart w:id="66" w:name="_Toc15396611"/>
      <w:r>
        <w:rPr>
          <w:rStyle w:val="30"/>
          <w:rFonts w:hint="eastAsia" w:ascii="Times New Roman" w:hAnsi="Times New Roman" w:eastAsia="黑体"/>
          <w:b w:val="0"/>
        </w:rPr>
        <w:t>九、国有资本经营预算</w:t>
      </w:r>
      <w:r>
        <w:rPr>
          <w:rStyle w:val="30"/>
          <w:rFonts w:hint="eastAsia" w:eastAsia="黑体"/>
          <w:b w:val="0"/>
          <w:lang w:eastAsia="zh-CN"/>
        </w:rPr>
        <w:t>支</w:t>
      </w:r>
      <w:r>
        <w:rPr>
          <w:rStyle w:val="30"/>
          <w:rFonts w:hint="eastAsia" w:ascii="Times New Roman" w:hAnsi="Times New Roman" w:eastAsia="黑体"/>
          <w:b w:val="0"/>
        </w:rPr>
        <w:t>出决算情况说明</w:t>
      </w:r>
      <w:bookmarkEnd w:id="64"/>
      <w:bookmarkEnd w:id="65"/>
      <w:bookmarkEnd w:id="66"/>
    </w:p>
    <w:p w14:paraId="0E4F3EA7">
      <w:pPr>
        <w:spacing w:line="600" w:lineRule="exact"/>
        <w:ind w:firstLine="640"/>
        <w:rPr>
          <w:rFonts w:hint="eastAsia" w:eastAsia="仿宋_GB2312" w:cs="仿宋_GB2312"/>
          <w:sz w:val="32"/>
          <w:szCs w:val="32"/>
        </w:rPr>
      </w:pPr>
      <w:r>
        <w:rPr>
          <w:rFonts w:hint="eastAsia" w:eastAsia="仿宋_GB2312" w:cs="仿宋_GB2312"/>
          <w:sz w:val="32"/>
          <w:szCs w:val="32"/>
        </w:rPr>
        <w:t>2025年度国有资本经营预算财政拨款支出</w:t>
      </w:r>
      <w:r>
        <w:rPr>
          <w:rFonts w:hint="eastAsia" w:eastAsia="仿宋_GB2312" w:cs="仿宋_GB2312"/>
          <w:sz w:val="32"/>
          <w:szCs w:val="32"/>
          <w:lang w:val="en-US" w:eastAsia="zh-CN"/>
        </w:rPr>
        <w:t>0</w:t>
      </w:r>
      <w:r>
        <w:rPr>
          <w:rFonts w:hint="eastAsia" w:eastAsia="仿宋_GB2312" w:cs="仿宋_GB2312"/>
          <w:sz w:val="32"/>
          <w:szCs w:val="32"/>
        </w:rPr>
        <w:t>万元，占本年支出合计的</w:t>
      </w:r>
      <w:r>
        <w:rPr>
          <w:rFonts w:hint="eastAsia" w:eastAsia="仿宋_GB2312" w:cs="仿宋_GB2312"/>
          <w:sz w:val="32"/>
          <w:szCs w:val="32"/>
          <w:lang w:val="en-US" w:eastAsia="zh-CN"/>
        </w:rPr>
        <w:t>0</w:t>
      </w:r>
      <w:r>
        <w:rPr>
          <w:rFonts w:hint="eastAsia" w:eastAsia="仿宋_GB2312" w:cs="仿宋_GB2312"/>
          <w:sz w:val="32"/>
          <w:szCs w:val="32"/>
        </w:rPr>
        <w:t>%。与上年度相比，国有资本经营预算财政拨款支出增加/减少</w:t>
      </w:r>
      <w:r>
        <w:rPr>
          <w:rFonts w:hint="eastAsia" w:eastAsia="仿宋_GB2312" w:cs="仿宋_GB2312"/>
          <w:sz w:val="32"/>
          <w:szCs w:val="32"/>
          <w:lang w:val="en-US" w:eastAsia="zh-CN"/>
        </w:rPr>
        <w:t>0</w:t>
      </w:r>
      <w:r>
        <w:rPr>
          <w:rFonts w:hint="eastAsia" w:eastAsia="仿宋_GB2312" w:cs="仿宋_GB2312"/>
          <w:sz w:val="32"/>
          <w:szCs w:val="32"/>
        </w:rPr>
        <w:t>万元，增长/下降</w:t>
      </w:r>
      <w:r>
        <w:rPr>
          <w:rFonts w:hint="eastAsia" w:eastAsia="仿宋_GB2312" w:cs="仿宋_GB2312"/>
          <w:sz w:val="32"/>
          <w:szCs w:val="32"/>
          <w:lang w:val="en-US" w:eastAsia="zh-CN"/>
        </w:rPr>
        <w:t>0</w:t>
      </w:r>
      <w:r>
        <w:rPr>
          <w:rFonts w:hint="eastAsia" w:eastAsia="仿宋_GB2312" w:cs="仿宋_GB2312"/>
          <w:sz w:val="32"/>
          <w:szCs w:val="32"/>
        </w:rPr>
        <w:t>%。</w:t>
      </w:r>
      <w:bookmarkStart w:id="67" w:name="_Toc15396612"/>
      <w:bookmarkStart w:id="68" w:name="_Toc15377221"/>
    </w:p>
    <w:p w14:paraId="58C54E2E">
      <w:pPr>
        <w:spacing w:line="600" w:lineRule="exact"/>
        <w:ind w:left="630"/>
        <w:outlineLvl w:val="1"/>
        <w:rPr>
          <w:rStyle w:val="30"/>
          <w:rFonts w:ascii="Times New Roman" w:hAnsi="Times New Roman" w:eastAsia="黑体"/>
          <w:b w:val="0"/>
        </w:rPr>
      </w:pPr>
      <w:bookmarkStart w:id="69" w:name="_Toc814199340"/>
      <w:r>
        <w:rPr>
          <w:rStyle w:val="30"/>
          <w:rFonts w:hint="eastAsia" w:ascii="Times New Roman" w:hAnsi="Times New Roman" w:eastAsia="黑体"/>
          <w:b w:val="0"/>
        </w:rPr>
        <w:t>十、其他重要事项的情况说明</w:t>
      </w:r>
      <w:bookmarkEnd w:id="67"/>
      <w:bookmarkEnd w:id="68"/>
      <w:bookmarkEnd w:id="69"/>
    </w:p>
    <w:p w14:paraId="72832055">
      <w:pPr>
        <w:spacing w:line="600" w:lineRule="exact"/>
        <w:ind w:firstLine="643" w:firstLineChars="200"/>
        <w:outlineLvl w:val="2"/>
        <w:rPr>
          <w:rFonts w:eastAsia="楷体_GB2312" w:cs="楷体_GB2312"/>
          <w:b/>
          <w:sz w:val="32"/>
          <w:szCs w:val="32"/>
        </w:rPr>
      </w:pPr>
      <w:bookmarkStart w:id="70" w:name="_Toc15377222"/>
      <w:bookmarkStart w:id="71" w:name="_Toc1414445377"/>
      <w:r>
        <w:rPr>
          <w:rFonts w:hint="eastAsia" w:eastAsia="楷体_GB2312" w:cs="楷体_GB2312"/>
          <w:b/>
          <w:sz w:val="32"/>
          <w:szCs w:val="32"/>
        </w:rPr>
        <w:t>（一）机关运行经费支出情况</w:t>
      </w:r>
      <w:bookmarkEnd w:id="70"/>
      <w:bookmarkEnd w:id="71"/>
    </w:p>
    <w:p w14:paraId="2471A2A5">
      <w:pPr>
        <w:spacing w:line="600" w:lineRule="exact"/>
        <w:ind w:firstLine="640"/>
        <w:rPr>
          <w:rFonts w:eastAsia="仿宋_GB2312" w:cs="仿宋_GB2312"/>
          <w:sz w:val="32"/>
          <w:szCs w:val="32"/>
        </w:rPr>
      </w:pPr>
      <w:r>
        <w:rPr>
          <w:rFonts w:hint="eastAsia" w:eastAsia="仿宋_GB2312" w:cs="仿宋_GB2312"/>
          <w:sz w:val="32"/>
          <w:szCs w:val="32"/>
        </w:rPr>
        <w:t>2025年度，</w:t>
      </w:r>
      <w:r>
        <w:rPr>
          <w:rFonts w:hint="eastAsia" w:eastAsia="仿宋_GB2312" w:cs="仿宋_GB2312"/>
          <w:sz w:val="32"/>
          <w:szCs w:val="32"/>
          <w:lang w:eastAsia="zh-CN"/>
        </w:rPr>
        <w:t>攀枝花市文化旅游产业发展中心</w:t>
      </w:r>
      <w:r>
        <w:rPr>
          <w:rFonts w:hint="eastAsia" w:eastAsia="仿宋_GB2312" w:cs="仿宋_GB2312"/>
          <w:sz w:val="32"/>
          <w:szCs w:val="32"/>
        </w:rPr>
        <w:t>机关运行经费支出</w:t>
      </w:r>
      <w:r>
        <w:rPr>
          <w:rFonts w:hint="eastAsia" w:eastAsia="仿宋_GB2312" w:cs="仿宋_GB2312"/>
          <w:sz w:val="32"/>
          <w:szCs w:val="32"/>
          <w:lang w:val="en-US" w:eastAsia="zh-CN"/>
        </w:rPr>
        <w:t>0</w:t>
      </w:r>
      <w:r>
        <w:rPr>
          <w:rFonts w:hint="eastAsia" w:eastAsia="仿宋_GB2312" w:cs="仿宋_GB2312"/>
          <w:sz w:val="32"/>
          <w:szCs w:val="32"/>
        </w:rPr>
        <w:t>万元，与上年度决算数持平。</w:t>
      </w:r>
    </w:p>
    <w:p w14:paraId="4987B510">
      <w:pPr>
        <w:spacing w:line="600" w:lineRule="exact"/>
        <w:ind w:firstLine="643" w:firstLineChars="200"/>
        <w:outlineLvl w:val="2"/>
        <w:rPr>
          <w:rFonts w:eastAsia="楷体_GB2312" w:cs="楷体_GB2312"/>
          <w:b/>
          <w:sz w:val="32"/>
          <w:szCs w:val="32"/>
        </w:rPr>
      </w:pPr>
      <w:bookmarkStart w:id="72" w:name="_Toc1671423529"/>
      <w:bookmarkStart w:id="73" w:name="_Toc15377223"/>
      <w:r>
        <w:rPr>
          <w:rFonts w:hint="eastAsia" w:eastAsia="楷体_GB2312" w:cs="楷体_GB2312"/>
          <w:b/>
          <w:sz w:val="32"/>
          <w:szCs w:val="32"/>
        </w:rPr>
        <w:t>（二）政府采购支出情况</w:t>
      </w:r>
      <w:bookmarkEnd w:id="72"/>
      <w:bookmarkEnd w:id="73"/>
    </w:p>
    <w:p w14:paraId="5B1CE6CF">
      <w:pPr>
        <w:spacing w:line="600" w:lineRule="exact"/>
        <w:ind w:firstLine="640"/>
        <w:rPr>
          <w:rFonts w:eastAsia="仿宋_GB2312" w:cs="仿宋_GB2312"/>
          <w:sz w:val="32"/>
          <w:szCs w:val="32"/>
        </w:rPr>
      </w:pPr>
      <w:r>
        <w:rPr>
          <w:rFonts w:hint="eastAsia" w:eastAsia="仿宋_GB2312" w:cs="仿宋_GB2312"/>
          <w:sz w:val="32"/>
          <w:szCs w:val="32"/>
        </w:rPr>
        <w:t>2025年度，</w:t>
      </w:r>
      <w:r>
        <w:rPr>
          <w:rFonts w:hint="eastAsia" w:eastAsia="仿宋_GB2312" w:cs="仿宋_GB2312"/>
          <w:sz w:val="32"/>
          <w:szCs w:val="32"/>
          <w:lang w:eastAsia="zh-CN"/>
        </w:rPr>
        <w:t>攀枝花市文化旅游产业发展中心</w:t>
      </w:r>
      <w:r>
        <w:rPr>
          <w:rFonts w:hint="eastAsia" w:eastAsia="仿宋_GB2312" w:cs="仿宋_GB2312"/>
          <w:sz w:val="32"/>
          <w:szCs w:val="32"/>
        </w:rPr>
        <w:t>政府采购支出总额</w:t>
      </w:r>
      <w:r>
        <w:rPr>
          <w:rFonts w:hint="eastAsia" w:eastAsia="仿宋_GB2312" w:cs="仿宋_GB2312"/>
          <w:sz w:val="32"/>
          <w:szCs w:val="32"/>
          <w:lang w:val="en-US" w:eastAsia="zh-CN"/>
        </w:rPr>
        <w:t>0.47</w:t>
      </w:r>
      <w:r>
        <w:rPr>
          <w:rFonts w:hint="eastAsia" w:eastAsia="仿宋_GB2312" w:cs="仿宋_GB2312"/>
          <w:sz w:val="32"/>
          <w:szCs w:val="32"/>
        </w:rPr>
        <w:t>万元，其中：政府采购货物支出</w:t>
      </w:r>
      <w:r>
        <w:rPr>
          <w:rFonts w:hint="eastAsia" w:eastAsia="仿宋_GB2312" w:cs="仿宋_GB2312"/>
          <w:sz w:val="32"/>
          <w:szCs w:val="32"/>
          <w:lang w:val="en-US" w:eastAsia="zh-CN"/>
        </w:rPr>
        <w:t>0</w:t>
      </w:r>
      <w:r>
        <w:rPr>
          <w:rFonts w:hint="eastAsia" w:eastAsia="仿宋_GB2312" w:cs="仿宋_GB2312"/>
          <w:sz w:val="32"/>
          <w:szCs w:val="32"/>
        </w:rPr>
        <w:t>万元、政府采购工程支出</w:t>
      </w:r>
      <w:r>
        <w:rPr>
          <w:rFonts w:hint="eastAsia" w:eastAsia="仿宋_GB2312" w:cs="仿宋_GB2312"/>
          <w:sz w:val="32"/>
          <w:szCs w:val="32"/>
          <w:lang w:val="en-US" w:eastAsia="zh-CN"/>
        </w:rPr>
        <w:t>0</w:t>
      </w:r>
      <w:r>
        <w:rPr>
          <w:rFonts w:hint="eastAsia" w:eastAsia="仿宋_GB2312" w:cs="仿宋_GB2312"/>
          <w:sz w:val="32"/>
          <w:szCs w:val="32"/>
        </w:rPr>
        <w:t>万元、政府采购服务支出</w:t>
      </w:r>
      <w:r>
        <w:rPr>
          <w:rFonts w:hint="eastAsia" w:eastAsia="仿宋_GB2312" w:cs="仿宋_GB2312"/>
          <w:sz w:val="32"/>
          <w:szCs w:val="32"/>
          <w:lang w:val="en-US" w:eastAsia="zh-CN"/>
        </w:rPr>
        <w:t>0.47</w:t>
      </w:r>
      <w:r>
        <w:rPr>
          <w:rFonts w:hint="eastAsia" w:eastAsia="仿宋_GB2312" w:cs="仿宋_GB2312"/>
          <w:sz w:val="32"/>
          <w:szCs w:val="32"/>
        </w:rPr>
        <w:t>万元。</w:t>
      </w:r>
      <w:r>
        <w:rPr>
          <w:rFonts w:hint="default" w:ascii="Times New Roman" w:hAnsi="Times New Roman" w:eastAsia="仿宋_GB2312" w:cs="Times New Roman"/>
          <w:color w:val="auto"/>
          <w:kern w:val="2"/>
          <w:sz w:val="32"/>
          <w:szCs w:val="32"/>
          <w:highlight w:val="none"/>
          <w:lang w:val="en-US" w:eastAsia="zh-CN" w:bidi="ar-SA"/>
        </w:rPr>
        <w:t>主要用于公务用车运行维护</w:t>
      </w:r>
      <w:r>
        <w:rPr>
          <w:rFonts w:hint="eastAsia" w:eastAsia="仿宋_GB2312" w:cs="Times New Roman"/>
          <w:color w:val="auto"/>
          <w:kern w:val="2"/>
          <w:sz w:val="32"/>
          <w:szCs w:val="32"/>
          <w:highlight w:val="none"/>
          <w:lang w:val="en-US" w:eastAsia="zh-CN" w:bidi="ar-SA"/>
        </w:rPr>
        <w:t>所需的保险费、燃油费和维修费用等</w:t>
      </w:r>
      <w:r>
        <w:rPr>
          <w:rFonts w:hint="default" w:ascii="Times New Roman" w:hAnsi="Times New Roman" w:eastAsia="仿宋_GB2312" w:cs="Times New Roman"/>
          <w:color w:val="auto"/>
          <w:kern w:val="2"/>
          <w:sz w:val="32"/>
          <w:szCs w:val="32"/>
          <w:highlight w:val="none"/>
          <w:lang w:val="en-US" w:eastAsia="zh-CN" w:bidi="ar-SA"/>
        </w:rPr>
        <w:t>。</w:t>
      </w:r>
      <w:r>
        <w:rPr>
          <w:rFonts w:hint="eastAsia" w:eastAsia="仿宋_GB2312" w:cs="仿宋_GB2312"/>
          <w:sz w:val="32"/>
          <w:szCs w:val="32"/>
        </w:rPr>
        <w:t>授予中小企业合同金额</w:t>
      </w:r>
      <w:r>
        <w:rPr>
          <w:rFonts w:hint="eastAsia" w:eastAsia="仿宋_GB2312" w:cs="仿宋_GB2312"/>
          <w:sz w:val="32"/>
          <w:szCs w:val="32"/>
          <w:lang w:val="en-US" w:eastAsia="zh-CN"/>
        </w:rPr>
        <w:t>0.47</w:t>
      </w:r>
      <w:r>
        <w:rPr>
          <w:rFonts w:hint="eastAsia" w:eastAsia="仿宋_GB2312" w:cs="仿宋_GB2312"/>
          <w:sz w:val="32"/>
          <w:szCs w:val="32"/>
        </w:rPr>
        <w:t>万元，占政府采购支出总额的</w:t>
      </w:r>
      <w:r>
        <w:rPr>
          <w:rFonts w:hint="eastAsia" w:eastAsia="仿宋_GB2312" w:cs="仿宋_GB2312"/>
          <w:sz w:val="32"/>
          <w:szCs w:val="32"/>
          <w:lang w:val="en-US" w:eastAsia="zh-CN"/>
        </w:rPr>
        <w:t>100</w:t>
      </w:r>
      <w:r>
        <w:rPr>
          <w:rFonts w:hint="eastAsia" w:eastAsia="仿宋_GB2312" w:cs="仿宋_GB2312"/>
          <w:sz w:val="32"/>
          <w:szCs w:val="32"/>
        </w:rPr>
        <w:t>%，其中：授予小微企业合同金额</w:t>
      </w:r>
      <w:r>
        <w:rPr>
          <w:rFonts w:hint="eastAsia" w:eastAsia="仿宋_GB2312" w:cs="仿宋_GB2312"/>
          <w:sz w:val="32"/>
          <w:szCs w:val="32"/>
          <w:lang w:val="en-US" w:eastAsia="zh-CN"/>
        </w:rPr>
        <w:t>0.47</w:t>
      </w:r>
      <w:r>
        <w:rPr>
          <w:rFonts w:hint="eastAsia" w:eastAsia="仿宋_GB2312" w:cs="仿宋_GB2312"/>
          <w:sz w:val="32"/>
          <w:szCs w:val="32"/>
        </w:rPr>
        <w:t>万元，占政府采购支出总额的</w:t>
      </w:r>
      <w:r>
        <w:rPr>
          <w:rFonts w:hint="eastAsia" w:eastAsia="仿宋_GB2312" w:cs="仿宋_GB2312"/>
          <w:sz w:val="32"/>
          <w:szCs w:val="32"/>
          <w:lang w:val="en-US" w:eastAsia="zh-CN"/>
        </w:rPr>
        <w:t>0.47</w:t>
      </w:r>
      <w:r>
        <w:rPr>
          <w:rFonts w:hint="eastAsia" w:eastAsia="仿宋_GB2312" w:cs="仿宋_GB2312"/>
          <w:sz w:val="32"/>
          <w:szCs w:val="32"/>
        </w:rPr>
        <w:t>%。</w:t>
      </w:r>
    </w:p>
    <w:p w14:paraId="2090CFA0">
      <w:pPr>
        <w:spacing w:line="600" w:lineRule="exact"/>
        <w:ind w:firstLine="643" w:firstLineChars="200"/>
        <w:outlineLvl w:val="2"/>
        <w:rPr>
          <w:rFonts w:eastAsia="楷体_GB2312" w:cs="楷体_GB2312"/>
          <w:b/>
          <w:sz w:val="32"/>
          <w:szCs w:val="32"/>
        </w:rPr>
      </w:pPr>
      <w:bookmarkStart w:id="74" w:name="_Toc15377224"/>
      <w:bookmarkStart w:id="75" w:name="_Toc103252207"/>
      <w:r>
        <w:rPr>
          <w:rFonts w:hint="eastAsia" w:eastAsia="楷体_GB2312" w:cs="楷体_GB2312"/>
          <w:b/>
          <w:sz w:val="32"/>
          <w:szCs w:val="32"/>
        </w:rPr>
        <w:t>（三）国有资产占有使用情况</w:t>
      </w:r>
      <w:bookmarkEnd w:id="74"/>
      <w:bookmarkEnd w:id="75"/>
    </w:p>
    <w:p w14:paraId="3BE16B44">
      <w:pPr>
        <w:spacing w:line="600" w:lineRule="exact"/>
        <w:ind w:firstLine="640"/>
        <w:rPr>
          <w:rFonts w:eastAsia="仿宋_GB2312" w:cs="仿宋_GB2312"/>
          <w:sz w:val="32"/>
          <w:szCs w:val="32"/>
        </w:rPr>
      </w:pPr>
      <w:r>
        <w:rPr>
          <w:rFonts w:hint="eastAsia" w:eastAsia="仿宋_GB2312" w:cs="仿宋_GB2312"/>
          <w:sz w:val="32"/>
          <w:szCs w:val="32"/>
        </w:rPr>
        <w:t>截至2025年12月31日，</w:t>
      </w:r>
      <w:r>
        <w:rPr>
          <w:rFonts w:hint="eastAsia" w:eastAsia="仿宋_GB2312" w:cs="仿宋_GB2312"/>
          <w:sz w:val="32"/>
          <w:szCs w:val="32"/>
          <w:lang w:eastAsia="zh-CN"/>
        </w:rPr>
        <w:t>攀枝花市文化旅游产业发展中心</w:t>
      </w:r>
      <w:r>
        <w:rPr>
          <w:rFonts w:hint="eastAsia" w:eastAsia="仿宋_GB2312" w:cs="仿宋_GB2312"/>
          <w:sz w:val="32"/>
          <w:szCs w:val="32"/>
        </w:rPr>
        <w:t>共有车辆</w:t>
      </w:r>
      <w:r>
        <w:rPr>
          <w:rFonts w:hint="eastAsia" w:eastAsia="仿宋_GB2312" w:cs="仿宋_GB2312"/>
          <w:sz w:val="32"/>
          <w:szCs w:val="32"/>
          <w:lang w:val="en-US" w:eastAsia="zh-CN"/>
        </w:rPr>
        <w:t>1</w:t>
      </w:r>
      <w:r>
        <w:rPr>
          <w:rFonts w:hint="eastAsia" w:eastAsia="仿宋_GB2312" w:cs="仿宋_GB2312"/>
          <w:sz w:val="32"/>
          <w:szCs w:val="32"/>
        </w:rPr>
        <w:t>辆，其中：副部（省）级及以上领导用车</w:t>
      </w:r>
      <w:r>
        <w:rPr>
          <w:rFonts w:hint="eastAsia" w:eastAsia="仿宋_GB2312" w:cs="仿宋_GB2312"/>
          <w:sz w:val="32"/>
          <w:szCs w:val="32"/>
          <w:lang w:val="en-US" w:eastAsia="zh-CN"/>
        </w:rPr>
        <w:t>0</w:t>
      </w:r>
      <w:r>
        <w:rPr>
          <w:rFonts w:hint="eastAsia" w:eastAsia="仿宋_GB2312" w:cs="仿宋_GB2312"/>
          <w:sz w:val="32"/>
          <w:szCs w:val="32"/>
        </w:rPr>
        <w:t>辆、主要负责人用车</w:t>
      </w:r>
      <w:r>
        <w:rPr>
          <w:rFonts w:hint="eastAsia" w:eastAsia="仿宋_GB2312" w:cs="仿宋_GB2312"/>
          <w:sz w:val="32"/>
          <w:szCs w:val="32"/>
          <w:lang w:val="en-US" w:eastAsia="zh-CN"/>
        </w:rPr>
        <w:t>0</w:t>
      </w:r>
      <w:r>
        <w:rPr>
          <w:rFonts w:hint="eastAsia" w:eastAsia="仿宋_GB2312" w:cs="仿宋_GB2312"/>
          <w:sz w:val="32"/>
          <w:szCs w:val="32"/>
        </w:rPr>
        <w:t>辆、机要通信用车</w:t>
      </w:r>
      <w:r>
        <w:rPr>
          <w:rFonts w:hint="eastAsia" w:eastAsia="仿宋_GB2312" w:cs="仿宋_GB2312"/>
          <w:sz w:val="32"/>
          <w:szCs w:val="32"/>
          <w:lang w:val="en-US" w:eastAsia="zh-CN"/>
        </w:rPr>
        <w:t>0</w:t>
      </w:r>
      <w:r>
        <w:rPr>
          <w:rFonts w:hint="eastAsia" w:eastAsia="仿宋_GB2312" w:cs="仿宋_GB2312"/>
          <w:sz w:val="32"/>
          <w:szCs w:val="32"/>
        </w:rPr>
        <w:t>辆、应急保障用车</w:t>
      </w:r>
      <w:r>
        <w:rPr>
          <w:rFonts w:hint="eastAsia" w:eastAsia="仿宋_GB2312" w:cs="仿宋_GB2312"/>
          <w:sz w:val="32"/>
          <w:szCs w:val="32"/>
          <w:lang w:val="en-US" w:eastAsia="zh-CN"/>
        </w:rPr>
        <w:t>0</w:t>
      </w:r>
      <w:r>
        <w:rPr>
          <w:rFonts w:hint="eastAsia" w:eastAsia="仿宋_GB2312" w:cs="仿宋_GB2312"/>
          <w:sz w:val="32"/>
          <w:szCs w:val="32"/>
        </w:rPr>
        <w:t>辆、执法执勤用车</w:t>
      </w:r>
      <w:r>
        <w:rPr>
          <w:rFonts w:hint="eastAsia" w:eastAsia="仿宋_GB2312" w:cs="仿宋_GB2312"/>
          <w:sz w:val="32"/>
          <w:szCs w:val="32"/>
          <w:lang w:val="en-US" w:eastAsia="zh-CN"/>
        </w:rPr>
        <w:t>0</w:t>
      </w:r>
      <w:r>
        <w:rPr>
          <w:rFonts w:hint="eastAsia" w:eastAsia="仿宋_GB2312" w:cs="仿宋_GB2312"/>
          <w:sz w:val="32"/>
          <w:szCs w:val="32"/>
        </w:rPr>
        <w:t>辆、特种专业技术用车</w:t>
      </w:r>
      <w:r>
        <w:rPr>
          <w:rFonts w:hint="eastAsia" w:eastAsia="仿宋_GB2312" w:cs="仿宋_GB2312"/>
          <w:sz w:val="32"/>
          <w:szCs w:val="32"/>
          <w:lang w:val="en-US" w:eastAsia="zh-CN"/>
        </w:rPr>
        <w:t>0</w:t>
      </w:r>
      <w:r>
        <w:rPr>
          <w:rFonts w:hint="eastAsia" w:eastAsia="仿宋_GB2312" w:cs="仿宋_GB2312"/>
          <w:sz w:val="32"/>
          <w:szCs w:val="32"/>
        </w:rPr>
        <w:t>辆、离退休干部服务用车</w:t>
      </w:r>
      <w:r>
        <w:rPr>
          <w:rFonts w:hint="eastAsia" w:eastAsia="仿宋_GB2312" w:cs="仿宋_GB2312"/>
          <w:sz w:val="32"/>
          <w:szCs w:val="32"/>
          <w:lang w:val="en-US" w:eastAsia="zh-CN"/>
        </w:rPr>
        <w:t>0</w:t>
      </w:r>
      <w:r>
        <w:rPr>
          <w:rFonts w:hint="eastAsia" w:eastAsia="仿宋_GB2312" w:cs="仿宋_GB2312"/>
          <w:sz w:val="32"/>
          <w:szCs w:val="32"/>
        </w:rPr>
        <w:t>辆、其他用车</w:t>
      </w:r>
      <w:r>
        <w:rPr>
          <w:rFonts w:hint="eastAsia" w:eastAsia="仿宋_GB2312" w:cs="仿宋_GB2312"/>
          <w:sz w:val="32"/>
          <w:szCs w:val="32"/>
          <w:lang w:val="en-US" w:eastAsia="zh-CN"/>
        </w:rPr>
        <w:t>1</w:t>
      </w:r>
      <w:r>
        <w:rPr>
          <w:rFonts w:hint="eastAsia" w:eastAsia="仿宋_GB2312" w:cs="仿宋_GB2312"/>
          <w:sz w:val="32"/>
          <w:szCs w:val="32"/>
        </w:rPr>
        <w:t>辆，其他用车</w:t>
      </w:r>
      <w:r>
        <w:rPr>
          <w:rFonts w:hint="eastAsia" w:eastAsia="仿宋_GB2312" w:cs="仿宋_GB2312"/>
          <w:sz w:val="32"/>
          <w:szCs w:val="32"/>
          <w:lang w:eastAsia="zh-CN"/>
        </w:rPr>
        <w:t>主要</w:t>
      </w:r>
      <w:r>
        <w:rPr>
          <w:rFonts w:hint="eastAsia" w:eastAsia="仿宋_GB2312" w:cs="仿宋_GB2312"/>
          <w:sz w:val="32"/>
          <w:szCs w:val="32"/>
        </w:rPr>
        <w:t>用于</w:t>
      </w:r>
      <w:r>
        <w:rPr>
          <w:rFonts w:ascii="Times New Roman" w:hAnsi="Times New Roman" w:eastAsia="仿宋_GB2312"/>
          <w:sz w:val="32"/>
          <w:szCs w:val="32"/>
        </w:rPr>
        <w:t>文旅项目调研</w:t>
      </w:r>
      <w:r>
        <w:rPr>
          <w:rFonts w:hint="eastAsia" w:eastAsia="仿宋_GB2312"/>
          <w:sz w:val="32"/>
          <w:szCs w:val="32"/>
          <w:lang w:eastAsia="zh-CN"/>
        </w:rPr>
        <w:t>、宣传推广、市场服务、安全检查、保密文件领取</w:t>
      </w:r>
      <w:r>
        <w:rPr>
          <w:rFonts w:hint="eastAsia" w:eastAsia="仿宋_GB2312" w:cs="仿宋_GB2312"/>
          <w:sz w:val="32"/>
          <w:szCs w:val="32"/>
        </w:rPr>
        <w:t>。单价100万元（含）以上设备（不含车辆）</w:t>
      </w:r>
      <w:r>
        <w:rPr>
          <w:rFonts w:hint="eastAsia" w:eastAsia="仿宋_GB2312" w:cs="仿宋_GB2312"/>
          <w:sz w:val="32"/>
          <w:szCs w:val="32"/>
          <w:lang w:val="en-US" w:eastAsia="zh-CN"/>
        </w:rPr>
        <w:t>0</w:t>
      </w:r>
      <w:r>
        <w:rPr>
          <w:rFonts w:hint="eastAsia" w:eastAsia="仿宋_GB2312" w:cs="仿宋_GB2312"/>
          <w:sz w:val="32"/>
          <w:szCs w:val="32"/>
        </w:rPr>
        <w:t>台（套）。</w:t>
      </w:r>
    </w:p>
    <w:p w14:paraId="42F7A82E">
      <w:pPr>
        <w:spacing w:line="600" w:lineRule="exact"/>
        <w:ind w:firstLine="643" w:firstLineChars="200"/>
        <w:outlineLvl w:val="2"/>
        <w:rPr>
          <w:rFonts w:eastAsia="楷体_GB2312" w:cs="楷体_GB2312"/>
          <w:b/>
          <w:sz w:val="32"/>
          <w:szCs w:val="32"/>
        </w:rPr>
      </w:pPr>
      <w:bookmarkStart w:id="76" w:name="_Toc721120541"/>
      <w:r>
        <w:rPr>
          <w:rFonts w:hint="eastAsia" w:eastAsia="楷体_GB2312" w:cs="楷体_GB2312"/>
          <w:b/>
          <w:sz w:val="32"/>
          <w:szCs w:val="32"/>
        </w:rPr>
        <w:t>（四）预算绩效管理情况</w:t>
      </w:r>
      <w:bookmarkEnd w:id="76"/>
    </w:p>
    <w:p w14:paraId="5FB9E9B9">
      <w:pPr>
        <w:spacing w:line="600" w:lineRule="exact"/>
        <w:ind w:firstLine="640"/>
        <w:rPr>
          <w:rFonts w:eastAsia="仿宋_GB2312" w:cs="仿宋_GB2312"/>
          <w:sz w:val="32"/>
          <w:szCs w:val="32"/>
        </w:rPr>
      </w:pPr>
      <w:r>
        <w:rPr>
          <w:rFonts w:hint="eastAsia" w:eastAsia="仿宋_GB2312" w:cs="仿宋_GB2312"/>
          <w:sz w:val="32"/>
          <w:szCs w:val="32"/>
        </w:rPr>
        <w:t>根据预算绩效管理要求，</w:t>
      </w:r>
      <w:r>
        <w:rPr>
          <w:rFonts w:hint="eastAsia" w:eastAsia="仿宋_GB2312" w:cs="仿宋_GB2312"/>
          <w:sz w:val="32"/>
          <w:szCs w:val="32"/>
          <w:lang w:eastAsia="zh-CN"/>
        </w:rPr>
        <w:t>攀枝花市文化旅游产业发展中心</w:t>
      </w:r>
      <w:r>
        <w:rPr>
          <w:rFonts w:hint="eastAsia" w:eastAsia="仿宋_GB2312" w:cs="仿宋_GB2312"/>
          <w:sz w:val="32"/>
          <w:szCs w:val="32"/>
        </w:rPr>
        <w:t>在2025年度，组织对文化和旅游专项项目等</w:t>
      </w:r>
      <w:r>
        <w:rPr>
          <w:rFonts w:hint="eastAsia" w:eastAsia="仿宋_GB2312" w:cs="仿宋_GB2312"/>
          <w:sz w:val="32"/>
          <w:szCs w:val="32"/>
          <w:lang w:val="en-US" w:eastAsia="zh-CN"/>
        </w:rPr>
        <w:t>1</w:t>
      </w:r>
      <w:r>
        <w:rPr>
          <w:rFonts w:hint="eastAsia" w:eastAsia="仿宋_GB2312" w:cs="仿宋_GB2312"/>
          <w:sz w:val="32"/>
          <w:szCs w:val="32"/>
        </w:rPr>
        <w:t>个项目涉及金额</w:t>
      </w:r>
      <w:r>
        <w:rPr>
          <w:rFonts w:hint="eastAsia" w:eastAsia="仿宋_GB2312" w:cs="仿宋_GB2312"/>
          <w:sz w:val="32"/>
          <w:szCs w:val="32"/>
          <w:lang w:val="en-US" w:eastAsia="zh-CN"/>
        </w:rPr>
        <w:t>25.02</w:t>
      </w:r>
      <w:r>
        <w:rPr>
          <w:rFonts w:hint="eastAsia" w:eastAsia="仿宋_GB2312" w:cs="仿宋_GB2312"/>
          <w:sz w:val="32"/>
          <w:szCs w:val="32"/>
        </w:rPr>
        <w:t>万元开展了事前绩效评估，对</w:t>
      </w:r>
      <w:r>
        <w:rPr>
          <w:rFonts w:hint="eastAsia" w:eastAsia="仿宋_GB2312" w:cs="仿宋_GB2312"/>
          <w:sz w:val="32"/>
          <w:szCs w:val="32"/>
          <w:lang w:val="en-US" w:eastAsia="zh-CN"/>
        </w:rPr>
        <w:t>1</w:t>
      </w:r>
      <w:r>
        <w:rPr>
          <w:rFonts w:hint="eastAsia" w:eastAsia="仿宋_GB2312" w:cs="仿宋_GB2312"/>
          <w:sz w:val="32"/>
          <w:szCs w:val="32"/>
        </w:rPr>
        <w:t>个项目编制了绩效目标，预算执行过程中，选取</w:t>
      </w:r>
      <w:r>
        <w:rPr>
          <w:rFonts w:hint="eastAsia" w:eastAsia="仿宋_GB2312" w:cs="仿宋_GB2312"/>
          <w:sz w:val="32"/>
          <w:szCs w:val="32"/>
          <w:lang w:val="en-US" w:eastAsia="zh-CN"/>
        </w:rPr>
        <w:t>1</w:t>
      </w:r>
      <w:r>
        <w:rPr>
          <w:rFonts w:hint="eastAsia" w:eastAsia="仿宋_GB2312" w:cs="仿宋_GB2312"/>
          <w:sz w:val="32"/>
          <w:szCs w:val="32"/>
        </w:rPr>
        <w:t>个项目开展绩效监控。</w:t>
      </w:r>
    </w:p>
    <w:p w14:paraId="62024066">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组织对2025年度一般公共预算、政府性基金预算、国有资本经营预算、社会保险基金预算以及资本资产、债券资金等全面开展绩效自评，形成</w:t>
      </w:r>
      <w:r>
        <w:rPr>
          <w:rFonts w:hint="eastAsia" w:eastAsia="仿宋_GB2312" w:cs="仿宋_GB2312"/>
          <w:sz w:val="32"/>
          <w:szCs w:val="32"/>
          <w:lang w:eastAsia="zh-CN"/>
        </w:rPr>
        <w:t>攀枝花市文化旅游产业发展中心</w:t>
      </w:r>
      <w:r>
        <w:rPr>
          <w:rFonts w:hint="eastAsia" w:eastAsia="仿宋_GB2312" w:cs="仿宋_GB2312"/>
          <w:sz w:val="32"/>
          <w:szCs w:val="32"/>
        </w:rPr>
        <w:t>部门预算绩效自评报告、文化和旅游专项等专项预算项目绩效自评报告</w:t>
      </w:r>
      <w:r>
        <w:rPr>
          <w:rFonts w:hint="eastAsia" w:eastAsia="仿宋_GB2312" w:cs="仿宋_GB2312"/>
          <w:sz w:val="32"/>
          <w:szCs w:val="32"/>
          <w:lang w:eastAsia="zh-CN"/>
        </w:rPr>
        <w:t>。</w:t>
      </w:r>
    </w:p>
    <w:p w14:paraId="2AB9CE2D">
      <w:pPr>
        <w:pStyle w:val="2"/>
        <w:outlineLvl w:val="9"/>
        <w:rPr>
          <w:rFonts w:hint="eastAsia" w:eastAsia="仿宋_GB2312" w:cs="仿宋_GB2312"/>
          <w:sz w:val="32"/>
          <w:szCs w:val="32"/>
          <w:lang w:eastAsia="zh-CN"/>
        </w:rPr>
      </w:pPr>
    </w:p>
    <w:p w14:paraId="1CAE2E40">
      <w:pPr>
        <w:rPr>
          <w:rFonts w:hint="eastAsia" w:eastAsia="仿宋_GB2312" w:cs="仿宋_GB2312"/>
          <w:sz w:val="32"/>
          <w:szCs w:val="32"/>
          <w:lang w:eastAsia="zh-CN"/>
        </w:rPr>
      </w:pPr>
    </w:p>
    <w:p w14:paraId="5994541E">
      <w:pPr>
        <w:pStyle w:val="2"/>
        <w:outlineLvl w:val="9"/>
        <w:rPr>
          <w:rFonts w:hint="eastAsia" w:eastAsia="仿宋_GB2312" w:cs="仿宋_GB2312"/>
          <w:sz w:val="32"/>
          <w:szCs w:val="32"/>
          <w:lang w:eastAsia="zh-CN"/>
        </w:rPr>
      </w:pPr>
    </w:p>
    <w:p w14:paraId="48022550">
      <w:pPr>
        <w:rPr>
          <w:rFonts w:hint="eastAsia" w:eastAsia="仿宋_GB2312" w:cs="仿宋_GB2312"/>
          <w:sz w:val="32"/>
          <w:szCs w:val="32"/>
          <w:lang w:eastAsia="zh-CN"/>
        </w:rPr>
      </w:pPr>
    </w:p>
    <w:p w14:paraId="610E9FAC">
      <w:pPr>
        <w:pStyle w:val="2"/>
        <w:outlineLvl w:val="9"/>
        <w:rPr>
          <w:rFonts w:hint="eastAsia" w:eastAsia="仿宋_GB2312" w:cs="仿宋_GB2312"/>
          <w:sz w:val="32"/>
          <w:szCs w:val="32"/>
          <w:lang w:eastAsia="zh-CN"/>
        </w:rPr>
      </w:pPr>
    </w:p>
    <w:p w14:paraId="0353ECF3">
      <w:pPr>
        <w:rPr>
          <w:rFonts w:hint="eastAsia" w:eastAsia="仿宋_GB2312" w:cs="仿宋_GB2312"/>
          <w:sz w:val="32"/>
          <w:szCs w:val="32"/>
          <w:lang w:eastAsia="zh-CN"/>
        </w:rPr>
      </w:pPr>
    </w:p>
    <w:p w14:paraId="054B2BC9">
      <w:pPr>
        <w:pStyle w:val="2"/>
        <w:outlineLvl w:val="9"/>
        <w:rPr>
          <w:rFonts w:hint="eastAsia" w:eastAsia="仿宋_GB2312" w:cs="仿宋_GB2312"/>
          <w:sz w:val="32"/>
          <w:szCs w:val="32"/>
          <w:lang w:eastAsia="zh-CN"/>
        </w:rPr>
      </w:pPr>
    </w:p>
    <w:p w14:paraId="3A233239">
      <w:pPr>
        <w:rPr>
          <w:rFonts w:hint="eastAsia" w:eastAsia="仿宋_GB2312" w:cs="仿宋_GB2312"/>
          <w:sz w:val="32"/>
          <w:szCs w:val="32"/>
          <w:lang w:eastAsia="zh-CN"/>
        </w:rPr>
      </w:pPr>
    </w:p>
    <w:p w14:paraId="6309955F">
      <w:pPr>
        <w:pStyle w:val="2"/>
        <w:outlineLvl w:val="9"/>
        <w:rPr>
          <w:rFonts w:hint="eastAsia" w:eastAsia="仿宋_GB2312" w:cs="仿宋_GB2312"/>
          <w:sz w:val="32"/>
          <w:szCs w:val="32"/>
          <w:lang w:eastAsia="zh-CN"/>
        </w:rPr>
      </w:pPr>
    </w:p>
    <w:p w14:paraId="2C0E5BBF">
      <w:pPr>
        <w:rPr>
          <w:rFonts w:hint="eastAsia" w:eastAsia="仿宋_GB2312" w:cs="仿宋_GB2312"/>
          <w:sz w:val="32"/>
          <w:szCs w:val="32"/>
          <w:lang w:eastAsia="zh-CN"/>
        </w:rPr>
      </w:pPr>
    </w:p>
    <w:p w14:paraId="3E37EE62">
      <w:pPr>
        <w:pStyle w:val="2"/>
        <w:outlineLvl w:val="9"/>
        <w:rPr>
          <w:rFonts w:hint="eastAsia" w:eastAsia="仿宋_GB2312" w:cs="仿宋_GB2312"/>
          <w:sz w:val="32"/>
          <w:szCs w:val="32"/>
          <w:lang w:eastAsia="zh-CN"/>
        </w:rPr>
      </w:pPr>
    </w:p>
    <w:p w14:paraId="37F33353">
      <w:pPr>
        <w:rPr>
          <w:rFonts w:hint="eastAsia" w:eastAsia="仿宋_GB2312" w:cs="仿宋_GB2312"/>
          <w:sz w:val="32"/>
          <w:szCs w:val="32"/>
          <w:lang w:eastAsia="zh-CN"/>
        </w:rPr>
      </w:pPr>
    </w:p>
    <w:p w14:paraId="111268DD">
      <w:pPr>
        <w:pStyle w:val="2"/>
        <w:outlineLvl w:val="9"/>
        <w:rPr>
          <w:rFonts w:hint="eastAsia"/>
          <w:lang w:eastAsia="zh-CN"/>
        </w:rPr>
      </w:pPr>
    </w:p>
    <w:p w14:paraId="623024E3">
      <w:pPr>
        <w:spacing w:line="600" w:lineRule="exact"/>
        <w:jc w:val="center"/>
        <w:outlineLvl w:val="0"/>
        <w:rPr>
          <w:rFonts w:eastAsia="黑体"/>
          <w:sz w:val="44"/>
          <w:szCs w:val="44"/>
        </w:rPr>
      </w:pPr>
      <w:bookmarkStart w:id="77" w:name="_Toc15396613"/>
      <w:bookmarkStart w:id="78" w:name="_Toc15377225"/>
      <w:bookmarkStart w:id="79" w:name="_Toc1698542713"/>
      <w:r>
        <w:rPr>
          <w:rFonts w:hint="eastAsia" w:eastAsia="黑体"/>
          <w:sz w:val="44"/>
          <w:szCs w:val="44"/>
        </w:rPr>
        <w:t>第三部分  名词解释</w:t>
      </w:r>
      <w:bookmarkEnd w:id="77"/>
      <w:bookmarkEnd w:id="78"/>
      <w:bookmarkEnd w:id="79"/>
    </w:p>
    <w:p w14:paraId="3719813D">
      <w:pPr>
        <w:spacing w:line="600" w:lineRule="exact"/>
        <w:jc w:val="left"/>
        <w:rPr>
          <w:b/>
          <w:sz w:val="44"/>
          <w:szCs w:val="44"/>
        </w:rPr>
      </w:pPr>
    </w:p>
    <w:p w14:paraId="03367B2C">
      <w:pPr>
        <w:pStyle w:val="27"/>
        <w:spacing w:line="560" w:lineRule="exact"/>
        <w:ind w:firstLine="640" w:firstLineChars="200"/>
        <w:rPr>
          <w:rFonts w:ascii="Times New Roman" w:hAnsi="Times New Roman" w:eastAsia="仿宋_GB2312" w:cs="Times New Roman"/>
          <w:color w:val="auto"/>
          <w:sz w:val="32"/>
          <w:szCs w:val="32"/>
        </w:rPr>
      </w:pPr>
      <w:bookmarkStart w:id="80" w:name="_Toc15377226"/>
      <w:r>
        <w:rPr>
          <w:rFonts w:ascii="Times New Roman" w:hAnsi="Times New Roman" w:eastAsia="仿宋_GB2312" w:cs="Times New Roman"/>
          <w:color w:val="auto"/>
          <w:sz w:val="32"/>
          <w:szCs w:val="32"/>
        </w:rPr>
        <w:t>1</w:t>
      </w:r>
      <w:r>
        <w:rPr>
          <w:rFonts w:hint="eastAsia" w:ascii="Times New Roman" w:hAnsi="Times New Roman" w:eastAsia="仿宋_GB2312" w:cs="Times New Roman"/>
          <w:sz w:val="32"/>
          <w:szCs w:val="32"/>
          <w:lang w:val="en-US" w:eastAsia="zh-CN"/>
        </w:rPr>
        <w:t>.</w:t>
      </w:r>
      <w:r>
        <w:rPr>
          <w:rFonts w:ascii="Times New Roman" w:hAnsi="Times New Roman" w:eastAsia="仿宋_GB2312" w:cs="Times New Roman"/>
          <w:color w:val="auto"/>
          <w:sz w:val="32"/>
          <w:szCs w:val="32"/>
        </w:rPr>
        <w:t>财政拨款收入：指单位从同级财政部门取得的财政预算资金。</w:t>
      </w:r>
    </w:p>
    <w:p w14:paraId="73C2F514">
      <w:pPr>
        <w:pStyle w:val="27"/>
        <w:spacing w:line="56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w:t>
      </w:r>
      <w:r>
        <w:rPr>
          <w:rFonts w:ascii="Times New Roman" w:hAnsi="Times New Roman" w:eastAsia="仿宋_GB2312" w:cs="Times New Roman"/>
          <w:color w:val="auto"/>
          <w:sz w:val="32"/>
          <w:szCs w:val="32"/>
        </w:rPr>
        <w:t>年初结转和结余：指以前年度尚未完成、结转到本年按有关规定继续使用的资金。</w:t>
      </w:r>
    </w:p>
    <w:p w14:paraId="250C75D9">
      <w:pPr>
        <w:pStyle w:val="27"/>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lang w:val="en-US" w:eastAsia="zh-CN"/>
        </w:rPr>
        <w:t>.</w:t>
      </w:r>
      <w:r>
        <w:rPr>
          <w:rFonts w:ascii="Times New Roman" w:hAnsi="Times New Roman" w:eastAsia="仿宋_GB2312" w:cs="Times New Roman"/>
          <w:sz w:val="32"/>
          <w:szCs w:val="32"/>
        </w:rPr>
        <w:t>文化旅游体育与传媒支出（类）文化和旅游（款）其他文化和旅游支出（项）：反映除上述项目以外其他用于文化和旅游方面的支出。</w:t>
      </w:r>
    </w:p>
    <w:p w14:paraId="05847230">
      <w:pPr>
        <w:pStyle w:val="27"/>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社会保障和就业支出（类）行政事业单位养老支出（款）事业单位离退休（项）：反映事业单位开支的离退休经费。</w:t>
      </w:r>
    </w:p>
    <w:p w14:paraId="1626B1A5">
      <w:pPr>
        <w:pStyle w:val="27"/>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社会保障和就业支出（类）行政事业单位养老支出（款）机关事业单位基本养老保险缴费支出（项）：反映机关事业单位实施养老保险制度由单位缴纳的基本养老保险费支出。</w:t>
      </w:r>
    </w:p>
    <w:p w14:paraId="25C2B6D8">
      <w:pPr>
        <w:pStyle w:val="27"/>
        <w:spacing w:line="560" w:lineRule="exact"/>
        <w:ind w:firstLine="640" w:firstLineChars="200"/>
        <w:rPr>
          <w:rFonts w:ascii="Times New Roman" w:hAnsi="Times New Roman" w:eastAsia="仿宋_GB2312" w:cs="Times New Roman"/>
        </w:rPr>
      </w:pPr>
      <w:r>
        <w:rPr>
          <w:rFonts w:hint="eastAsia"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rPr>
        <w:t>社会保障和就业支出（类）行政事业单位养老支出（款）机关事业单位职业年金缴费支出（项）：指机关事业单位实施养老保险制度由单位实际缴纳的职业年金支出。</w:t>
      </w:r>
    </w:p>
    <w:p w14:paraId="0C7B8009">
      <w:pPr>
        <w:pStyle w:val="27"/>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社会保障和就业支出（类）其他社会保障和就业支出（款）其他社会保障和就业支出（项）：反映除上述项目以外其他用于社会保障和就业方面的支出。</w:t>
      </w:r>
    </w:p>
    <w:p w14:paraId="77330F78">
      <w:pPr>
        <w:pStyle w:val="27"/>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卫生健康支出（类）行政事业单位医疗（款）</w:t>
      </w:r>
      <w:r>
        <w:rPr>
          <w:rFonts w:hint="eastAsia" w:ascii="Times New Roman" w:hAnsi="Times New Roman" w:eastAsia="仿宋_GB2312" w:cs="Times New Roman"/>
          <w:sz w:val="32"/>
          <w:szCs w:val="32"/>
          <w:lang w:eastAsia="zh-CN"/>
        </w:rPr>
        <w:t>事业</w:t>
      </w:r>
      <w:r>
        <w:rPr>
          <w:rFonts w:ascii="Times New Roman" w:hAnsi="Times New Roman" w:eastAsia="仿宋_GB2312" w:cs="Times New Roman"/>
          <w:sz w:val="32"/>
          <w:szCs w:val="32"/>
        </w:rPr>
        <w:t>单位医疗（项）：指财政部门安排的</w:t>
      </w:r>
      <w:r>
        <w:rPr>
          <w:rFonts w:hint="eastAsia" w:ascii="Times New Roman" w:hAnsi="Times New Roman" w:eastAsia="仿宋_GB2312" w:cs="Times New Roman"/>
          <w:sz w:val="32"/>
          <w:szCs w:val="32"/>
          <w:lang w:eastAsia="zh-CN"/>
        </w:rPr>
        <w:t>事业</w:t>
      </w:r>
      <w:r>
        <w:rPr>
          <w:rFonts w:ascii="Times New Roman" w:hAnsi="Times New Roman" w:eastAsia="仿宋_GB2312" w:cs="Times New Roman"/>
          <w:sz w:val="32"/>
          <w:szCs w:val="32"/>
        </w:rPr>
        <w:t>单位基本医疗保险缴费经费，未参加医疗保险的</w:t>
      </w:r>
      <w:r>
        <w:rPr>
          <w:rFonts w:hint="eastAsia" w:ascii="Times New Roman" w:hAnsi="Times New Roman" w:eastAsia="仿宋_GB2312" w:cs="Times New Roman"/>
          <w:sz w:val="32"/>
          <w:szCs w:val="32"/>
          <w:lang w:eastAsia="zh-CN"/>
        </w:rPr>
        <w:t>事业</w:t>
      </w:r>
      <w:r>
        <w:rPr>
          <w:rFonts w:ascii="Times New Roman" w:hAnsi="Times New Roman" w:eastAsia="仿宋_GB2312" w:cs="Times New Roman"/>
          <w:sz w:val="32"/>
          <w:szCs w:val="32"/>
        </w:rPr>
        <w:t>单位的公费医疗经费，按国家规定享受离休人员待遇人员的医疗经费。</w:t>
      </w:r>
    </w:p>
    <w:p w14:paraId="5F6519EB">
      <w:pPr>
        <w:spacing w:line="600" w:lineRule="exact"/>
        <w:ind w:firstLine="640" w:firstLineChars="200"/>
        <w:rPr>
          <w:rFonts w:ascii="Times New Roman" w:hAnsi="Times New Roman" w:eastAsia="仿宋_GB2312"/>
          <w:kern w:val="0"/>
          <w:sz w:val="32"/>
          <w:szCs w:val="32"/>
        </w:rPr>
      </w:pPr>
      <w:r>
        <w:rPr>
          <w:rFonts w:hint="eastAsia" w:ascii="Times New Roman" w:hAnsi="Times New Roman" w:eastAsia="仿宋_GB2312"/>
          <w:kern w:val="0"/>
          <w:sz w:val="32"/>
          <w:szCs w:val="32"/>
          <w:lang w:val="en-US" w:eastAsia="zh-CN"/>
        </w:rPr>
        <w:t>9.</w:t>
      </w:r>
      <w:r>
        <w:rPr>
          <w:rFonts w:ascii="Times New Roman" w:hAnsi="Times New Roman" w:eastAsia="仿宋_GB2312"/>
          <w:kern w:val="0"/>
          <w:sz w:val="32"/>
          <w:szCs w:val="32"/>
        </w:rPr>
        <w:t>卫生健康支出（类）行政事业单位医疗（款）公务员医疗补助（项）：指财政部门安排的公务员医疗补助经费。</w:t>
      </w:r>
    </w:p>
    <w:p w14:paraId="0C8FE864">
      <w:pPr>
        <w:pStyle w:val="27"/>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住房保障支出（类）住房改革支出（款）住房公积金（项）：反映行政事业单位按人力资源和社会保障部、财政部规定的基本工资和津贴以及规定比例为职工缴纳的住房公积金。</w:t>
      </w:r>
    </w:p>
    <w:p w14:paraId="5C5692B3">
      <w:pPr>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val="en-US" w:eastAsia="zh-CN"/>
        </w:rPr>
        <w:t>11.</w:t>
      </w:r>
      <w:r>
        <w:rPr>
          <w:rFonts w:ascii="Times New Roman" w:hAnsi="Times New Roman" w:eastAsia="仿宋_GB2312"/>
          <w:sz w:val="32"/>
          <w:szCs w:val="32"/>
        </w:rPr>
        <w:t>基本支出：指为保障机构正常运转、完成日常工作任务而发生的人员支出和公用支出。</w:t>
      </w:r>
    </w:p>
    <w:p w14:paraId="0DD3C258">
      <w:pPr>
        <w:pStyle w:val="27"/>
        <w:spacing w:line="560" w:lineRule="exact"/>
        <w:ind w:firstLine="640" w:firstLineChars="200"/>
        <w:rPr>
          <w:rFonts w:ascii="Times New Roman" w:hAnsi="Times New Roman" w:eastAsia="仿宋_GB2312" w:cs="Times New Roman"/>
          <w:color w:val="auto"/>
          <w:sz w:val="32"/>
          <w:szCs w:val="32"/>
        </w:rPr>
      </w:pP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sz w:val="32"/>
          <w:szCs w:val="32"/>
        </w:rPr>
        <w:t>项目支出：指在基本支出之外为完成特定行政任务和事业发展目标所发生的支出。</w:t>
      </w:r>
    </w:p>
    <w:p w14:paraId="7897D90F">
      <w:pPr>
        <w:spacing w:line="600" w:lineRule="exact"/>
        <w:ind w:firstLine="640"/>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13.</w:t>
      </w:r>
      <w:r>
        <w:rPr>
          <w:rFonts w:ascii="Times New Roman" w:hAnsi="Times New Roman" w:eastAsia="仿宋_GB2312" w:cs="Times New Roman"/>
          <w:color w:val="auto"/>
          <w:sz w:val="32"/>
          <w:szCs w:val="32"/>
        </w:rPr>
        <w:t>“三公”经费：纳入预决算管理的“三公”经费，是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7902AC1">
      <w:pPr>
        <w:spacing w:line="600" w:lineRule="exact"/>
        <w:jc w:val="center"/>
        <w:outlineLvl w:val="0"/>
        <w:rPr>
          <w:rStyle w:val="29"/>
          <w:rFonts w:eastAsia="黑体"/>
          <w:b w:val="0"/>
        </w:rPr>
      </w:pPr>
      <w:r>
        <w:rPr>
          <w:rFonts w:hint="eastAsia" w:eastAsia="仿宋_GB2312" w:cs="仿宋_GB2312"/>
          <w:sz w:val="32"/>
          <w:szCs w:val="32"/>
        </w:rPr>
        <w:br w:type="page"/>
      </w:r>
      <w:bookmarkStart w:id="81" w:name="_Toc1403060854"/>
      <w:bookmarkStart w:id="82" w:name="_Toc15396614"/>
      <w:r>
        <w:rPr>
          <w:rFonts w:hint="eastAsia" w:eastAsia="黑体"/>
          <w:sz w:val="44"/>
          <w:szCs w:val="44"/>
        </w:rPr>
        <w:t>第四部分  附件</w:t>
      </w:r>
      <w:bookmarkEnd w:id="81"/>
      <w:bookmarkEnd w:id="82"/>
    </w:p>
    <w:p w14:paraId="7DCFB048">
      <w:pPr>
        <w:pStyle w:val="15"/>
      </w:pPr>
    </w:p>
    <w:p w14:paraId="5765F391">
      <w:pPr>
        <w:widowControl/>
        <w:spacing w:line="578" w:lineRule="exact"/>
        <w:contextualSpacing/>
        <w:jc w:val="center"/>
        <w:rPr>
          <w:rFonts w:eastAsia="方正小标宋简体"/>
          <w:bCs/>
          <w:sz w:val="44"/>
          <w:szCs w:val="44"/>
          <w:shd w:val="clear" w:color="auto" w:fill="FFFFFF"/>
        </w:rPr>
      </w:pPr>
    </w:p>
    <w:p w14:paraId="3EB825F6">
      <w:pPr>
        <w:pStyle w:val="8"/>
        <w:spacing w:line="560" w:lineRule="exact"/>
        <w:ind w:left="0" w:leftChars="0" w:firstLine="640"/>
        <w:rPr>
          <w:rFonts w:hint="default" w:ascii="Times New Roman" w:hAnsi="Times New Roman" w:eastAsia="仿宋_GB2312" w:cs="Times New Roman"/>
          <w:kern w:val="0"/>
          <w:sz w:val="32"/>
        </w:rPr>
      </w:pPr>
      <w:r>
        <w:rPr>
          <w:rFonts w:hint="default" w:ascii="Times New Roman" w:hAnsi="Times New Roman" w:eastAsia="仿宋_GB2312" w:cs="Times New Roman"/>
          <w:sz w:val="32"/>
          <w:lang w:eastAsia="zh-CN" w:bidi="ar"/>
        </w:rPr>
        <w:t>附表：</w:t>
      </w:r>
      <w:r>
        <w:rPr>
          <w:rFonts w:hint="default" w:ascii="Times New Roman" w:hAnsi="Times New Roman" w:eastAsia="仿宋_GB2312" w:cs="Times New Roman"/>
          <w:sz w:val="32"/>
          <w:lang w:bidi="ar"/>
        </w:rPr>
        <w:t>部门预算项目支出绩效自评表（2025年度）</w:t>
      </w:r>
    </w:p>
    <w:p w14:paraId="5AA1AE42">
      <w:pPr>
        <w:pStyle w:val="6"/>
        <w:spacing w:before="93"/>
        <w:rPr>
          <w:rFonts w:hint="eastAsia" w:ascii="Times New Roman" w:eastAsia="黑体" w:cs="黑体"/>
          <w:sz w:val="32"/>
          <w:szCs w:val="32"/>
          <w:shd w:val="clear" w:color="auto" w:fill="FFFFFF"/>
          <w:lang w:val="zh-CN"/>
        </w:rPr>
      </w:pPr>
    </w:p>
    <w:p w14:paraId="6F790247">
      <w:pPr>
        <w:spacing w:line="578" w:lineRule="exact"/>
        <w:ind w:firstLine="640"/>
        <w:rPr>
          <w:rFonts w:eastAsia="仿宋_GB2312" w:cs="仿宋_GB2312"/>
          <w:kern w:val="0"/>
          <w:sz w:val="32"/>
          <w:szCs w:val="32"/>
        </w:rPr>
      </w:pPr>
      <w:bookmarkStart w:id="83" w:name="_Toc15396618"/>
    </w:p>
    <w:p w14:paraId="59DA12E6">
      <w:pPr>
        <w:widowControl/>
        <w:jc w:val="center"/>
        <w:outlineLvl w:val="0"/>
        <w:rPr>
          <w:rFonts w:hint="eastAsia" w:eastAsia="黑体"/>
          <w:sz w:val="44"/>
          <w:szCs w:val="44"/>
        </w:rPr>
      </w:pPr>
      <w:bookmarkStart w:id="84" w:name="_Toc91009493"/>
    </w:p>
    <w:p w14:paraId="514D416E">
      <w:pPr>
        <w:widowControl/>
        <w:jc w:val="center"/>
        <w:outlineLvl w:val="0"/>
        <w:rPr>
          <w:rFonts w:hint="eastAsia" w:eastAsia="黑体"/>
          <w:sz w:val="44"/>
          <w:szCs w:val="44"/>
        </w:rPr>
      </w:pPr>
    </w:p>
    <w:p w14:paraId="1F78A22B">
      <w:pPr>
        <w:widowControl/>
        <w:jc w:val="center"/>
        <w:outlineLvl w:val="0"/>
        <w:rPr>
          <w:rFonts w:hint="eastAsia" w:eastAsia="黑体"/>
          <w:sz w:val="44"/>
          <w:szCs w:val="44"/>
        </w:rPr>
      </w:pPr>
    </w:p>
    <w:p w14:paraId="575C8259">
      <w:pPr>
        <w:widowControl/>
        <w:jc w:val="center"/>
        <w:outlineLvl w:val="0"/>
        <w:rPr>
          <w:rFonts w:hint="eastAsia" w:eastAsia="黑体"/>
          <w:sz w:val="44"/>
          <w:szCs w:val="44"/>
        </w:rPr>
      </w:pPr>
    </w:p>
    <w:p w14:paraId="2F5E188C">
      <w:pPr>
        <w:widowControl/>
        <w:jc w:val="center"/>
        <w:outlineLvl w:val="0"/>
        <w:rPr>
          <w:rFonts w:hint="eastAsia" w:eastAsia="黑体"/>
          <w:sz w:val="44"/>
          <w:szCs w:val="44"/>
        </w:rPr>
      </w:pPr>
    </w:p>
    <w:p w14:paraId="267241DB">
      <w:pPr>
        <w:widowControl/>
        <w:jc w:val="center"/>
        <w:outlineLvl w:val="0"/>
        <w:rPr>
          <w:rFonts w:hint="eastAsia" w:eastAsia="黑体"/>
          <w:sz w:val="44"/>
          <w:szCs w:val="44"/>
        </w:rPr>
      </w:pPr>
    </w:p>
    <w:p w14:paraId="6C940CB1">
      <w:pPr>
        <w:widowControl/>
        <w:jc w:val="center"/>
        <w:outlineLvl w:val="0"/>
        <w:rPr>
          <w:rFonts w:hint="eastAsia" w:eastAsia="黑体"/>
          <w:sz w:val="44"/>
          <w:szCs w:val="44"/>
        </w:rPr>
      </w:pPr>
    </w:p>
    <w:p w14:paraId="5CFC91D4">
      <w:pPr>
        <w:widowControl/>
        <w:jc w:val="center"/>
        <w:outlineLvl w:val="0"/>
        <w:rPr>
          <w:rFonts w:hint="eastAsia" w:eastAsia="黑体"/>
          <w:sz w:val="44"/>
          <w:szCs w:val="44"/>
        </w:rPr>
      </w:pPr>
    </w:p>
    <w:p w14:paraId="37C45F2A">
      <w:pPr>
        <w:widowControl/>
        <w:jc w:val="center"/>
        <w:outlineLvl w:val="0"/>
        <w:rPr>
          <w:rFonts w:hint="eastAsia" w:eastAsia="黑体"/>
          <w:sz w:val="44"/>
          <w:szCs w:val="44"/>
        </w:rPr>
      </w:pPr>
    </w:p>
    <w:p w14:paraId="35D7695F">
      <w:pPr>
        <w:widowControl/>
        <w:jc w:val="center"/>
        <w:outlineLvl w:val="0"/>
        <w:rPr>
          <w:rFonts w:hint="eastAsia" w:eastAsia="黑体"/>
          <w:sz w:val="44"/>
          <w:szCs w:val="44"/>
        </w:rPr>
      </w:pPr>
    </w:p>
    <w:p w14:paraId="39AE310A">
      <w:pPr>
        <w:widowControl/>
        <w:jc w:val="center"/>
        <w:outlineLvl w:val="0"/>
        <w:rPr>
          <w:rFonts w:hint="eastAsia" w:eastAsia="黑体"/>
          <w:sz w:val="44"/>
          <w:szCs w:val="44"/>
        </w:rPr>
      </w:pPr>
    </w:p>
    <w:p w14:paraId="1E1F7E57">
      <w:pPr>
        <w:widowControl/>
        <w:jc w:val="center"/>
        <w:outlineLvl w:val="0"/>
        <w:rPr>
          <w:rFonts w:hint="eastAsia" w:eastAsia="黑体"/>
          <w:sz w:val="44"/>
          <w:szCs w:val="44"/>
        </w:rPr>
      </w:pPr>
    </w:p>
    <w:p w14:paraId="48AC4928">
      <w:pPr>
        <w:widowControl/>
        <w:jc w:val="center"/>
        <w:outlineLvl w:val="0"/>
        <w:rPr>
          <w:rFonts w:hint="eastAsia" w:eastAsia="黑体"/>
          <w:sz w:val="44"/>
          <w:szCs w:val="44"/>
        </w:rPr>
      </w:pPr>
    </w:p>
    <w:p w14:paraId="34C6E013">
      <w:pPr>
        <w:widowControl/>
        <w:jc w:val="center"/>
        <w:outlineLvl w:val="0"/>
        <w:rPr>
          <w:rFonts w:hint="eastAsia" w:eastAsia="黑体"/>
          <w:sz w:val="44"/>
          <w:szCs w:val="44"/>
        </w:rPr>
      </w:pPr>
    </w:p>
    <w:p w14:paraId="3618CAC5">
      <w:pPr>
        <w:widowControl/>
        <w:jc w:val="center"/>
        <w:outlineLvl w:val="0"/>
        <w:rPr>
          <w:rFonts w:hint="eastAsia" w:eastAsia="黑体"/>
          <w:sz w:val="44"/>
          <w:szCs w:val="44"/>
        </w:rPr>
      </w:pPr>
    </w:p>
    <w:p w14:paraId="051F146C">
      <w:pPr>
        <w:widowControl/>
        <w:jc w:val="center"/>
        <w:outlineLvl w:val="0"/>
        <w:rPr>
          <w:rFonts w:hint="eastAsia" w:eastAsia="黑体"/>
          <w:sz w:val="44"/>
          <w:szCs w:val="44"/>
        </w:rPr>
      </w:pPr>
    </w:p>
    <w:p w14:paraId="1A19155F">
      <w:pPr>
        <w:widowControl/>
        <w:jc w:val="center"/>
        <w:outlineLvl w:val="0"/>
        <w:rPr>
          <w:rFonts w:hint="eastAsia" w:eastAsia="黑体"/>
          <w:sz w:val="44"/>
          <w:szCs w:val="44"/>
        </w:rPr>
      </w:pPr>
    </w:p>
    <w:p w14:paraId="7EA92BA9">
      <w:pPr>
        <w:widowControl/>
        <w:jc w:val="center"/>
        <w:outlineLvl w:val="0"/>
        <w:rPr>
          <w:rFonts w:hint="eastAsia" w:eastAsia="黑体"/>
          <w:sz w:val="44"/>
          <w:szCs w:val="44"/>
        </w:rPr>
      </w:pPr>
    </w:p>
    <w:p w14:paraId="02127EEB">
      <w:pPr>
        <w:widowControl/>
        <w:jc w:val="center"/>
        <w:outlineLvl w:val="0"/>
        <w:rPr>
          <w:rFonts w:eastAsia="仿宋"/>
        </w:rPr>
      </w:pPr>
      <w:r>
        <w:rPr>
          <w:rFonts w:hint="eastAsia" w:eastAsia="黑体"/>
          <w:sz w:val="44"/>
          <w:szCs w:val="44"/>
        </w:rPr>
        <w:t>第</w:t>
      </w:r>
      <w:r>
        <w:rPr>
          <w:rStyle w:val="29"/>
          <w:rFonts w:hint="eastAsia" w:eastAsia="黑体"/>
          <w:b w:val="0"/>
        </w:rPr>
        <w:t>五部分 附表</w:t>
      </w:r>
      <w:bookmarkEnd w:id="80"/>
      <w:bookmarkEnd w:id="83"/>
      <w:bookmarkEnd w:id="84"/>
      <w:bookmarkStart w:id="85" w:name="_Toc15396619"/>
    </w:p>
    <w:p w14:paraId="626952B9">
      <w:pPr>
        <w:pStyle w:val="16"/>
        <w:adjustRightInd w:val="0"/>
        <w:snapToGrid w:val="0"/>
        <w:spacing w:line="560" w:lineRule="exact"/>
        <w:jc w:val="left"/>
        <w:rPr>
          <w:rFonts w:eastAsia="仿宋_GB2312" w:cs="仿宋_GB2312"/>
          <w:sz w:val="32"/>
          <w:szCs w:val="32"/>
        </w:rPr>
      </w:pPr>
    </w:p>
    <w:p w14:paraId="65FF36DB">
      <w:pPr>
        <w:pStyle w:val="16"/>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85"/>
    </w:p>
    <w:p w14:paraId="178A9836">
      <w:pPr>
        <w:pStyle w:val="16"/>
        <w:adjustRightInd w:val="0"/>
        <w:snapToGrid w:val="0"/>
        <w:spacing w:line="560" w:lineRule="exact"/>
        <w:jc w:val="left"/>
        <w:rPr>
          <w:rFonts w:eastAsia="仿宋_GB2312" w:cs="仿宋_GB2312"/>
          <w:sz w:val="32"/>
          <w:szCs w:val="32"/>
        </w:rPr>
      </w:pPr>
      <w:bookmarkStart w:id="86" w:name="_Toc15396620"/>
      <w:r>
        <w:rPr>
          <w:rFonts w:hint="eastAsia" w:eastAsia="仿宋_GB2312" w:cs="仿宋_GB2312"/>
          <w:sz w:val="32"/>
          <w:szCs w:val="32"/>
        </w:rPr>
        <w:t>二、收入决算表</w:t>
      </w:r>
      <w:bookmarkEnd w:id="86"/>
    </w:p>
    <w:p w14:paraId="7E162D61">
      <w:pPr>
        <w:pStyle w:val="16"/>
        <w:adjustRightInd w:val="0"/>
        <w:snapToGrid w:val="0"/>
        <w:spacing w:line="560" w:lineRule="exact"/>
        <w:jc w:val="left"/>
        <w:rPr>
          <w:rFonts w:eastAsia="仿宋_GB2312" w:cs="仿宋_GB2312"/>
          <w:sz w:val="32"/>
          <w:szCs w:val="32"/>
        </w:rPr>
      </w:pPr>
      <w:bookmarkStart w:id="87" w:name="_Toc15396621"/>
      <w:r>
        <w:rPr>
          <w:rFonts w:hint="eastAsia" w:eastAsia="仿宋_GB2312" w:cs="仿宋_GB2312"/>
          <w:sz w:val="32"/>
          <w:szCs w:val="32"/>
        </w:rPr>
        <w:t>三、支出决算表</w:t>
      </w:r>
      <w:bookmarkEnd w:id="87"/>
    </w:p>
    <w:p w14:paraId="37D4E728">
      <w:pPr>
        <w:pStyle w:val="16"/>
        <w:adjustRightInd w:val="0"/>
        <w:snapToGrid w:val="0"/>
        <w:spacing w:line="560" w:lineRule="exact"/>
        <w:jc w:val="left"/>
        <w:rPr>
          <w:rFonts w:eastAsia="仿宋_GB2312" w:cs="仿宋_GB2312"/>
          <w:sz w:val="32"/>
          <w:szCs w:val="32"/>
        </w:rPr>
      </w:pPr>
      <w:bookmarkStart w:id="88" w:name="_Toc15396622"/>
      <w:r>
        <w:rPr>
          <w:rFonts w:hint="eastAsia" w:eastAsia="仿宋_GB2312" w:cs="仿宋_GB2312"/>
          <w:sz w:val="32"/>
          <w:szCs w:val="32"/>
        </w:rPr>
        <w:t>四、财政拨款收入支出决算总表</w:t>
      </w:r>
      <w:bookmarkEnd w:id="88"/>
    </w:p>
    <w:p w14:paraId="0B0FFA26">
      <w:pPr>
        <w:pStyle w:val="16"/>
        <w:adjustRightInd w:val="0"/>
        <w:snapToGrid w:val="0"/>
        <w:spacing w:line="560" w:lineRule="exact"/>
        <w:jc w:val="left"/>
        <w:rPr>
          <w:rFonts w:eastAsia="仿宋_GB2312" w:cs="仿宋_GB2312"/>
          <w:sz w:val="32"/>
          <w:szCs w:val="32"/>
        </w:rPr>
      </w:pPr>
      <w:bookmarkStart w:id="89" w:name="_Toc15396623"/>
      <w:r>
        <w:rPr>
          <w:rFonts w:hint="eastAsia" w:eastAsia="仿宋_GB2312" w:cs="仿宋_GB2312"/>
          <w:sz w:val="32"/>
          <w:szCs w:val="32"/>
        </w:rPr>
        <w:t>五、财政拨款支出决算明细表</w:t>
      </w:r>
      <w:bookmarkEnd w:id="89"/>
      <w:bookmarkStart w:id="90" w:name="_Toc15396624"/>
    </w:p>
    <w:p w14:paraId="411C7114">
      <w:pPr>
        <w:pStyle w:val="16"/>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90"/>
    </w:p>
    <w:p w14:paraId="7ECA18EB">
      <w:pPr>
        <w:pStyle w:val="16"/>
        <w:adjustRightInd w:val="0"/>
        <w:snapToGrid w:val="0"/>
        <w:spacing w:line="560" w:lineRule="exact"/>
        <w:jc w:val="left"/>
        <w:rPr>
          <w:rFonts w:eastAsia="仿宋_GB2312" w:cs="仿宋_GB2312"/>
          <w:sz w:val="32"/>
          <w:szCs w:val="32"/>
        </w:rPr>
      </w:pPr>
      <w:bookmarkStart w:id="91" w:name="_Toc15396625"/>
      <w:r>
        <w:rPr>
          <w:rFonts w:hint="eastAsia" w:eastAsia="仿宋_GB2312" w:cs="仿宋_GB2312"/>
          <w:sz w:val="32"/>
          <w:szCs w:val="32"/>
        </w:rPr>
        <w:t>七、一般公共预算财政拨款支出决算明细表</w:t>
      </w:r>
      <w:bookmarkEnd w:id="91"/>
    </w:p>
    <w:p w14:paraId="19509205">
      <w:pPr>
        <w:pStyle w:val="16"/>
        <w:adjustRightInd w:val="0"/>
        <w:snapToGrid w:val="0"/>
        <w:spacing w:line="560" w:lineRule="exact"/>
        <w:jc w:val="left"/>
        <w:rPr>
          <w:rFonts w:eastAsia="仿宋_GB2312" w:cs="仿宋_GB2312"/>
          <w:sz w:val="32"/>
          <w:szCs w:val="32"/>
        </w:rPr>
      </w:pPr>
      <w:bookmarkStart w:id="92" w:name="_Toc15396626"/>
      <w:r>
        <w:rPr>
          <w:rFonts w:hint="eastAsia" w:eastAsia="仿宋_GB2312" w:cs="仿宋_GB2312"/>
          <w:sz w:val="32"/>
          <w:szCs w:val="32"/>
        </w:rPr>
        <w:t>八、一般公共预算财政拨款基本支出决算表</w:t>
      </w:r>
      <w:bookmarkEnd w:id="92"/>
    </w:p>
    <w:p w14:paraId="304A07F3">
      <w:pPr>
        <w:pStyle w:val="16"/>
        <w:adjustRightInd w:val="0"/>
        <w:snapToGrid w:val="0"/>
        <w:spacing w:line="560" w:lineRule="exact"/>
        <w:jc w:val="left"/>
        <w:rPr>
          <w:rFonts w:eastAsia="仿宋_GB2312" w:cs="仿宋_GB2312"/>
          <w:sz w:val="32"/>
          <w:szCs w:val="32"/>
        </w:rPr>
      </w:pPr>
      <w:bookmarkStart w:id="93" w:name="_Toc15396627"/>
      <w:r>
        <w:rPr>
          <w:rFonts w:hint="eastAsia" w:eastAsia="仿宋_GB2312" w:cs="仿宋_GB2312"/>
          <w:sz w:val="32"/>
          <w:szCs w:val="32"/>
        </w:rPr>
        <w:t>九、一般公共预算财政拨款项目支出决算表</w:t>
      </w:r>
      <w:bookmarkEnd w:id="93"/>
    </w:p>
    <w:p w14:paraId="6FAB3CA3">
      <w:pPr>
        <w:pStyle w:val="16"/>
        <w:adjustRightInd w:val="0"/>
        <w:snapToGrid w:val="0"/>
        <w:spacing w:line="560" w:lineRule="exact"/>
        <w:jc w:val="left"/>
        <w:rPr>
          <w:rFonts w:eastAsia="仿宋_GB2312" w:cs="仿宋_GB2312"/>
          <w:sz w:val="32"/>
          <w:szCs w:val="32"/>
        </w:rPr>
      </w:pPr>
      <w:bookmarkStart w:id="94" w:name="_Toc15396628"/>
      <w:r>
        <w:rPr>
          <w:rFonts w:hint="eastAsia" w:eastAsia="仿宋_GB2312" w:cs="仿宋_GB2312"/>
          <w:sz w:val="32"/>
          <w:szCs w:val="32"/>
        </w:rPr>
        <w:t>十、</w:t>
      </w:r>
      <w:bookmarkEnd w:id="94"/>
      <w:r>
        <w:rPr>
          <w:rFonts w:hint="eastAsia" w:eastAsia="仿宋_GB2312" w:cs="仿宋_GB2312"/>
          <w:sz w:val="32"/>
          <w:szCs w:val="32"/>
        </w:rPr>
        <w:t>政府性基金预算财政拨款收入支出决算表</w:t>
      </w:r>
    </w:p>
    <w:p w14:paraId="4C768A4D">
      <w:pPr>
        <w:pStyle w:val="16"/>
        <w:adjustRightInd w:val="0"/>
        <w:snapToGrid w:val="0"/>
        <w:spacing w:line="560" w:lineRule="exact"/>
        <w:jc w:val="left"/>
        <w:rPr>
          <w:rFonts w:eastAsia="仿宋_GB2312" w:cs="仿宋_GB2312"/>
          <w:sz w:val="32"/>
          <w:szCs w:val="32"/>
        </w:rPr>
      </w:pPr>
      <w:bookmarkStart w:id="95" w:name="_Toc15396629"/>
      <w:r>
        <w:rPr>
          <w:rFonts w:hint="eastAsia" w:eastAsia="仿宋_GB2312" w:cs="仿宋_GB2312"/>
          <w:sz w:val="32"/>
          <w:szCs w:val="32"/>
        </w:rPr>
        <w:t>十一、</w:t>
      </w:r>
      <w:bookmarkEnd w:id="95"/>
      <w:r>
        <w:rPr>
          <w:rFonts w:hint="eastAsia" w:eastAsia="仿宋_GB2312" w:cs="仿宋_GB2312"/>
          <w:sz w:val="32"/>
          <w:szCs w:val="32"/>
        </w:rPr>
        <w:t>国有资本经营预算财政拨款收入支出决算表</w:t>
      </w:r>
    </w:p>
    <w:p w14:paraId="4DEF2B49">
      <w:pPr>
        <w:pStyle w:val="16"/>
        <w:adjustRightInd w:val="0"/>
        <w:snapToGrid w:val="0"/>
        <w:spacing w:line="560" w:lineRule="exact"/>
        <w:jc w:val="left"/>
        <w:rPr>
          <w:rFonts w:eastAsia="仿宋_GB2312" w:cs="仿宋_GB2312"/>
          <w:sz w:val="32"/>
          <w:szCs w:val="32"/>
        </w:rPr>
      </w:pPr>
      <w:bookmarkStart w:id="96" w:name="_Toc15396630"/>
      <w:r>
        <w:rPr>
          <w:rFonts w:hint="eastAsia" w:eastAsia="仿宋_GB2312" w:cs="仿宋_GB2312"/>
          <w:sz w:val="32"/>
          <w:szCs w:val="32"/>
        </w:rPr>
        <w:t>十二、</w:t>
      </w:r>
      <w:bookmarkEnd w:id="96"/>
      <w:r>
        <w:rPr>
          <w:rFonts w:hint="eastAsia" w:eastAsia="仿宋_GB2312" w:cs="仿宋_GB2312"/>
          <w:sz w:val="32"/>
          <w:szCs w:val="32"/>
        </w:rPr>
        <w:t>国有资本经营预算财政拨款支出决算表</w:t>
      </w:r>
    </w:p>
    <w:p w14:paraId="6B16EB9A">
      <w:pPr>
        <w:pStyle w:val="16"/>
        <w:adjustRightInd w:val="0"/>
        <w:snapToGrid w:val="0"/>
        <w:spacing w:line="560" w:lineRule="exact"/>
        <w:jc w:val="left"/>
        <w:rPr>
          <w:rFonts w:eastAsia="仿宋_GB2312" w:cs="仿宋_GB2312"/>
          <w:sz w:val="32"/>
          <w:szCs w:val="32"/>
        </w:rPr>
      </w:pPr>
      <w:bookmarkStart w:id="97" w:name="_Toc15396631"/>
      <w:r>
        <w:rPr>
          <w:rFonts w:hint="eastAsia" w:eastAsia="仿宋_GB2312" w:cs="仿宋_GB2312"/>
          <w:sz w:val="32"/>
          <w:szCs w:val="32"/>
        </w:rPr>
        <w:t>十三、</w:t>
      </w:r>
      <w:bookmarkEnd w:id="97"/>
      <w:r>
        <w:rPr>
          <w:rFonts w:hint="eastAsia" w:eastAsia="仿宋_GB2312" w:cs="仿宋_GB2312"/>
          <w:sz w:val="32"/>
          <w:szCs w:val="32"/>
        </w:rPr>
        <w:t>财政拨款“三公”经费支出决算表</w:t>
      </w:r>
    </w:p>
    <w:p w14:paraId="717837EF"/>
    <w:sectPr>
      <w:footerReference r:id="rId6"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86"/>
    <w:family w:val="auto"/>
    <w:pitch w:val="default"/>
    <w:sig w:usb0="00000203" w:usb1="288F0000" w:usb2="00000006"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panose1 w:val="02010609030101010101"/>
    <w:charset w:val="86"/>
    <w:family w:val="modern"/>
    <w:pitch w:val="default"/>
    <w:sig w:usb0="00000001" w:usb1="080E0000" w:usb2="00000000" w:usb3="00000000" w:csb0="00040000" w:csb1="00000000"/>
  </w:font>
  <w:font w:name="仿宋">
    <w:altName w:val="宋体"/>
    <w:panose1 w:val="02010609060101010101"/>
    <w:charset w:val="86"/>
    <w:family w:val="modern"/>
    <w:pitch w:val="default"/>
    <w:sig w:usb0="00000000" w:usb1="00000000" w:usb2="00000016" w:usb3="00000000" w:csb0="00040001" w:csb1="00000000"/>
  </w:font>
  <w:font w:name="??">
    <w:altName w:val="C059"/>
    <w:panose1 w:val="00000000000000000000"/>
    <w:charset w:val="00"/>
    <w:family w:val="roman"/>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1A6CF">
    <w:pPr>
      <w:pStyle w:val="12"/>
      <w:jc w:val="center"/>
    </w:pPr>
  </w:p>
  <w:p w14:paraId="7C4F6BDF">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F5FC7">
    <w:pPr>
      <w:pStyle w:val="12"/>
      <w:jc w:val="center"/>
    </w:pPr>
  </w:p>
  <w:p w14:paraId="281494DC">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3C05D">
    <w:pPr>
      <w:pStyle w:val="1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99CFE2">
                          <w:pPr>
                            <w:pStyle w:val="1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2A99CFE2">
                    <w:pPr>
                      <w:pStyle w:val="1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p w14:paraId="2DD4244E">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18172F">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7FFC9B"/>
    <w:multiLevelType w:val="singleLevel"/>
    <w:tmpl w:val="FF7FFC9B"/>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9"/>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1ADD"/>
    <w:rsid w:val="00163351"/>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66425"/>
    <w:rsid w:val="0037013F"/>
    <w:rsid w:val="00380C92"/>
    <w:rsid w:val="003A167B"/>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75C6A"/>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3741F"/>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87D95"/>
    <w:rsid w:val="009931C3"/>
    <w:rsid w:val="009A1776"/>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5EA2"/>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43BF5"/>
    <w:rsid w:val="00D51247"/>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BB53545"/>
    <w:rsid w:val="0C6C4794"/>
    <w:rsid w:val="0CA8290A"/>
    <w:rsid w:val="0D35B1ED"/>
    <w:rsid w:val="0DE07E2B"/>
    <w:rsid w:val="0F98263C"/>
    <w:rsid w:val="101860EC"/>
    <w:rsid w:val="10C055FF"/>
    <w:rsid w:val="11772AA4"/>
    <w:rsid w:val="118107EC"/>
    <w:rsid w:val="13D50BC4"/>
    <w:rsid w:val="14022904"/>
    <w:rsid w:val="152F2A07"/>
    <w:rsid w:val="165E0673"/>
    <w:rsid w:val="16BB723D"/>
    <w:rsid w:val="186504BB"/>
    <w:rsid w:val="1938089F"/>
    <w:rsid w:val="19A445FC"/>
    <w:rsid w:val="1B7D550C"/>
    <w:rsid w:val="1BE8440E"/>
    <w:rsid w:val="1D155CEE"/>
    <w:rsid w:val="1E4FA8AC"/>
    <w:rsid w:val="1E740ACF"/>
    <w:rsid w:val="1FF35744"/>
    <w:rsid w:val="1FF6BC77"/>
    <w:rsid w:val="21962A9E"/>
    <w:rsid w:val="21AE7C77"/>
    <w:rsid w:val="22BC3C41"/>
    <w:rsid w:val="23860B96"/>
    <w:rsid w:val="240371BF"/>
    <w:rsid w:val="25D7DF56"/>
    <w:rsid w:val="260F557C"/>
    <w:rsid w:val="281408E2"/>
    <w:rsid w:val="29FD04D3"/>
    <w:rsid w:val="2BFF7BC6"/>
    <w:rsid w:val="2C8A61B5"/>
    <w:rsid w:val="2CDFF69C"/>
    <w:rsid w:val="2D2E01CF"/>
    <w:rsid w:val="2DF04E50"/>
    <w:rsid w:val="2E9545B0"/>
    <w:rsid w:val="2F040D46"/>
    <w:rsid w:val="2FAE5751"/>
    <w:rsid w:val="2FB1A395"/>
    <w:rsid w:val="2FD9A7D8"/>
    <w:rsid w:val="2FFF1662"/>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AFBD5F5"/>
    <w:rsid w:val="3B7EF35A"/>
    <w:rsid w:val="3B9FDB6C"/>
    <w:rsid w:val="3BF1E9CD"/>
    <w:rsid w:val="3BF5BC2F"/>
    <w:rsid w:val="3CEBA265"/>
    <w:rsid w:val="3D8E3FC9"/>
    <w:rsid w:val="3D98207C"/>
    <w:rsid w:val="3D9B0D99"/>
    <w:rsid w:val="3DEE7CF3"/>
    <w:rsid w:val="3DF02244"/>
    <w:rsid w:val="3E78745D"/>
    <w:rsid w:val="3F7FDB42"/>
    <w:rsid w:val="3FA6782D"/>
    <w:rsid w:val="3FBDCB03"/>
    <w:rsid w:val="3FD79BD9"/>
    <w:rsid w:val="3FF4CAE0"/>
    <w:rsid w:val="3FF7B227"/>
    <w:rsid w:val="40E54C45"/>
    <w:rsid w:val="43A407DF"/>
    <w:rsid w:val="44515BEA"/>
    <w:rsid w:val="449B1836"/>
    <w:rsid w:val="44E268DA"/>
    <w:rsid w:val="453F7E5B"/>
    <w:rsid w:val="486A6C7A"/>
    <w:rsid w:val="49176D9B"/>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9F3626"/>
    <w:rsid w:val="53AF27A2"/>
    <w:rsid w:val="53F74C96"/>
    <w:rsid w:val="54F4396B"/>
    <w:rsid w:val="56BFC08F"/>
    <w:rsid w:val="56E47B74"/>
    <w:rsid w:val="57A5B807"/>
    <w:rsid w:val="57BD3DD4"/>
    <w:rsid w:val="5ABF203E"/>
    <w:rsid w:val="5AF92295"/>
    <w:rsid w:val="5BDD79E6"/>
    <w:rsid w:val="5BF561CA"/>
    <w:rsid w:val="5BFF5DFC"/>
    <w:rsid w:val="5C1FD1A1"/>
    <w:rsid w:val="5CD71FC4"/>
    <w:rsid w:val="5D1F11B5"/>
    <w:rsid w:val="5DAE1B18"/>
    <w:rsid w:val="5DE7D9E5"/>
    <w:rsid w:val="5ECEC941"/>
    <w:rsid w:val="5F493CB7"/>
    <w:rsid w:val="5FBD1441"/>
    <w:rsid w:val="5FBF9FF3"/>
    <w:rsid w:val="5FCD4E2C"/>
    <w:rsid w:val="5FD15F49"/>
    <w:rsid w:val="5FEF394A"/>
    <w:rsid w:val="5FF67715"/>
    <w:rsid w:val="5FFEDDC5"/>
    <w:rsid w:val="62BF3928"/>
    <w:rsid w:val="647F5392"/>
    <w:rsid w:val="664B1D71"/>
    <w:rsid w:val="67AA3209"/>
    <w:rsid w:val="6817DBE2"/>
    <w:rsid w:val="681C4F0D"/>
    <w:rsid w:val="69046D0F"/>
    <w:rsid w:val="69745B81"/>
    <w:rsid w:val="698D0931"/>
    <w:rsid w:val="6A993CED"/>
    <w:rsid w:val="6AAF46F5"/>
    <w:rsid w:val="6AEDC6A6"/>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50861"/>
    <w:rsid w:val="6FEFFFD8"/>
    <w:rsid w:val="6FF5CC65"/>
    <w:rsid w:val="6FFB47EC"/>
    <w:rsid w:val="6FFF034A"/>
    <w:rsid w:val="70496804"/>
    <w:rsid w:val="712A28F1"/>
    <w:rsid w:val="715C0E4B"/>
    <w:rsid w:val="72233669"/>
    <w:rsid w:val="72734D90"/>
    <w:rsid w:val="7332FE48"/>
    <w:rsid w:val="73AB61DA"/>
    <w:rsid w:val="73AD73D5"/>
    <w:rsid w:val="73B6EB34"/>
    <w:rsid w:val="73FA497D"/>
    <w:rsid w:val="73FB7724"/>
    <w:rsid w:val="744731E5"/>
    <w:rsid w:val="74527205"/>
    <w:rsid w:val="74BBD01D"/>
    <w:rsid w:val="74ED5379"/>
    <w:rsid w:val="74FC2395"/>
    <w:rsid w:val="75DEEEC2"/>
    <w:rsid w:val="75FFA020"/>
    <w:rsid w:val="76E3355F"/>
    <w:rsid w:val="76FF5125"/>
    <w:rsid w:val="776F6FFA"/>
    <w:rsid w:val="778769C8"/>
    <w:rsid w:val="77DC22F5"/>
    <w:rsid w:val="77EF6195"/>
    <w:rsid w:val="79086DAD"/>
    <w:rsid w:val="79974F09"/>
    <w:rsid w:val="79D7FD79"/>
    <w:rsid w:val="79EE5BA4"/>
    <w:rsid w:val="7A2F0E9E"/>
    <w:rsid w:val="7A359C7D"/>
    <w:rsid w:val="7A894339"/>
    <w:rsid w:val="7AFF7572"/>
    <w:rsid w:val="7B6C7DFB"/>
    <w:rsid w:val="7B6E84A7"/>
    <w:rsid w:val="7B7F9A44"/>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B72F5B"/>
    <w:rsid w:val="7FC96657"/>
    <w:rsid w:val="7FDA9588"/>
    <w:rsid w:val="7FDE1DFA"/>
    <w:rsid w:val="7FDF220F"/>
    <w:rsid w:val="7FEDC5F7"/>
    <w:rsid w:val="7FEDD9DE"/>
    <w:rsid w:val="7FEE5E5E"/>
    <w:rsid w:val="7FEE9601"/>
    <w:rsid w:val="7FEFE71A"/>
    <w:rsid w:val="7FF5699B"/>
    <w:rsid w:val="7FF5890D"/>
    <w:rsid w:val="7FF93490"/>
    <w:rsid w:val="7FFFD47B"/>
    <w:rsid w:val="7FFFD96D"/>
    <w:rsid w:val="9774B503"/>
    <w:rsid w:val="99FF2014"/>
    <w:rsid w:val="9EF63D97"/>
    <w:rsid w:val="9FFFBEB3"/>
    <w:rsid w:val="A6DD0D7F"/>
    <w:rsid w:val="ADC6F725"/>
    <w:rsid w:val="B3EBF943"/>
    <w:rsid w:val="B4CBA38E"/>
    <w:rsid w:val="B7CF06AB"/>
    <w:rsid w:val="B7CFA926"/>
    <w:rsid w:val="B7EF12B1"/>
    <w:rsid w:val="B7F8786B"/>
    <w:rsid w:val="BABB6AA1"/>
    <w:rsid w:val="BB2F4199"/>
    <w:rsid w:val="BBBDA129"/>
    <w:rsid w:val="BD079C78"/>
    <w:rsid w:val="BD733540"/>
    <w:rsid w:val="BF3735D5"/>
    <w:rsid w:val="BF7F09AC"/>
    <w:rsid w:val="BFD475C3"/>
    <w:rsid w:val="BFDE5EA6"/>
    <w:rsid w:val="CEFD2408"/>
    <w:rsid w:val="CF6FC6F3"/>
    <w:rsid w:val="CFD3D3D7"/>
    <w:rsid w:val="CFDF1009"/>
    <w:rsid w:val="D51FA11F"/>
    <w:rsid w:val="D7D7B16A"/>
    <w:rsid w:val="D8D6DB89"/>
    <w:rsid w:val="DB6F4CAB"/>
    <w:rsid w:val="DB777682"/>
    <w:rsid w:val="DC6F285B"/>
    <w:rsid w:val="DD1FB521"/>
    <w:rsid w:val="DDBF1FCF"/>
    <w:rsid w:val="DEFBFEAE"/>
    <w:rsid w:val="DF1F3B80"/>
    <w:rsid w:val="DF6F9789"/>
    <w:rsid w:val="DF7FE29D"/>
    <w:rsid w:val="DFFFA9E8"/>
    <w:rsid w:val="E1FF1CF1"/>
    <w:rsid w:val="E5F4E9DC"/>
    <w:rsid w:val="E70FE695"/>
    <w:rsid w:val="EBEFC172"/>
    <w:rsid w:val="ECFED1BC"/>
    <w:rsid w:val="ED1D69BB"/>
    <w:rsid w:val="ED7FD312"/>
    <w:rsid w:val="EDBFF446"/>
    <w:rsid w:val="EDFD7752"/>
    <w:rsid w:val="EE3D0D39"/>
    <w:rsid w:val="EF53993F"/>
    <w:rsid w:val="EF6FD633"/>
    <w:rsid w:val="EF972D6D"/>
    <w:rsid w:val="EFBFB2F4"/>
    <w:rsid w:val="EFBFFA21"/>
    <w:rsid w:val="EFFD31FC"/>
    <w:rsid w:val="F2BEBCB8"/>
    <w:rsid w:val="F36FB518"/>
    <w:rsid w:val="F3DE1A04"/>
    <w:rsid w:val="F3F722E5"/>
    <w:rsid w:val="F6D728EA"/>
    <w:rsid w:val="F7CE146E"/>
    <w:rsid w:val="FA5F1E70"/>
    <w:rsid w:val="FA5FDB97"/>
    <w:rsid w:val="FB7F486A"/>
    <w:rsid w:val="FBFB7139"/>
    <w:rsid w:val="FBFBEC28"/>
    <w:rsid w:val="FBFF5B2E"/>
    <w:rsid w:val="FC8F65F7"/>
    <w:rsid w:val="FCFF7D5F"/>
    <w:rsid w:val="FD4ECB7C"/>
    <w:rsid w:val="FD7FFE2B"/>
    <w:rsid w:val="FD8B89BE"/>
    <w:rsid w:val="FDD0B1B3"/>
    <w:rsid w:val="FDE66530"/>
    <w:rsid w:val="FDEE196B"/>
    <w:rsid w:val="FDFBE47E"/>
    <w:rsid w:val="FDFE6575"/>
    <w:rsid w:val="FEC0B52B"/>
    <w:rsid w:val="FEDFDDC2"/>
    <w:rsid w:val="FEED32F6"/>
    <w:rsid w:val="FEF781DD"/>
    <w:rsid w:val="FF3C034A"/>
    <w:rsid w:val="FF3F7E3F"/>
    <w:rsid w:val="FF4D82AA"/>
    <w:rsid w:val="FFBA12D7"/>
    <w:rsid w:val="FFDFFAEE"/>
    <w:rsid w:val="FFEBDA8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200" w:leftChars="200"/>
    </w:pPr>
    <w:rPr>
      <w:rFonts w:ascii="仿宋_GB2312"/>
      <w:szCs w:val="32"/>
    </w:rPr>
  </w:style>
  <w:style w:type="paragraph" w:styleId="8">
    <w:name w:val="Body Text First Indent 2"/>
    <w:basedOn w:val="7"/>
    <w:next w:val="1"/>
    <w:link w:val="36"/>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Plain Text"/>
    <w:basedOn w:val="1"/>
    <w:qFormat/>
    <w:uiPriority w:val="0"/>
    <w:rPr>
      <w:rFonts w:ascii="宋体" w:eastAsia="宋体"/>
      <w:sz w:val="21"/>
    </w:rPr>
  </w:style>
  <w:style w:type="paragraph" w:styleId="11">
    <w:name w:val="Balloon Text"/>
    <w:basedOn w:val="1"/>
    <w:link w:val="32"/>
    <w:semiHidden/>
    <w:unhideWhenUsed/>
    <w:qFormat/>
    <w:uiPriority w:val="99"/>
    <w:rPr>
      <w:sz w:val="18"/>
      <w:szCs w:val="18"/>
    </w:rPr>
  </w:style>
  <w:style w:type="paragraph" w:styleId="12">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footnote text"/>
    <w:basedOn w:val="1"/>
    <w:next w:val="8"/>
    <w:semiHidden/>
    <w:qFormat/>
    <w:uiPriority w:val="0"/>
    <w:pPr>
      <w:snapToGrid w:val="0"/>
      <w:jc w:val="left"/>
    </w:pPr>
    <w:rPr>
      <w:sz w:val="18"/>
      <w:szCs w:val="18"/>
    </w:rPr>
  </w:style>
  <w:style w:type="paragraph" w:styleId="16">
    <w:name w:val="toc 2"/>
    <w:basedOn w:val="1"/>
    <w:next w:val="1"/>
    <w:unhideWhenUsed/>
    <w:qFormat/>
    <w:uiPriority w:val="39"/>
    <w:pPr>
      <w:tabs>
        <w:tab w:val="right" w:leader="dot" w:pos="8296"/>
      </w:tabs>
      <w:ind w:left="420" w:leftChars="200"/>
    </w:p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character" w:customStyle="1" w:styleId="21">
    <w:name w:val="Header Char"/>
    <w:basedOn w:val="18"/>
    <w:semiHidden/>
    <w:qFormat/>
    <w:uiPriority w:val="99"/>
    <w:rPr>
      <w:rFonts w:ascii="Times New Roman" w:hAnsi="Times New Roman"/>
      <w:sz w:val="18"/>
      <w:szCs w:val="18"/>
    </w:rPr>
  </w:style>
  <w:style w:type="character" w:customStyle="1" w:styleId="22">
    <w:name w:val="页眉 Char"/>
    <w:link w:val="13"/>
    <w:semiHidden/>
    <w:qFormat/>
    <w:locked/>
    <w:uiPriority w:val="99"/>
    <w:rPr>
      <w:sz w:val="18"/>
    </w:rPr>
  </w:style>
  <w:style w:type="character" w:customStyle="1" w:styleId="23">
    <w:name w:val="Footer Char"/>
    <w:basedOn w:val="18"/>
    <w:semiHidden/>
    <w:qFormat/>
    <w:uiPriority w:val="99"/>
    <w:rPr>
      <w:rFonts w:ascii="Times New Roman" w:hAnsi="Times New Roman"/>
      <w:sz w:val="18"/>
      <w:szCs w:val="18"/>
    </w:rPr>
  </w:style>
  <w:style w:type="character" w:customStyle="1" w:styleId="24">
    <w:name w:val="页脚 Char"/>
    <w:link w:val="12"/>
    <w:qFormat/>
    <w:locked/>
    <w:uiPriority w:val="99"/>
    <w:rPr>
      <w:sz w:val="18"/>
    </w:rPr>
  </w:style>
  <w:style w:type="character" w:customStyle="1" w:styleId="25">
    <w:name w:val="Body Text Char"/>
    <w:basedOn w:val="18"/>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8"/>
    <w:link w:val="3"/>
    <w:qFormat/>
    <w:uiPriority w:val="9"/>
    <w:rPr>
      <w:rFonts w:ascii="Times New Roman" w:hAnsi="Times New Roman"/>
      <w:b/>
      <w:bCs/>
      <w:kern w:val="44"/>
      <w:sz w:val="44"/>
      <w:szCs w:val="44"/>
    </w:rPr>
  </w:style>
  <w:style w:type="character" w:customStyle="1" w:styleId="30">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8"/>
    <w:link w:val="11"/>
    <w:semiHidden/>
    <w:qFormat/>
    <w:uiPriority w:val="99"/>
    <w:rPr>
      <w:rFonts w:ascii="Times New Roman" w:hAnsi="Times New Roman"/>
      <w:kern w:val="2"/>
      <w:sz w:val="18"/>
      <w:szCs w:val="18"/>
    </w:rPr>
  </w:style>
  <w:style w:type="character" w:customStyle="1" w:styleId="33">
    <w:name w:val="标题 3 Char"/>
    <w:basedOn w:val="18"/>
    <w:link w:val="5"/>
    <w:qFormat/>
    <w:uiPriority w:val="9"/>
    <w:rPr>
      <w:rFonts w:ascii="Times New Roman" w:hAnsi="Times New Roman"/>
      <w:b/>
      <w:bCs/>
      <w:kern w:val="2"/>
      <w:sz w:val="32"/>
      <w:szCs w:val="32"/>
    </w:rPr>
  </w:style>
  <w:style w:type="paragraph" w:customStyle="1" w:styleId="34">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color w:val="000000"/>
      <w:kern w:val="0"/>
      <w:sz w:val="28"/>
      <w:szCs w:val="21"/>
      <w:lang w:val="zh-CN"/>
    </w:rPr>
  </w:style>
  <w:style w:type="character" w:customStyle="1" w:styleId="36">
    <w:name w:val="正文首行缩进 2 Char"/>
    <w:basedOn w:val="18"/>
    <w:link w:val="8"/>
    <w:qFormat/>
    <w:uiPriority w:val="99"/>
    <w:rPr>
      <w:rFonts w:ascii="仿宋_GB2312"/>
      <w:kern w:val="2"/>
      <w:sz w:val="21"/>
      <w:szCs w:val="32"/>
    </w:rPr>
  </w:style>
  <w:style w:type="paragraph" w:customStyle="1" w:styleId="37">
    <w:name w:val="正文-公1"/>
    <w:basedOn w:val="38"/>
    <w:next w:val="1"/>
    <w:qFormat/>
    <w:uiPriority w:val="0"/>
    <w:pPr>
      <w:ind w:firstLine="200" w:firstLineChars="200"/>
    </w:pPr>
  </w:style>
  <w:style w:type="paragraph" w:customStyle="1" w:styleId="38">
    <w:name w:val="正文 New New New New New New New New New New New New New New New New New New New New New New New New New New New New New New New New New New New New New New New New New New New New New New New New New New New New New New New New New New New New New New Ne"/>
    <w:next w:val="37"/>
    <w:qFormat/>
    <w:uiPriority w:val="0"/>
    <w:pPr>
      <w:widowControl w:val="0"/>
      <w:jc w:val="both"/>
    </w:pPr>
    <w:rPr>
      <w:rFonts w:ascii="Times New Roman" w:hAnsi="Times New Roman" w:eastAsia="宋体" w:cs="Times New Roman"/>
      <w:kern w:val="2"/>
      <w:sz w:val="21"/>
      <w:lang w:val="en-US" w:eastAsia="zh-CN"/>
    </w:rPr>
  </w:style>
  <w:style w:type="paragraph" w:customStyle="1" w:styleId="39">
    <w:name w:val="WPSOffice手动目录 1"/>
    <w:qFormat/>
    <w:uiPriority w:val="0"/>
    <w:pPr>
      <w:ind w:leftChars="0"/>
    </w:pPr>
    <w:rPr>
      <w:rFonts w:ascii="Times New Roman" w:hAnsi="Times New Roman" w:eastAsia="宋体" w:cs="Times New Roman"/>
      <w:sz w:val="20"/>
      <w:szCs w:val="20"/>
    </w:rPr>
  </w:style>
  <w:style w:type="paragraph" w:customStyle="1" w:styleId="40">
    <w:name w:val="WPSOffice手动目录 2"/>
    <w:qFormat/>
    <w:uiPriority w:val="0"/>
    <w:pPr>
      <w:ind w:leftChars="200"/>
    </w:pPr>
    <w:rPr>
      <w:rFonts w:ascii="Times New Roman" w:hAnsi="Times New Roman" w:eastAsia="宋体" w:cs="Times New Roman"/>
      <w:sz w:val="20"/>
      <w:szCs w:val="20"/>
    </w:rPr>
  </w:style>
  <w:style w:type="paragraph" w:customStyle="1" w:styleId="41">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H:\2025&#20915;&#31639;&#25253;&#21578;\&#20316;&#22270;&#34920;.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data/usershare/&#24037;&#20316;/&#20844;&#26381;&#20013;&#24515;/&#36130;&#21153;/2022&#24180;/2022&#24180;&#20915;&#31639;/&#19978;&#25253;/&#20316;&#22270;&#34920;.xlsx" TargetMode="Externa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themeOverride" Target="../theme/themeOverride1.xml"/><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H:\2025&#20915;&#31639;&#25253;&#21578;\&#20316;&#22270;&#34920;.xlsx" TargetMode="Externa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oleObject" Target="/data/usershare/&#24037;&#20316;/&#20844;&#26381;&#20013;&#24515;/&#36130;&#21153;/2022&#24180;/2022&#24180;&#20915;&#31639;/&#19978;&#25253;/&#20316;&#22270;&#34920;.xlsx" TargetMode="External"/></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oleObject" Target="file:///H:\2025&#20915;&#31639;&#25253;&#21578;\&#20316;&#22270;&#34920;.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dministrator\Desktop\&#20915;&#31639;&#20844;&#24320;\2024&#20915;&#31639;&#20844;&#24320;\2024&#24180;&#20915;&#31639;&#22270;&#34920;-&#26412;&#3242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7738407699038"/>
          <c:y val="0.159323782963518"/>
          <c:w val="0.64988801399825"/>
          <c:h val="0.751157729875652"/>
        </c:manualLayout>
      </c:layout>
      <c:barChart>
        <c:barDir val="col"/>
        <c:grouping val="stacked"/>
        <c:varyColors val="0"/>
        <c:ser>
          <c:idx val="0"/>
          <c:order val="0"/>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[作图表.xlsx]Sheet1!$E$143:$E$144</c:f>
              <c:strCache>
                <c:ptCount val="2"/>
                <c:pt idx="0">
                  <c:v>2024年</c:v>
                </c:pt>
                <c:pt idx="1">
                  <c:v>2025年</c:v>
                </c:pt>
              </c:strCache>
            </c:strRef>
          </c:cat>
          <c:val>
            <c:numRef>
              <c:f>[作图表.xlsx]Sheet1!$F$143:$F$144</c:f>
              <c:numCache>
                <c:formatCode>General</c:formatCode>
                <c:ptCount val="2"/>
                <c:pt idx="0">
                  <c:v>310.42</c:v>
                </c:pt>
                <c:pt idx="1">
                  <c:v>401.81</c:v>
                </c:pt>
              </c:numCache>
            </c:numRef>
          </c:val>
        </c:ser>
        <c:dLbls>
          <c:showLegendKey val="0"/>
          <c:showVal val="0"/>
          <c:showCatName val="0"/>
          <c:showSerName val="0"/>
          <c:showPercent val="0"/>
          <c:showBubbleSize val="0"/>
        </c:dLbls>
        <c:gapWidth val="150"/>
        <c:overlap val="100"/>
        <c:axId val="167139968"/>
        <c:axId val="167154048"/>
      </c:barChart>
      <c:catAx>
        <c:axId val="167139968"/>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crossAx val="167154048"/>
        <c:crosses val="autoZero"/>
        <c:auto val="1"/>
        <c:lblAlgn val="ctr"/>
        <c:lblOffset val="100"/>
        <c:noMultiLvlLbl val="0"/>
      </c:catAx>
      <c:valAx>
        <c:axId val="167154048"/>
        <c:scaling>
          <c:orientation val="minMax"/>
          <c:max val="350"/>
          <c:min val="0"/>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crossAx val="167139968"/>
        <c:crosses val="autoZero"/>
        <c:crossBetween val="between"/>
      </c:valAx>
      <c:spPr>
        <a:solidFill>
          <a:srgbClr val="FFFFFF"/>
        </a:solidFill>
        <a:ln>
          <a:noFill/>
        </a:ln>
        <a:effectLst/>
      </c:spPr>
    </c:plotArea>
    <c:plotVisOnly val="1"/>
    <c:dispBlanksAs val="gap"/>
    <c:showDLblsOverMax val="0"/>
    <c:extLst>
      <c:ext uri="{0b15fc19-7d7d-44ad-8c2d-2c3a37ce22c3}">
        <chartProps xmlns="https://web.wps.cn/et/2018/main" chartId="{42f4094b-3e04-4091-b8b7-f6ee40769933}"/>
      </c:ext>
    </c:extLst>
  </c:chart>
  <c:txPr>
    <a:bodyPr/>
    <a:lstStyle/>
    <a:p>
      <a:pPr>
        <a:defRPr lang="zh-CN"/>
      </a:pPr>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0"/>
          <c:dPt>
            <c:idx val="0"/>
            <c:bubble3D val="0"/>
          </c:dPt>
          <c:dPt>
            <c:idx val="1"/>
            <c:bubble3D val="0"/>
          </c:dPt>
          <c:dPt>
            <c:idx val="2"/>
            <c:bubble3D val="0"/>
          </c:dPt>
          <c:dPt>
            <c:idx val="3"/>
            <c:bubble3D val="0"/>
          </c:dPt>
          <c:dLbls>
            <c:dLbl>
              <c:idx val="1"/>
              <c:layout>
                <c:manualLayout>
                  <c:x val="-0.235439195100612"/>
                  <c:y val="0.00115740740740741"/>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zh-CN" altLang="en-US"/>
                      <a:t>政府性基金预算财政拨款收入</a:t>
                    </a:r>
                    <a:r>
                      <a:rPr lang="en-US" altLang="zh-CN"/>
                      <a:t>0%</a:t>
                    </a:r>
                    <a:endParaRPr lang="zh-CN" altLang="en-US"/>
                  </a:p>
                </c:rich>
              </c:tx>
              <c:dLblPos val="bestFit"/>
              <c:showLegendKey val="0"/>
              <c:showVal val="1"/>
              <c:showCatName val="1"/>
              <c:showSerName val="0"/>
              <c:showPercent val="1"/>
              <c:showBubbleSize val="0"/>
              <c:extLst>
                <c:ext xmlns:c15="http://schemas.microsoft.com/office/drawing/2012/chart" uri="{CE6537A1-D6FC-4f65-9D91-7224C49458BB}">
                  <c15:layout/>
                </c:ext>
              </c:extLst>
            </c:dLbl>
            <c:dLbl>
              <c:idx val="2"/>
              <c:layout>
                <c:manualLayout>
                  <c:x val="-0.225870257342093"/>
                  <c:y val="0.30737449485481"/>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zh-CN" altLang="en-US"/>
                      <a:t>国有资本经营预算财政拨款收入</a:t>
                    </a:r>
                    <a:r>
                      <a:rPr lang="en-US" altLang="zh-CN"/>
                      <a:t>0%</a:t>
                    </a:r>
                    <a:endParaRPr lang="zh-CN" altLang="en-US"/>
                  </a:p>
                </c:rich>
              </c:tx>
              <c:dLblPos val="bestFit"/>
              <c:showLegendKey val="0"/>
              <c:showVal val="1"/>
              <c:showCatName val="1"/>
              <c:showSerName val="0"/>
              <c:showPercent val="1"/>
              <c:showBubbleSize val="0"/>
              <c:extLst>
                <c:ext xmlns:c15="http://schemas.microsoft.com/office/drawing/2012/chart" uri="{CE6537A1-D6FC-4f65-9D91-7224C49458BB}">
                  <c15:layout/>
                </c:ext>
              </c:extLst>
            </c:dLbl>
            <c:dLbl>
              <c:idx val="3"/>
              <c:layout>
                <c:manualLayout>
                  <c:x val="0.287477471566054"/>
                  <c:y val="0.0474537037037037"/>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zh-CN" altLang="en-US"/>
                      <a:t>其他收入
</a:t>
                    </a:r>
                    <a:r>
                      <a:rPr lang="en-US" altLang="zh-CN"/>
                      <a:t>0%</a:t>
                    </a:r>
                    <a:endParaRPr lang="zh-CN" altLang="en-US"/>
                  </a:p>
                </c:rich>
              </c:tx>
              <c:dLblPos val="bestFit"/>
              <c:showLegendKey val="0"/>
              <c:showVal val="1"/>
              <c:showCatName val="1"/>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ext>
            </c:extLst>
          </c:dLbls>
          <c:cat>
            <c:strRef>
              <c:f>[作图表.xlsx]Sheet1!$E$5:$E$8</c:f>
              <c:strCache>
                <c:ptCount val="4"/>
                <c:pt idx="0">
                  <c:v>一般公共预算财政拨款收入</c:v>
                </c:pt>
                <c:pt idx="1">
                  <c:v>政府性基金预算财政拨款收入</c:v>
                </c:pt>
                <c:pt idx="2">
                  <c:v>国有资本经营预算财政拨款收入</c:v>
                </c:pt>
                <c:pt idx="3">
                  <c:v>其他收入</c:v>
                </c:pt>
              </c:strCache>
            </c:strRef>
          </c:cat>
          <c:val>
            <c:numRef>
              <c:f>[作图表.xlsx]Sheet1!$F$5:$F$8</c:f>
              <c:numCache>
                <c:formatCode>General</c:formatCode>
                <c:ptCount val="4"/>
                <c:pt idx="0">
                  <c:v>401.81</c:v>
                </c:pt>
                <c:pt idx="1">
                  <c:v>0</c:v>
                </c:pt>
                <c:pt idx="2">
                  <c:v>0</c:v>
                </c:pt>
                <c:pt idx="3">
                  <c:v>0</c:v>
                </c:pt>
              </c:numCache>
            </c:numRef>
          </c:val>
        </c:ser>
        <c:dLbls>
          <c:showLegendKey val="0"/>
          <c:showVal val="0"/>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944b09ea-7de6-4d70-bd95-9c7f3861e56d}"/>
      </c:ext>
    </c:extLst>
  </c:chart>
  <c:txPr>
    <a:bodyPr/>
    <a:lstStyle/>
    <a:p>
      <a:pPr>
        <a:defRPr lang="zh-CN"/>
      </a:pPr>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5750437445319"/>
          <c:y val="0.266944181977253"/>
          <c:w val="0.394097550306212"/>
          <c:h val="0.630556080489938"/>
        </c:manualLayout>
      </c:layout>
      <c:pieChart>
        <c:varyColors val="1"/>
        <c:ser>
          <c:idx val="0"/>
          <c:order val="0"/>
          <c:explosion val="6"/>
          <c:dPt>
            <c:idx val="0"/>
            <c:bubble3D val="0"/>
            <c:explosion val="2"/>
          </c:dPt>
          <c:dPt>
            <c:idx val="1"/>
            <c:bubble3D val="0"/>
            <c:explosion val="0"/>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ysClr val="windowText" lastClr="000000"/>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Sheet1!$E$88:$E$89</c:f>
              <c:strCache>
                <c:ptCount val="2"/>
                <c:pt idx="0">
                  <c:v>基本支出</c:v>
                </c:pt>
                <c:pt idx="1">
                  <c:v>项目支出</c:v>
                </c:pt>
              </c:strCache>
            </c:strRef>
          </c:cat>
          <c:val>
            <c:numRef>
              <c:f>Sheet1!$F$88:$F$89</c:f>
              <c:numCache>
                <c:formatCode>General</c:formatCode>
                <c:ptCount val="2"/>
                <c:pt idx="0">
                  <c:v>376.79</c:v>
                </c:pt>
                <c:pt idx="1">
                  <c:v>25.02</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586154199475065"/>
          <c:y val="0.356672265966755"/>
          <c:w val="0.324956911636046"/>
          <c:h val="0.402211023622047"/>
        </c:manualLayout>
      </c:layout>
      <c:overlay val="0"/>
      <c:txPr>
        <a:bodyPr rot="0" spcFirstLastPara="0" vertOverflow="ellipsis" vert="horz" wrap="square" anchor="ctr" anchorCtr="1"/>
        <a:lstStyle/>
        <a:p>
          <a:pPr>
            <a:defRPr lang="zh-CN" sz="1000" b="0" i="0" u="none" strike="noStrike" kern="1200" baseline="0">
              <a:solidFill>
                <a:sysClr val="windowText" lastClr="000000"/>
              </a:solidFill>
              <a:latin typeface="+mn-lt"/>
              <a:ea typeface="+mn-ea"/>
              <a:cs typeface="+mn-cs"/>
            </a:defRPr>
          </a:pPr>
        </a:p>
      </c:txPr>
    </c:legend>
    <c:plotVisOnly val="1"/>
    <c:dispBlanksAs val="gap"/>
    <c:showDLblsOverMax val="0"/>
    <c:extLst>
      <c:ext uri="{0b15fc19-7d7d-44ad-8c2d-2c3a37ce22c3}">
        <chartProps xmlns="https://web.wps.cn/et/2018/main" chartId="{3af14215-18ff-4ee2-a926-9c0339687dcf}"/>
      </c:ext>
    </c:extLst>
  </c:chart>
  <c:txPr>
    <a:bodyPr/>
    <a:lstStyle/>
    <a:p>
      <a:pPr>
        <a:defRPr lang="zh-CN"/>
      </a:pPr>
    </a:p>
  </c:txPr>
  <c:externalData r:id="rId1">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7738407699038"/>
          <c:y val="0.159323782963518"/>
          <c:w val="0.64988801399825"/>
          <c:h val="0.751157729875652"/>
        </c:manualLayout>
      </c:layout>
      <c:barChart>
        <c:barDir val="col"/>
        <c:grouping val="stacked"/>
        <c:varyColors val="0"/>
        <c:ser>
          <c:idx val="0"/>
          <c:order val="0"/>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[作图表.xlsx]Sheet1!$E$143:$E$144</c:f>
              <c:strCache>
                <c:ptCount val="2"/>
                <c:pt idx="0">
                  <c:v>2024年</c:v>
                </c:pt>
                <c:pt idx="1">
                  <c:v>2025年</c:v>
                </c:pt>
              </c:strCache>
            </c:strRef>
          </c:cat>
          <c:val>
            <c:numRef>
              <c:f>[作图表.xlsx]Sheet1!$F$143:$F$144</c:f>
              <c:numCache>
                <c:formatCode>General</c:formatCode>
                <c:ptCount val="2"/>
                <c:pt idx="0">
                  <c:v>310.42</c:v>
                </c:pt>
                <c:pt idx="1">
                  <c:v>401.81</c:v>
                </c:pt>
              </c:numCache>
            </c:numRef>
          </c:val>
        </c:ser>
        <c:dLbls>
          <c:showLegendKey val="0"/>
          <c:showVal val="0"/>
          <c:showCatName val="0"/>
          <c:showSerName val="0"/>
          <c:showPercent val="0"/>
          <c:showBubbleSize val="0"/>
        </c:dLbls>
        <c:gapWidth val="150"/>
        <c:overlap val="100"/>
        <c:axId val="167139968"/>
        <c:axId val="167154048"/>
      </c:barChart>
      <c:catAx>
        <c:axId val="167139968"/>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crossAx val="167154048"/>
        <c:crosses val="autoZero"/>
        <c:auto val="1"/>
        <c:lblAlgn val="ctr"/>
        <c:lblOffset val="100"/>
        <c:noMultiLvlLbl val="0"/>
      </c:catAx>
      <c:valAx>
        <c:axId val="167154048"/>
        <c:scaling>
          <c:orientation val="minMax"/>
          <c:max val="350"/>
          <c:min val="0"/>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crossAx val="167139968"/>
        <c:crosses val="autoZero"/>
        <c:crossBetween val="between"/>
      </c:valAx>
      <c:spPr>
        <a:solidFill>
          <a:srgbClr val="FFFFFF"/>
        </a:solidFill>
        <a:ln>
          <a:noFill/>
        </a:ln>
        <a:effectLst/>
      </c:spPr>
    </c:plotArea>
    <c:plotVisOnly val="1"/>
    <c:dispBlanksAs val="gap"/>
    <c:showDLblsOverMax val="0"/>
    <c:extLst>
      <c:ext uri="{0b15fc19-7d7d-44ad-8c2d-2c3a37ce22c3}">
        <chartProps xmlns="https://web.wps.cn/et/2018/main" chartId="{42f4094b-3e04-4091-b8b7-f6ee40769933}"/>
      </c:ext>
    </c:extLst>
  </c:chart>
  <c:txPr>
    <a:bodyPr/>
    <a:lstStyle/>
    <a:p>
      <a:pPr>
        <a:defRPr lang="zh-CN"/>
      </a:pPr>
    </a:p>
  </c:tx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sz="1400"/>
              <a:t>一般公共预算财政拨款支出决算变动情况</a:t>
            </a:r>
            <a:endParaRPr lang="zh-CN" altLang="en-US" sz="1400"/>
          </a:p>
        </c:rich>
      </c:tx>
      <c:layout/>
      <c:overlay val="0"/>
    </c:title>
    <c:autoTitleDeleted val="0"/>
    <c:plotArea>
      <c:layout>
        <c:manualLayout>
          <c:layoutTarget val="inner"/>
          <c:xMode val="edge"/>
          <c:yMode val="edge"/>
          <c:x val="0.086071741032371"/>
          <c:y val="0.274548702245553"/>
          <c:w val="0.727817147856518"/>
          <c:h val="0.605791046952464"/>
        </c:manualLayout>
      </c:layout>
      <c:barChart>
        <c:barDir val="col"/>
        <c:grouping val="clustered"/>
        <c:varyColors val="0"/>
        <c:ser>
          <c:idx val="0"/>
          <c:order val="0"/>
          <c:tx>
            <c:strRef>
              <c:f>[作图表.xlsx]Sheet1!$E$200</c:f>
              <c:strCache>
                <c:ptCount val="1"/>
                <c:pt idx="0">
                  <c:v>一般公共预算财政拨款支出决算变动情况</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[作图表.xlsx]Sheet1!$F$199:$G$199</c:f>
              <c:strCache>
                <c:ptCount val="2"/>
                <c:pt idx="0">
                  <c:v>2024年</c:v>
                </c:pt>
                <c:pt idx="1">
                  <c:v>2025年</c:v>
                </c:pt>
              </c:strCache>
            </c:strRef>
          </c:cat>
          <c:val>
            <c:numRef>
              <c:f>[作图表.xlsx]Sheet1!$F$200:$G$200</c:f>
              <c:numCache>
                <c:formatCode>General</c:formatCode>
                <c:ptCount val="2"/>
                <c:pt idx="0">
                  <c:v>310.42</c:v>
                </c:pt>
                <c:pt idx="1">
                  <c:v>401.81</c:v>
                </c:pt>
              </c:numCache>
            </c:numRef>
          </c:val>
        </c:ser>
        <c:dLbls>
          <c:showLegendKey val="0"/>
          <c:showVal val="0"/>
          <c:showCatName val="0"/>
          <c:showSerName val="0"/>
          <c:showPercent val="0"/>
          <c:showBubbleSize val="0"/>
        </c:dLbls>
        <c:gapWidth val="150"/>
        <c:axId val="140376320"/>
        <c:axId val="140378112"/>
      </c:barChart>
      <c:catAx>
        <c:axId val="140376320"/>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40378112"/>
        <c:crosses val="autoZero"/>
        <c:auto val="1"/>
        <c:lblAlgn val="ctr"/>
        <c:lblOffset val="100"/>
        <c:noMultiLvlLbl val="0"/>
      </c:catAx>
      <c:valAx>
        <c:axId val="140378112"/>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40376320"/>
        <c:crosses val="autoZero"/>
        <c:crossBetween val="between"/>
      </c:valAx>
    </c:plotArea>
    <c:plotVisOnly val="1"/>
    <c:dispBlanksAs val="gap"/>
    <c:showDLblsOverMax val="0"/>
    <c:extLst>
      <c:ext uri="{0b15fc19-7d7d-44ad-8c2d-2c3a37ce22c3}">
        <chartProps xmlns="https://web.wps.cn/et/2018/main" chartId="{f4b7d231-11ee-4e43-be13-6ae8d5790de6}"/>
      </c:ext>
    </c:extLst>
  </c:chart>
  <c:txPr>
    <a:bodyPr/>
    <a:lstStyle/>
    <a:p>
      <a:pPr>
        <a:defRPr lang="zh-CN"/>
      </a:pPr>
    </a:p>
  </c:txPr>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5750437445319"/>
          <c:y val="0.266944181977253"/>
          <c:w val="0.394097550306212"/>
          <c:h val="0.630556080489939"/>
        </c:manualLayout>
      </c:layout>
      <c:pieChart>
        <c:varyColors val="1"/>
        <c:ser>
          <c:idx val="0"/>
          <c:order val="0"/>
          <c:explosion val="6"/>
          <c:dPt>
            <c:idx val="0"/>
            <c:bubble3D val="0"/>
            <c:explosion val="2"/>
          </c:dPt>
          <c:dPt>
            <c:idx val="1"/>
            <c:bubble3D val="0"/>
            <c:explosion val="0"/>
          </c:dPt>
          <c:dPt>
            <c:idx val="2"/>
            <c:bubble3D val="0"/>
            <c:explosion val="0"/>
          </c:dPt>
          <c:dPt>
            <c:idx val="3"/>
            <c:bubble3D val="0"/>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[作图表.xlsx]Sheet1!$E$28:$E$31</c:f>
              <c:strCache>
                <c:ptCount val="4"/>
                <c:pt idx="0">
                  <c:v>卫生健康支出</c:v>
                </c:pt>
                <c:pt idx="1">
                  <c:v>文化旅游体育与传媒支出</c:v>
                </c:pt>
                <c:pt idx="2">
                  <c:v>社会保障和就业支出</c:v>
                </c:pt>
                <c:pt idx="3">
                  <c:v>住房保障支出</c:v>
                </c:pt>
              </c:strCache>
            </c:strRef>
          </c:cat>
          <c:val>
            <c:numRef>
              <c:f>[作图表.xlsx]Sheet1!$F$28:$F$31</c:f>
              <c:numCache>
                <c:formatCode>General</c:formatCode>
                <c:ptCount val="4"/>
                <c:pt idx="0">
                  <c:v>15.09</c:v>
                </c:pt>
                <c:pt idx="1">
                  <c:v>228.86</c:v>
                </c:pt>
                <c:pt idx="2">
                  <c:v>139.52</c:v>
                </c:pt>
                <c:pt idx="3">
                  <c:v>18.34</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586154199475066"/>
          <c:y val="0.356672265966754"/>
          <c:w val="0.324956911636046"/>
          <c:h val="0.402211023622047"/>
        </c:manualLayout>
      </c:layout>
      <c:overlay val="0"/>
      <c:txPr>
        <a:bodyPr rot="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legend>
    <c:plotVisOnly val="1"/>
    <c:dispBlanksAs val="gap"/>
    <c:showDLblsOverMax val="0"/>
    <c:extLst>
      <c:ext uri="{0b15fc19-7d7d-44ad-8c2d-2c3a37ce22c3}">
        <chartProps xmlns="https://web.wps.cn/et/2018/main" chartId="{f0ae1679-fea1-482d-8700-1801b537848a}"/>
      </c:ext>
    </c:extLst>
  </c:chart>
  <c:txPr>
    <a:bodyPr/>
    <a:lstStyle/>
    <a:p>
      <a:pPr>
        <a:defRPr lang="zh-CN"/>
      </a:pPr>
    </a:p>
  </c:txPr>
  <c:externalData r:id="rId1">
    <c:autoUpdate val="0"/>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sz="1800"/>
              <a:t>“三公”经费财政拨款支出结构</a:t>
            </a:r>
            <a:endParaRPr lang="zh-CN" altLang="en-US" sz="1800"/>
          </a:p>
        </c:rich>
      </c:tx>
      <c:layout/>
      <c:overlay val="0"/>
    </c:title>
    <c:autoTitleDeleted val="0"/>
    <c:view3D>
      <c:rotX val="30"/>
      <c:rotY val="0"/>
      <c:depthPercent val="100"/>
      <c:rAngAx val="0"/>
      <c:perspective val="30"/>
    </c:view3D>
    <c:floor>
      <c:thickness val="0"/>
    </c:floor>
    <c:sideWall>
      <c:thickness val="0"/>
    </c:sideWall>
    <c:backWall>
      <c:thickness val="0"/>
    </c:backWall>
    <c:plotArea>
      <c:layout>
        <c:manualLayout>
          <c:layoutTarget val="inner"/>
          <c:xMode val="edge"/>
          <c:yMode val="edge"/>
          <c:x val="0.0914722222222222"/>
          <c:y val="0.267018518518519"/>
          <c:w val="0.826222222222222"/>
          <c:h val="0.660407407407407"/>
        </c:manualLayout>
      </c:layout>
      <c:pie3DChart>
        <c:varyColors val="1"/>
        <c:ser>
          <c:idx val="0"/>
          <c:order val="0"/>
          <c:explosion val="25"/>
          <c:dPt>
            <c:idx val="0"/>
            <c:bubble3D val="0"/>
          </c:dPt>
          <c:dPt>
            <c:idx val="1"/>
            <c:bubble3D val="0"/>
          </c:dPt>
          <c:dLbls>
            <c:dLbl>
              <c:idx val="0"/>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zh-CN" altLang="en-US"/>
                      <a:t>公务用车购置及运行维护费支出</a:t>
                    </a:r>
                    <a:r>
                      <a:rPr lang="en-US" altLang="zh-CN"/>
                      <a:t>100%</a:t>
                    </a:r>
                    <a:endParaRPr lang="en-US" altLang="zh-CN"/>
                  </a:p>
                </c:rich>
              </c:tx>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24375"/>
                      <c:h val="0.180555555555556"/>
                    </c:manualLayout>
                  </c15:layout>
                </c:ext>
              </c:extLst>
            </c:dLbl>
            <c:dLbl>
              <c:idx val="1"/>
              <c:delete val="1"/>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ext>
            </c:extLst>
          </c:dLbls>
          <c:cat>
            <c:strRef>
              <c:f>'[2024年决算图表-本级.xlsx]“三公”经费财政拨款支出结构'!$A$1:$A$2</c:f>
              <c:strCache>
                <c:ptCount val="2"/>
                <c:pt idx="0">
                  <c:v>公务用车购置及运行维护费支出</c:v>
                </c:pt>
                <c:pt idx="1">
                  <c:v>公务接待费支出</c:v>
                </c:pt>
              </c:strCache>
            </c:strRef>
          </c:cat>
          <c:val>
            <c:numRef>
              <c:f>'[2024年决算图表-本级.xlsx]“三公”经费财政拨款支出结构'!$B$1:$B$2</c:f>
              <c:numCache>
                <c:formatCode>0.00%</c:formatCode>
                <c:ptCount val="2"/>
                <c:pt idx="0">
                  <c:v>1</c:v>
                </c:pt>
                <c:pt idx="1">
                  <c:v>0</c:v>
                </c:pt>
              </c:numCache>
            </c:numRef>
          </c:val>
        </c:ser>
        <c:dLbls>
          <c:showLegendKey val="0"/>
          <c:showVal val="0"/>
          <c:showCatName val="1"/>
          <c:showSerName val="0"/>
          <c:showPercent val="1"/>
          <c:showBubbleSize val="0"/>
        </c:dLbls>
      </c:pie3DChart>
    </c:plotArea>
    <c:plotVisOnly val="1"/>
    <c:dispBlanksAs val="gap"/>
    <c:showDLblsOverMax val="0"/>
    <c:extLst>
      <c:ext uri="{0b15fc19-7d7d-44ad-8c2d-2c3a37ce22c3}">
        <chartProps xmlns="https://web.wps.cn/et/2018/main" chartId="{a9a8acbc-682b-47b4-ab65-855fe17457e2}"/>
      </c:ext>
    </c:extLst>
  </c:chart>
  <c:txPr>
    <a:bodyPr/>
    <a:lstStyle/>
    <a:p>
      <a:pPr>
        <a:defRPr lang="zh-CN"/>
      </a:pPr>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0.75751</cdr:x>
      <cdr:y>0.06885</cdr:y>
    </cdr:from>
    <cdr:to>
      <cdr:x>0.97425</cdr:x>
      <cdr:y>0.16721</cdr:y>
    </cdr:to>
    <cdr:sp>
      <cdr:nvSpPr>
        <cdr:cNvPr id="2" name="矩形 1"/>
        <cdr:cNvSpPr/>
      </cdr:nvSpPr>
      <cdr:spPr xmlns:a="http://schemas.openxmlformats.org/drawingml/2006/main">
        <a:xfrm xmlns:a="http://schemas.openxmlformats.org/drawingml/2006/main">
          <a:off x="3362325" y="200024"/>
          <a:ext cx="962025" cy="285749"/>
        </a:xfrm>
        <a:prstGeom xmlns:a="http://schemas.openxmlformats.org/drawingml/2006/main" prst="rect">
          <a:avLst/>
        </a:prstGeom>
      </cdr:spPr>
      <cdr:txBody xmlns:a="http://schemas.openxmlformats.org/drawingml/2006/main">
        <a:bodyPr vert="horz" wrap="square" lIns="45720" tIns="45720" rIns="45720" bIns="45720" rtlCol="0" anchor="t" anchorCtr="0">
          <a:normAutofit/>
        </a:bodyPr>
        <a:lstStyle/>
        <a:p>
          <a:r>
            <a:rPr lang="zh-CN" altLang="en-US" sz="1000"/>
            <a:t>单位：万元</a:t>
          </a:r>
          <a:endParaRPr lang="zh-CN" altLang="en-US" sz="1000"/>
        </a:p>
      </cdr:txBody>
    </cdr:sp>
  </cdr:relSizeAnchor>
</c:userShapes>
</file>

<file path=word/drawings/drawing2.xml><?xml version="1.0" encoding="utf-8"?>
<c:userShapes xmlns:c="http://schemas.openxmlformats.org/drawingml/2006/chart">
  <cdr:relSizeAnchor xmlns:cdr="http://schemas.openxmlformats.org/drawingml/2006/chartDrawing">
    <cdr:from>
      <cdr:x>0.20208</cdr:x>
      <cdr:y>0.02254</cdr:y>
    </cdr:from>
    <cdr:to>
      <cdr:x>0.7375</cdr:x>
      <cdr:y>0.14493</cdr:y>
    </cdr:to>
    <cdr:sp>
      <cdr:nvSpPr>
        <cdr:cNvPr id="2" name="矩形 1"/>
        <cdr:cNvSpPr/>
      </cdr:nvSpPr>
      <cdr:spPr xmlns:a="http://schemas.openxmlformats.org/drawingml/2006/main">
        <a:xfrm xmlns:a="http://schemas.openxmlformats.org/drawingml/2006/main">
          <a:off x="923926" y="66666"/>
          <a:ext cx="2447924" cy="361970"/>
        </a:xfrm>
        <a:prstGeom xmlns:a="http://schemas.openxmlformats.org/drawingml/2006/main" prst="rect">
          <a:avLst/>
        </a:prstGeom>
      </cdr:spPr>
      <cdr:txBody xmlns:a="http://schemas.openxmlformats.org/drawingml/2006/main">
        <a:bodyPr vertOverflow="clip" vert="horz" wrap="square" lIns="45720" tIns="45720" rIns="45720" bIns="45720" rtlCol="0" anchor="t" anchorCtr="0">
          <a:normAutofit/>
        </a:bodyPr>
        <a:lstStyle/>
        <a:p>
          <a:r>
            <a:rPr lang="zh-CN" altLang="zh-CN" sz="1100">
              <a:effectLst/>
              <a:latin typeface="+mn-lt"/>
              <a:ea typeface="+mn-ea"/>
              <a:cs typeface="+mn-cs"/>
            </a:rPr>
            <a:t>财政拨款收、支决算总计变动情况</a:t>
          </a:r>
          <a:endParaRPr lang="zh-CN" altLang="en-US" sz="1100"/>
        </a:p>
      </cdr:txBody>
    </cdr:sp>
  </cdr:relSizeAnchor>
  <cdr:relSizeAnchor xmlns:cdr="http://schemas.openxmlformats.org/drawingml/2006/chartDrawing">
    <cdr:from>
      <cdr:x>0.76667</cdr:x>
      <cdr:y>0.05797</cdr:y>
    </cdr:from>
    <cdr:to>
      <cdr:x>0.96875</cdr:x>
      <cdr:y>0.14171</cdr:y>
    </cdr:to>
    <cdr:sp>
      <cdr:nvSpPr>
        <cdr:cNvPr id="3" name="矩形 2"/>
        <cdr:cNvSpPr/>
      </cdr:nvSpPr>
      <cdr:spPr xmlns:a="http://schemas.openxmlformats.org/drawingml/2006/main">
        <a:xfrm xmlns:a="http://schemas.openxmlformats.org/drawingml/2006/main">
          <a:off x="3505200" y="171450"/>
          <a:ext cx="923925" cy="247650"/>
        </a:xfrm>
        <a:prstGeom xmlns:a="http://schemas.openxmlformats.org/drawingml/2006/main" prst="rect">
          <a:avLst/>
        </a:prstGeom>
      </cdr:spPr>
      <cdr:txBody xmlns:a="http://schemas.openxmlformats.org/drawingml/2006/main">
        <a:bodyPr vertOverflow="clip" vert="horz" wrap="square" lIns="45720" tIns="45720" rIns="45720" bIns="45720" rtlCol="0" anchor="t" anchorCtr="0">
          <a:normAutofit/>
        </a:bodyPr>
        <a:lstStyle/>
        <a:p>
          <a:r>
            <a:rPr lang="zh-CN" altLang="en-US" sz="1100"/>
            <a:t>单位：万元</a:t>
          </a:r>
          <a:endParaRPr lang="zh-CN" altLang="en-US" sz="1100"/>
        </a:p>
      </cdr:txBody>
    </cdr:sp>
  </cdr:relSizeAnchor>
  <cdr:relSizeAnchor xmlns:cdr="http://schemas.openxmlformats.org/drawingml/2006/chartDrawing">
    <cdr:from>
      <cdr:x>0.28125</cdr:x>
      <cdr:y>0.0161</cdr:y>
    </cdr:from>
    <cdr:to>
      <cdr:x>0.675</cdr:x>
      <cdr:y>0.13849</cdr:y>
    </cdr:to>
    <cdr:sp>
      <cdr:nvSpPr>
        <cdr:cNvPr id="4" name="矩形 3"/>
        <cdr:cNvSpPr/>
      </cdr:nvSpPr>
      <cdr:spPr xmlns:a="http://schemas.openxmlformats.org/drawingml/2006/main">
        <a:xfrm xmlns:a="http://schemas.openxmlformats.org/drawingml/2006/main">
          <a:off x="1285875" y="47625"/>
          <a:ext cx="1800225" cy="361950"/>
        </a:xfrm>
        <a:prstGeom xmlns:a="http://schemas.openxmlformats.org/drawingml/2006/main" prst="rect">
          <a:avLst/>
        </a:prstGeom>
      </cdr:spPr>
      <cdr:txBody xmlns:a="http://schemas.openxmlformats.org/drawingml/2006/main">
        <a:bodyPr vertOverflow="clip" vert="horz" wrap="square" lIns="45720" tIns="45720" rIns="45720" bIns="45720" rtlCol="0" anchor="t" anchorCtr="0">
          <a:normAutofit/>
        </a:bodyPr>
        <a:lstStyle/>
        <a:p>
          <a:endParaRPr lang="zh-CN" altLang="en-US" sz="1100"/>
        </a:p>
      </cdr:txBody>
    </cdr:sp>
  </cdr:relSizeAnchor>
  <cdr:relSizeAnchor xmlns:cdr="http://schemas.openxmlformats.org/drawingml/2006/chartDrawing">
    <cdr:from>
      <cdr:x>0.78194</cdr:x>
      <cdr:y>0.06549</cdr:y>
    </cdr:from>
    <cdr:to>
      <cdr:x>0.98403</cdr:x>
      <cdr:y>0.14922</cdr:y>
    </cdr:to>
    <cdr:sp>
      <cdr:nvSpPr>
        <cdr:cNvPr id="5" name="矩形 4"/>
        <cdr:cNvSpPr/>
      </cdr:nvSpPr>
      <cdr:spPr xmlns:a="http://schemas.openxmlformats.org/drawingml/2006/main">
        <a:xfrm xmlns:a="http://schemas.openxmlformats.org/drawingml/2006/main">
          <a:off x="3575050" y="193675"/>
          <a:ext cx="923925" cy="247650"/>
        </a:xfrm>
        <a:prstGeom xmlns:a="http://schemas.openxmlformats.org/drawingml/2006/main" prst="rect">
          <a:avLst/>
        </a:prstGeom>
      </cdr:spPr>
      <cdr:txBody xmlns:a="http://schemas.openxmlformats.org/drawingml/2006/main">
        <a:bodyPr vert="horz" wrap="square" lIns="45720" tIns="45720" rIns="45720" bIns="45720" rtlCol="0" anchor="t" anchorCtr="0">
          <a:norm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endParaRPr lang="zh-CN" altLang="en-US" sz="1100"/>
        </a:p>
      </cdr:txBody>
    </cdr:sp>
  </cdr:relSizeAnchor>
</c:userShapes>
</file>

<file path=word/drawings/drawing3.xml><?xml version="1.0" encoding="utf-8"?>
<c:userShapes xmlns:c="http://schemas.openxmlformats.org/drawingml/2006/chart">
  <cdr:relSizeAnchor xmlns:cdr="http://schemas.openxmlformats.org/drawingml/2006/chartDrawing">
    <cdr:from>
      <cdr:x>0.09583</cdr:x>
      <cdr:y>0.04139</cdr:y>
    </cdr:from>
    <cdr:to>
      <cdr:x>0.88125</cdr:x>
      <cdr:y>0.19667</cdr:y>
    </cdr:to>
    <cdr:sp>
      <cdr:nvSpPr>
        <cdr:cNvPr id="2" name="矩形 1"/>
        <cdr:cNvSpPr/>
      </cdr:nvSpPr>
      <cdr:spPr xmlns:a="http://schemas.openxmlformats.org/drawingml/2006/main">
        <a:xfrm xmlns:a="http://schemas.openxmlformats.org/drawingml/2006/main">
          <a:off x="438136" y="118262"/>
          <a:ext cx="3590940" cy="443713"/>
        </a:xfrm>
        <a:prstGeom xmlns:a="http://schemas.openxmlformats.org/drawingml/2006/main" prst="rect">
          <a:avLst/>
        </a:prstGeom>
      </cdr:spPr>
      <cdr:txBody xmlns:a="http://schemas.openxmlformats.org/drawingml/2006/main">
        <a:bodyPr vert="horz" wrap="square" lIns="45720" tIns="45720" rIns="45720" bIns="45720" rtlCol="0" anchor="t" anchorCtr="0">
          <a:normAutofit/>
        </a:bodyPr>
        <a:lstStyle/>
        <a:p>
          <a:r>
            <a:rPr lang="en-US" altLang="zh-CN" sz="1400"/>
            <a:t>2025</a:t>
          </a:r>
          <a:r>
            <a:rPr lang="zh-CN" altLang="en-US" sz="1400"/>
            <a:t>年一般公共预算财政拨款收入、支出</a:t>
          </a:r>
          <a:endParaRPr lang="en-US" altLang="zh-CN" sz="1100"/>
        </a:p>
        <a:p>
          <a:r>
            <a:rPr lang="zh-CN" altLang="en-US" sz="1600"/>
            <a:t>         </a:t>
          </a:r>
          <a:endParaRPr lang="zh-CN" altLang="en-US" sz="1600"/>
        </a:p>
      </cdr:txBody>
    </cdr:sp>
  </cdr:relSizeAnchor>
</c:userShapes>
</file>

<file path=word/drawings/drawing4.xml><?xml version="1.0" encoding="utf-8"?>
<c:userShapes xmlns:c="http://schemas.openxmlformats.org/drawingml/2006/chart">
  <cdr:relSizeAnchor xmlns:cdr="http://schemas.openxmlformats.org/drawingml/2006/chartDrawing">
    <cdr:from>
      <cdr:x>0.20208</cdr:x>
      <cdr:y>0.02254</cdr:y>
    </cdr:from>
    <cdr:to>
      <cdr:x>0.7375</cdr:x>
      <cdr:y>0.14493</cdr:y>
    </cdr:to>
    <cdr:sp>
      <cdr:nvSpPr>
        <cdr:cNvPr id="2" name="矩形 1"/>
        <cdr:cNvSpPr/>
      </cdr:nvSpPr>
      <cdr:spPr xmlns:a="http://schemas.openxmlformats.org/drawingml/2006/main">
        <a:xfrm xmlns:a="http://schemas.openxmlformats.org/drawingml/2006/main">
          <a:off x="923926" y="66666"/>
          <a:ext cx="2447924" cy="361970"/>
        </a:xfrm>
        <a:prstGeom xmlns:a="http://schemas.openxmlformats.org/drawingml/2006/main" prst="rect">
          <a:avLst/>
        </a:prstGeom>
      </cdr:spPr>
      <cdr:txBody xmlns:a="http://schemas.openxmlformats.org/drawingml/2006/main">
        <a:bodyPr vertOverflow="clip" vert="horz" wrap="square" lIns="45720" tIns="45720" rIns="45720" bIns="45720" rtlCol="0" anchor="t" anchorCtr="0">
          <a:normAutofit/>
        </a:bodyPr>
        <a:lstStyle/>
        <a:p>
          <a:r>
            <a:rPr lang="zh-CN" altLang="zh-CN" sz="1100">
              <a:effectLst/>
              <a:latin typeface="+mn-lt"/>
              <a:ea typeface="+mn-ea"/>
              <a:cs typeface="+mn-cs"/>
            </a:rPr>
            <a:t>财政拨款收、支决算总计变动情况</a:t>
          </a:r>
          <a:endParaRPr lang="zh-CN" altLang="en-US" sz="1100"/>
        </a:p>
      </cdr:txBody>
    </cdr:sp>
  </cdr:relSizeAnchor>
  <cdr:relSizeAnchor xmlns:cdr="http://schemas.openxmlformats.org/drawingml/2006/chartDrawing">
    <cdr:from>
      <cdr:x>0.76667</cdr:x>
      <cdr:y>0.05797</cdr:y>
    </cdr:from>
    <cdr:to>
      <cdr:x>0.96875</cdr:x>
      <cdr:y>0.14171</cdr:y>
    </cdr:to>
    <cdr:sp>
      <cdr:nvSpPr>
        <cdr:cNvPr id="3" name="矩形 2"/>
        <cdr:cNvSpPr/>
      </cdr:nvSpPr>
      <cdr:spPr xmlns:a="http://schemas.openxmlformats.org/drawingml/2006/main">
        <a:xfrm xmlns:a="http://schemas.openxmlformats.org/drawingml/2006/main">
          <a:off x="3505200" y="171450"/>
          <a:ext cx="923925" cy="247650"/>
        </a:xfrm>
        <a:prstGeom xmlns:a="http://schemas.openxmlformats.org/drawingml/2006/main" prst="rect">
          <a:avLst/>
        </a:prstGeom>
      </cdr:spPr>
      <cdr:txBody xmlns:a="http://schemas.openxmlformats.org/drawingml/2006/main">
        <a:bodyPr vertOverflow="clip" vert="horz" wrap="square" lIns="45720" tIns="45720" rIns="45720" bIns="45720" rtlCol="0" anchor="t" anchorCtr="0">
          <a:normAutofit/>
        </a:bodyPr>
        <a:lstStyle/>
        <a:p>
          <a:r>
            <a:rPr lang="zh-CN" altLang="en-US" sz="1100"/>
            <a:t>单位：万元</a:t>
          </a:r>
          <a:endParaRPr lang="zh-CN" altLang="en-US" sz="1100"/>
        </a:p>
      </cdr:txBody>
    </cdr:sp>
  </cdr:relSizeAnchor>
  <cdr:relSizeAnchor xmlns:cdr="http://schemas.openxmlformats.org/drawingml/2006/chartDrawing">
    <cdr:from>
      <cdr:x>0.28125</cdr:x>
      <cdr:y>0.0161</cdr:y>
    </cdr:from>
    <cdr:to>
      <cdr:x>0.675</cdr:x>
      <cdr:y>0.13849</cdr:y>
    </cdr:to>
    <cdr:sp>
      <cdr:nvSpPr>
        <cdr:cNvPr id="4" name="矩形 3"/>
        <cdr:cNvSpPr/>
      </cdr:nvSpPr>
      <cdr:spPr xmlns:a="http://schemas.openxmlformats.org/drawingml/2006/main">
        <a:xfrm xmlns:a="http://schemas.openxmlformats.org/drawingml/2006/main">
          <a:off x="1285875" y="47625"/>
          <a:ext cx="1800225" cy="361950"/>
        </a:xfrm>
        <a:prstGeom xmlns:a="http://schemas.openxmlformats.org/drawingml/2006/main" prst="rect">
          <a:avLst/>
        </a:prstGeom>
      </cdr:spPr>
      <cdr:txBody xmlns:a="http://schemas.openxmlformats.org/drawingml/2006/main">
        <a:bodyPr vertOverflow="clip" vert="horz" wrap="square" lIns="45720" tIns="45720" rIns="45720" bIns="45720" rtlCol="0" anchor="t" anchorCtr="0">
          <a:normAutofit/>
        </a:bodyPr>
        <a:lstStyle/>
        <a:p>
          <a:endParaRPr lang="zh-CN" altLang="en-US" sz="1100"/>
        </a:p>
      </cdr:txBody>
    </cdr:sp>
  </cdr:relSizeAnchor>
  <cdr:relSizeAnchor xmlns:cdr="http://schemas.openxmlformats.org/drawingml/2006/chartDrawing">
    <cdr:from>
      <cdr:x>0.78194</cdr:x>
      <cdr:y>0.06549</cdr:y>
    </cdr:from>
    <cdr:to>
      <cdr:x>0.98403</cdr:x>
      <cdr:y>0.14922</cdr:y>
    </cdr:to>
    <cdr:sp>
      <cdr:nvSpPr>
        <cdr:cNvPr id="5" name="矩形 4"/>
        <cdr:cNvSpPr/>
      </cdr:nvSpPr>
      <cdr:spPr xmlns:a="http://schemas.openxmlformats.org/drawingml/2006/main">
        <a:xfrm xmlns:a="http://schemas.openxmlformats.org/drawingml/2006/main">
          <a:off x="3575050" y="193675"/>
          <a:ext cx="923925" cy="247650"/>
        </a:xfrm>
        <a:prstGeom xmlns:a="http://schemas.openxmlformats.org/drawingml/2006/main" prst="rect">
          <a:avLst/>
        </a:prstGeom>
      </cdr:spPr>
      <cdr:txBody xmlns:a="http://schemas.openxmlformats.org/drawingml/2006/main">
        <a:bodyPr vert="horz" wrap="square" lIns="45720" tIns="45720" rIns="45720" bIns="45720" rtlCol="0" anchor="t" anchorCtr="0">
          <a:norm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endParaRPr lang="zh-CN" altLang="en-US" sz="1100"/>
        </a:p>
      </cdr:txBody>
    </cdr:sp>
  </cdr:relSizeAnchor>
</c:userShapes>
</file>

<file path=word/drawings/drawing5.xml><?xml version="1.0" encoding="utf-8"?>
<c:userShapes xmlns:c="http://schemas.openxmlformats.org/drawingml/2006/chart">
  <cdr:relSizeAnchor xmlns:cdr="http://schemas.openxmlformats.org/drawingml/2006/chartDrawing">
    <cdr:from>
      <cdr:x>0.78125</cdr:x>
      <cdr:y>0.1684</cdr:y>
    </cdr:from>
    <cdr:to>
      <cdr:x>1</cdr:x>
      <cdr:y>0.25868</cdr:y>
    </cdr:to>
    <cdr:sp>
      <cdr:nvSpPr>
        <cdr:cNvPr id="2" name="矩形 1"/>
        <cdr:cNvSpPr/>
      </cdr:nvSpPr>
      <cdr:spPr xmlns:a="http://schemas.openxmlformats.org/drawingml/2006/main">
        <a:xfrm xmlns:a="http://schemas.openxmlformats.org/drawingml/2006/main">
          <a:off x="3571875" y="461963"/>
          <a:ext cx="1000125" cy="247650"/>
        </a:xfrm>
        <a:prstGeom xmlns:a="http://schemas.openxmlformats.org/drawingml/2006/main" prst="rect">
          <a:avLst/>
        </a:prstGeom>
      </cdr:spPr>
      <cdr:txBody xmlns:a="http://schemas.openxmlformats.org/drawingml/2006/main">
        <a:bodyPr vertOverflow="clip" vert="horz" wrap="square" lIns="45720" tIns="45720" rIns="45720" bIns="45720" rtlCol="0" anchor="t" anchorCtr="0">
          <a:normAutofit/>
        </a:bodyPr>
        <a:lstStyle/>
        <a:p>
          <a:r>
            <a:rPr lang="zh-CN" altLang="en-US" sz="1100"/>
            <a:t>单位：万元</a:t>
          </a:r>
          <a:endParaRPr lang="zh-CN" altLang="en-US" sz="1100"/>
        </a:p>
      </cdr:txBody>
    </cdr:sp>
  </cdr:relSizeAnchor>
</c:userShapes>
</file>

<file path=word/drawings/drawing6.xml><?xml version="1.0" encoding="utf-8"?>
<c:userShapes xmlns:c="http://schemas.openxmlformats.org/drawingml/2006/chart">
  <cdr:relSizeAnchor xmlns:cdr="http://schemas.openxmlformats.org/drawingml/2006/chartDrawing">
    <cdr:from>
      <cdr:x>0.09166</cdr:x>
      <cdr:y>0.03472</cdr:y>
    </cdr:from>
    <cdr:to>
      <cdr:x>0.90417</cdr:x>
      <cdr:y>0.21181</cdr:y>
    </cdr:to>
    <cdr:sp>
      <cdr:nvSpPr>
        <cdr:cNvPr id="2" name="矩形 1"/>
        <cdr:cNvSpPr/>
      </cdr:nvSpPr>
      <cdr:spPr xmlns:a="http://schemas.openxmlformats.org/drawingml/2006/main">
        <a:xfrm xmlns:a="http://schemas.openxmlformats.org/drawingml/2006/main">
          <a:off x="419085" y="99212"/>
          <a:ext cx="3714765" cy="506035"/>
        </a:xfrm>
        <a:prstGeom xmlns:a="http://schemas.openxmlformats.org/drawingml/2006/main" prst="rect">
          <a:avLst/>
        </a:prstGeom>
      </cdr:spPr>
      <cdr:txBody xmlns:a="http://schemas.openxmlformats.org/drawingml/2006/main">
        <a:bodyPr vert="horz" wrap="square" lIns="45720" tIns="45720" rIns="45720" bIns="45720" rtlCol="0" anchor="t" anchorCtr="0">
          <a:normAutofit/>
        </a:bodyPr>
        <a:lstStyle/>
        <a:p>
          <a:r>
            <a:rPr lang="zh-CN" altLang="en-US" sz="1600"/>
            <a:t>一般公共预算财政拨款支出决算结构</a:t>
          </a:r>
          <a:endParaRPr lang="zh-CN" altLang="en-US" sz="16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7cc2dd44-61bf-4669-b3ee-a059e83e0fc2</errorID>
      <errorWord xmlns="http://schemas.wps.cn/vas-ai-hub/contract-review">支无</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支</item>
      </candidateList>
      <explain xmlns="http://schemas.wps.cn/vas-ai-hub/contract-review"/>
      <paraID xmlns="http://schemas.wps.cn/vas-ai-hub/contract-review">73656431</paraID>
      <start xmlns="http://schemas.wps.cn/vas-ai-hub/contract-review">10</start>
      <end xmlns="http://schemas.wps.cn/vas-ai-hub/contract-review">11</end>
      <status xmlns="http://schemas.wps.cn/vas-ai-hub/contract-review">modified</status>
      <modifiedWord xmlns="http://schemas.wps.cn/vas-ai-hub/contract-review">支</modifiedWord>
      <trackRevisions xmlns="http://schemas.wps.cn/vas-ai-hub/contract-review">false</trackRevisions>
    </reviewItem>
    <reviewItem xmlns="http://schemas.wps.cn/vas-ai-hub/contract-review">
      <errorID xmlns="http://schemas.wps.cn/vas-ai-hub/contract-review">5ee481af-8135-4f97-a7b0-7111d81c5760</errorID>
      <errorWord xmlns="http://schemas.wps.cn/vas-ai-hub/contract-review">主要是</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主要</item>
      </candidateList>
      <explain xmlns="http://schemas.wps.cn/vas-ai-hub/contract-review"/>
      <paraID xmlns="http://schemas.wps.cn/vas-ai-hub/contract-review">3BE16B44</paraID>
      <start xmlns="http://schemas.wps.cn/vas-ai-hub/contract-review">125</start>
      <end xmlns="http://schemas.wps.cn/vas-ai-hub/contract-review">127</end>
      <status xmlns="http://schemas.wps.cn/vas-ai-hub/contract-review">modified</status>
      <modifiedWord xmlns="http://schemas.wps.cn/vas-ai-hub/contract-review">主要</modifiedWord>
      <trackRevisions xmlns="http://schemas.wps.cn/vas-ai-hub/contract-review">false</trackRevisions>
    </reviewItem>
    <reviewItem xmlns="http://schemas.wps.cn/vas-ai-hub/contract-review">
      <errorID xmlns="http://schemas.wps.cn/vas-ai-hub/contract-review">c4416537-c0af-41b9-84a7-a36387212fcc</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，在</item>
      </candidateList>
      <explain xmlns="http://schemas.wps.cn/vas-ai-hub/contract-review"/>
      <paraID xmlns="http://schemas.wps.cn/vas-ai-hub/contract-review">5FB9E9B9</paraID>
      <start xmlns="http://schemas.wps.cn/vas-ai-hub/contract-review">83</start>
      <end xmlns="http://schemas.wps.cn/vas-ai-hub/contract-review">84</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4dd3fae-596b-4e35-9b1e-d72e39ec348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17</Pages>
  <Words>4115</Words>
  <Characters>4537</Characters>
  <Lines>63</Lines>
  <Paragraphs>17</Paragraphs>
  <TotalTime>0</TotalTime>
  <ScaleCrop>false</ScaleCrop>
  <LinksUpToDate>false</LinksUpToDate>
  <CharactersWithSpaces>4651</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2020-08-10T09:49:00Z</dcterms:created>
  <dc:creator>曹颖</dc:creator>
  <cp:lastModifiedBy>user</cp:lastModifiedBy>
  <cp:lastPrinted>2026-08-28T16:27:00Z</cp:lastPrinted>
  <dcterms:modified xsi:type="dcterms:W3CDTF">2026-09-14T09:55:01Z</dcterms:modified>
  <dc:title>四川省***</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AD52DD5CAC1C4E2E83B92918543A4EF9_13</vt:lpwstr>
  </property>
  <property fmtid="{D5CDD505-2E9C-101B-9397-08002B2CF9AE}" pid="4" name="KSOTemplateDocerSaveRecord">
    <vt:lpwstr>eyJoZGlkIjoiZmVmOTI3YTc4NDYwNTNlOTE3YjdkYWU4ZDk5YTU5NjEiLCJ1c2VySWQiOiIzMzk3MDMxNTgifQ==</vt:lpwstr>
  </property>
</Properties>
</file>