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86" w:rsidRDefault="00202486">
      <w:pPr>
        <w:jc w:val="left"/>
        <w:rPr>
          <w:rFonts w:eastAsia="方正小标宋_GBK"/>
          <w:szCs w:val="21"/>
        </w:rPr>
      </w:pPr>
      <w:bookmarkStart w:id="0" w:name="_Toc15306267"/>
    </w:p>
    <w:p w:rsidR="00202486" w:rsidRDefault="00202486">
      <w:pPr>
        <w:jc w:val="center"/>
        <w:rPr>
          <w:rFonts w:eastAsia="方正小标宋_GBK"/>
          <w:sz w:val="72"/>
          <w:szCs w:val="72"/>
        </w:rPr>
      </w:pPr>
    </w:p>
    <w:p w:rsidR="00202486" w:rsidRDefault="00202486">
      <w:pPr>
        <w:jc w:val="center"/>
        <w:rPr>
          <w:rFonts w:eastAsia="方正小标宋_GBK"/>
          <w:sz w:val="72"/>
          <w:szCs w:val="72"/>
        </w:rPr>
      </w:pPr>
    </w:p>
    <w:p w:rsidR="00202486" w:rsidRDefault="004C76F3">
      <w:pPr>
        <w:adjustRightInd w:val="0"/>
        <w:snapToGrid w:val="0"/>
        <w:spacing w:line="360" w:lineRule="auto"/>
        <w:jc w:val="center"/>
        <w:rPr>
          <w:rFonts w:eastAsia="方正小标宋_GBK"/>
          <w:sz w:val="72"/>
          <w:szCs w:val="72"/>
        </w:rPr>
      </w:pPr>
      <w:bookmarkStart w:id="1" w:name="_Toc15396475"/>
      <w:bookmarkStart w:id="2" w:name="_Toc15396597"/>
      <w:bookmarkStart w:id="3" w:name="_Toc15377193"/>
      <w:bookmarkStart w:id="4" w:name="_Toc15378441"/>
      <w:bookmarkStart w:id="5" w:name="_Toc15377425"/>
      <w:r>
        <w:rPr>
          <w:rFonts w:eastAsia="方正小标宋_GBK"/>
          <w:sz w:val="72"/>
          <w:szCs w:val="72"/>
        </w:rPr>
        <w:t>2022</w:t>
      </w:r>
      <w:r>
        <w:rPr>
          <w:rFonts w:eastAsia="方正小标宋_GBK" w:hAnsi="方正小标宋_GBK"/>
          <w:sz w:val="72"/>
          <w:szCs w:val="72"/>
        </w:rPr>
        <w:t>年度</w:t>
      </w:r>
      <w:bookmarkEnd w:id="1"/>
      <w:bookmarkEnd w:id="2"/>
      <w:bookmarkEnd w:id="3"/>
      <w:bookmarkEnd w:id="4"/>
      <w:bookmarkEnd w:id="5"/>
    </w:p>
    <w:p w:rsidR="00202486" w:rsidRDefault="004C76F3">
      <w:pPr>
        <w:adjustRightInd w:val="0"/>
        <w:snapToGrid w:val="0"/>
        <w:spacing w:line="360" w:lineRule="auto"/>
        <w:jc w:val="center"/>
        <w:rPr>
          <w:rFonts w:eastAsia="方正小标宋_GBK"/>
          <w:sz w:val="72"/>
          <w:szCs w:val="72"/>
        </w:rPr>
      </w:pPr>
      <w:bookmarkStart w:id="6" w:name="_Toc15378442"/>
      <w:bookmarkStart w:id="7" w:name="_Toc15377194"/>
      <w:bookmarkStart w:id="8" w:name="_Toc15396598"/>
      <w:bookmarkStart w:id="9" w:name="_Toc15377426"/>
      <w:bookmarkStart w:id="10" w:name="_Toc15396476"/>
      <w:r>
        <w:rPr>
          <w:rFonts w:eastAsia="方正小标宋_GBK" w:hAnsi="方正小标宋_GBK"/>
          <w:sz w:val="72"/>
          <w:szCs w:val="72"/>
        </w:rPr>
        <w:t>攀枝花市</w:t>
      </w:r>
      <w:bookmarkStart w:id="11" w:name="_Toc15306268"/>
      <w:bookmarkEnd w:id="0"/>
      <w:r>
        <w:rPr>
          <w:rFonts w:eastAsia="方正小标宋_GBK" w:hAnsi="方正小标宋_GBK"/>
          <w:sz w:val="72"/>
          <w:szCs w:val="72"/>
        </w:rPr>
        <w:t>文化馆</w:t>
      </w:r>
    </w:p>
    <w:p w:rsidR="00202486" w:rsidRDefault="004C76F3">
      <w:pPr>
        <w:adjustRightInd w:val="0"/>
        <w:snapToGrid w:val="0"/>
        <w:spacing w:line="360" w:lineRule="auto"/>
        <w:jc w:val="center"/>
        <w:rPr>
          <w:rFonts w:eastAsia="方正小标宋_GBK"/>
          <w:sz w:val="72"/>
          <w:szCs w:val="72"/>
        </w:rPr>
      </w:pPr>
      <w:r>
        <w:rPr>
          <w:rFonts w:eastAsia="方正小标宋_GBK" w:hAnsi="方正小标宋_GBK"/>
          <w:sz w:val="72"/>
          <w:szCs w:val="72"/>
        </w:rPr>
        <w:t>单位决算</w:t>
      </w:r>
      <w:bookmarkEnd w:id="6"/>
      <w:bookmarkEnd w:id="7"/>
      <w:bookmarkEnd w:id="8"/>
      <w:bookmarkEnd w:id="9"/>
      <w:bookmarkEnd w:id="10"/>
      <w:bookmarkEnd w:id="11"/>
    </w:p>
    <w:p w:rsidR="00202486" w:rsidRDefault="00202486">
      <w:pPr>
        <w:widowControl/>
        <w:spacing w:line="400" w:lineRule="exact"/>
        <w:jc w:val="center"/>
        <w:rPr>
          <w:rFonts w:eastAsia="黑体"/>
          <w:sz w:val="48"/>
          <w:szCs w:val="48"/>
        </w:rPr>
        <w:sectPr w:rsidR="0020248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pPr>
    </w:p>
    <w:p w:rsidR="00202486" w:rsidRDefault="004C76F3">
      <w:pPr>
        <w:widowControl/>
        <w:spacing w:line="400" w:lineRule="exact"/>
        <w:jc w:val="center"/>
        <w:rPr>
          <w:rFonts w:eastAsia="黑体"/>
          <w:sz w:val="36"/>
          <w:szCs w:val="36"/>
        </w:rPr>
      </w:pPr>
      <w:r>
        <w:rPr>
          <w:rFonts w:eastAsia="黑体" w:hAnsi="黑体"/>
          <w:sz w:val="36"/>
          <w:szCs w:val="36"/>
        </w:rPr>
        <w:lastRenderedPageBreak/>
        <w:t>目录</w:t>
      </w:r>
    </w:p>
    <w:p w:rsidR="00202486" w:rsidRDefault="004C76F3">
      <w:pPr>
        <w:pStyle w:val="10"/>
        <w:spacing w:line="400" w:lineRule="exact"/>
        <w:rPr>
          <w:rFonts w:ascii="Times New Roman" w:hAnsi="Times New Roman"/>
        </w:rPr>
      </w:pPr>
      <w:r>
        <w:rPr>
          <w:rFonts w:ascii="Times New Roman"/>
        </w:rPr>
        <w:t>公开时间：</w:t>
      </w:r>
      <w:r>
        <w:rPr>
          <w:rFonts w:ascii="Times New Roman" w:hAnsi="Times New Roman"/>
        </w:rPr>
        <w:t>2023</w:t>
      </w:r>
      <w:r>
        <w:rPr>
          <w:rFonts w:ascii="Times New Roman"/>
        </w:rPr>
        <w:t>年</w:t>
      </w:r>
      <w:r>
        <w:rPr>
          <w:rFonts w:ascii="Times New Roman" w:hAnsi="Times New Roman"/>
        </w:rPr>
        <w:t>9</w:t>
      </w:r>
      <w:r>
        <w:rPr>
          <w:rFonts w:ascii="Times New Roman"/>
        </w:rPr>
        <w:t>月</w:t>
      </w:r>
      <w:r>
        <w:rPr>
          <w:rFonts w:ascii="Times New Roman" w:hAnsi="Times New Roman"/>
        </w:rPr>
        <w:t>1</w:t>
      </w:r>
      <w:r>
        <w:rPr>
          <w:rFonts w:ascii="Times New Roman" w:hAnsi="Times New Roman" w:hint="eastAsia"/>
        </w:rPr>
        <w:t>4</w:t>
      </w:r>
      <w:r>
        <w:rPr>
          <w:rFonts w:ascii="Times New Roman"/>
        </w:rPr>
        <w:t>日</w:t>
      </w:r>
    </w:p>
    <w:sdt>
      <w:sdtPr>
        <w:rPr>
          <w:rFonts w:ascii="Times New Roman" w:eastAsia="宋体" w:hAnsi="Times New Roman"/>
          <w:sz w:val="21"/>
          <w:szCs w:val="24"/>
        </w:rPr>
        <w:id w:val="147454332"/>
        <w:docPartObj>
          <w:docPartGallery w:val="Table of Contents"/>
          <w:docPartUnique/>
        </w:docPartObj>
      </w:sdtPr>
      <w:sdtEndPr>
        <w:rPr>
          <w:b/>
        </w:rPr>
      </w:sdtEndPr>
      <w:sdtContent>
        <w:p w:rsidR="00202486" w:rsidRDefault="00202486">
          <w:pPr>
            <w:pStyle w:val="10"/>
            <w:tabs>
              <w:tab w:val="clear" w:pos="8296"/>
              <w:tab w:val="right" w:leader="dot" w:pos="8306"/>
            </w:tabs>
            <w:spacing w:line="400" w:lineRule="exact"/>
            <w:rPr>
              <w:rFonts w:ascii="宋体" w:eastAsia="宋体" w:hAnsi="宋体" w:cs="宋体"/>
              <w:sz w:val="24"/>
              <w:szCs w:val="24"/>
            </w:rPr>
          </w:pPr>
          <w:r>
            <w:rPr>
              <w:rFonts w:ascii="宋体" w:eastAsia="宋体" w:hAnsi="宋体" w:cs="宋体" w:hint="eastAsia"/>
              <w:sz w:val="24"/>
              <w:szCs w:val="24"/>
            </w:rPr>
            <w:fldChar w:fldCharType="begin"/>
          </w:r>
          <w:r w:rsidR="004C76F3">
            <w:rPr>
              <w:rFonts w:ascii="宋体" w:eastAsia="宋体" w:hAnsi="宋体" w:cs="宋体" w:hint="eastAsia"/>
              <w:sz w:val="24"/>
              <w:szCs w:val="24"/>
            </w:rPr>
            <w:instrText xml:space="preserve">TOC \o "1-2" \h \u </w:instrText>
          </w:r>
          <w:r>
            <w:rPr>
              <w:rFonts w:ascii="宋体" w:eastAsia="宋体" w:hAnsi="宋体" w:cs="宋体" w:hint="eastAsia"/>
              <w:sz w:val="24"/>
              <w:szCs w:val="24"/>
            </w:rPr>
            <w:fldChar w:fldCharType="separate"/>
          </w:r>
          <w:hyperlink w:anchor="_Toc3933" w:history="1">
            <w:r w:rsidR="004C76F3">
              <w:rPr>
                <w:rFonts w:ascii="宋体" w:eastAsia="宋体" w:hAnsi="宋体" w:cs="宋体" w:hint="eastAsia"/>
                <w:sz w:val="24"/>
                <w:szCs w:val="24"/>
              </w:rPr>
              <w:t>第一部分单位概况</w:t>
            </w:r>
            <w:r w:rsidR="004C76F3">
              <w:rPr>
                <w:rFonts w:ascii="宋体" w:eastAsia="宋体" w:hAnsi="宋体" w:cs="宋体" w:hint="eastAsia"/>
                <w:sz w:val="24"/>
                <w:szCs w:val="24"/>
              </w:rPr>
              <w:tab/>
            </w:r>
            <w:r>
              <w:rPr>
                <w:rFonts w:ascii="宋体" w:eastAsia="宋体" w:hAnsi="宋体" w:cs="宋体" w:hint="eastAsia"/>
                <w:sz w:val="24"/>
                <w:szCs w:val="24"/>
              </w:rPr>
              <w:fldChar w:fldCharType="begin"/>
            </w:r>
            <w:r w:rsidR="004C76F3">
              <w:rPr>
                <w:rFonts w:ascii="宋体" w:eastAsia="宋体" w:hAnsi="宋体" w:cs="宋体" w:hint="eastAsia"/>
                <w:sz w:val="24"/>
                <w:szCs w:val="24"/>
              </w:rPr>
              <w:instrText xml:space="preserve"> PAGEREF _Toc3933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76F3">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3261" w:history="1">
            <w:r w:rsidR="004C76F3">
              <w:rPr>
                <w:rFonts w:ascii="宋体" w:hAnsi="宋体" w:cs="宋体" w:hint="eastAsia"/>
                <w:sz w:val="24"/>
              </w:rPr>
              <w:t>一、主要职责</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_Toc3261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3</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10148" w:history="1">
            <w:r w:rsidR="004C76F3">
              <w:rPr>
                <w:rFonts w:ascii="宋体" w:hAnsi="宋体" w:cs="宋体" w:hint="eastAsia"/>
                <w:sz w:val="24"/>
              </w:rPr>
              <w:t>二、机构设置</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_Toc10148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3</w:t>
            </w:r>
            <w:r>
              <w:rPr>
                <w:rFonts w:ascii="宋体" w:hAnsi="宋体" w:cs="宋体" w:hint="eastAsia"/>
                <w:sz w:val="24"/>
              </w:rPr>
              <w:fldChar w:fldCharType="end"/>
            </w:r>
          </w:hyperlink>
        </w:p>
        <w:p w:rsidR="00202486" w:rsidRDefault="00202486">
          <w:pPr>
            <w:pStyle w:val="10"/>
            <w:tabs>
              <w:tab w:val="clear" w:pos="8296"/>
              <w:tab w:val="right" w:leader="dot" w:pos="8306"/>
            </w:tabs>
            <w:spacing w:line="400" w:lineRule="exact"/>
            <w:rPr>
              <w:rFonts w:ascii="宋体" w:eastAsia="宋体" w:hAnsi="宋体" w:cs="宋体"/>
              <w:sz w:val="24"/>
              <w:szCs w:val="24"/>
            </w:rPr>
          </w:pPr>
          <w:hyperlink w:anchor="_Toc19147" w:history="1">
            <w:r w:rsidR="004C76F3">
              <w:rPr>
                <w:rFonts w:ascii="宋体" w:eastAsia="宋体" w:hAnsi="宋体" w:cs="宋体" w:hint="eastAsia"/>
                <w:sz w:val="24"/>
                <w:szCs w:val="24"/>
              </w:rPr>
              <w:t>第二部分</w:t>
            </w:r>
            <w:r w:rsidR="004C76F3">
              <w:rPr>
                <w:rFonts w:ascii="宋体" w:eastAsia="宋体" w:hAnsi="宋体" w:cs="宋体" w:hint="eastAsia"/>
                <w:sz w:val="24"/>
                <w:szCs w:val="24"/>
              </w:rPr>
              <w:t xml:space="preserve"> 2022</w:t>
            </w:r>
            <w:r w:rsidR="004C76F3">
              <w:rPr>
                <w:rFonts w:ascii="宋体" w:eastAsia="宋体" w:hAnsi="宋体" w:cs="宋体" w:hint="eastAsia"/>
                <w:sz w:val="24"/>
                <w:szCs w:val="24"/>
              </w:rPr>
              <w:t>年度</w:t>
            </w:r>
            <w:r w:rsidR="004C76F3">
              <w:rPr>
                <w:rFonts w:ascii="宋体" w:eastAsia="宋体" w:hAnsi="宋体" w:cs="宋体" w:hint="eastAsia"/>
                <w:bCs/>
                <w:sz w:val="24"/>
                <w:szCs w:val="24"/>
              </w:rPr>
              <w:t>单位决算情况说明</w:t>
            </w:r>
            <w:r w:rsidR="004C76F3">
              <w:rPr>
                <w:rFonts w:ascii="宋体" w:eastAsia="宋体" w:hAnsi="宋体" w:cs="宋体" w:hint="eastAsia"/>
                <w:sz w:val="24"/>
                <w:szCs w:val="24"/>
              </w:rPr>
              <w:tab/>
            </w:r>
            <w:r>
              <w:rPr>
                <w:rFonts w:ascii="宋体" w:eastAsia="宋体" w:hAnsi="宋体" w:cs="宋体" w:hint="eastAsia"/>
                <w:sz w:val="24"/>
                <w:szCs w:val="24"/>
              </w:rPr>
              <w:fldChar w:fldCharType="begin"/>
            </w:r>
            <w:r w:rsidR="004C76F3">
              <w:rPr>
                <w:rFonts w:ascii="宋体" w:eastAsia="宋体" w:hAnsi="宋体" w:cs="宋体" w:hint="eastAsia"/>
                <w:sz w:val="24"/>
                <w:szCs w:val="24"/>
              </w:rPr>
              <w:instrText xml:space="preserve"> PAGEREF _Toc19147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76F3">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16113" w:history="1">
            <w:r w:rsidR="004C76F3">
              <w:rPr>
                <w:rFonts w:ascii="宋体" w:hAnsi="宋体" w:cs="宋体" w:hint="eastAsia"/>
                <w:sz w:val="24"/>
              </w:rPr>
              <w:t>一、收入支出决算总体情况说明</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_Toc16113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4</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24094" w:history="1">
            <w:r w:rsidR="004C76F3">
              <w:rPr>
                <w:rFonts w:ascii="宋体" w:hAnsi="宋体" w:cs="宋体" w:hint="eastAsia"/>
                <w:sz w:val="24"/>
              </w:rPr>
              <w:t>二、收入决算情况说明</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_Toc24094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4</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4197" w:history="1">
            <w:r w:rsidR="004C76F3">
              <w:rPr>
                <w:rFonts w:ascii="宋体" w:hAnsi="宋体" w:cs="宋体" w:hint="eastAsia"/>
                <w:sz w:val="24"/>
              </w:rPr>
              <w:t>三、支出决算情况说明</w:t>
            </w:r>
            <w:r w:rsidR="004C76F3">
              <w:rPr>
                <w:rFonts w:ascii="宋体" w:hAnsi="宋体" w:cs="宋体" w:hint="eastAsia"/>
                <w:sz w:val="24"/>
              </w:rPr>
              <w:tab/>
            </w:r>
          </w:hyperlink>
          <w:r w:rsidR="004C76F3">
            <w:rPr>
              <w:rFonts w:ascii="宋体" w:hAnsi="宋体" w:cs="宋体" w:hint="eastAsia"/>
              <w:sz w:val="24"/>
            </w:rPr>
            <w:t>5</w:t>
          </w:r>
        </w:p>
        <w:p w:rsidR="00202486" w:rsidRDefault="00202486">
          <w:pPr>
            <w:pStyle w:val="20"/>
            <w:tabs>
              <w:tab w:val="clear" w:pos="8296"/>
              <w:tab w:val="right" w:leader="dot" w:pos="8306"/>
            </w:tabs>
            <w:spacing w:line="400" w:lineRule="exact"/>
            <w:rPr>
              <w:rFonts w:ascii="宋体" w:hAnsi="宋体" w:cs="宋体"/>
              <w:sz w:val="24"/>
            </w:rPr>
          </w:pPr>
          <w:hyperlink w:anchor="_Toc536" w:history="1">
            <w:r w:rsidR="004C76F3">
              <w:rPr>
                <w:rFonts w:ascii="宋体" w:hAnsi="宋体" w:cs="宋体" w:hint="eastAsia"/>
                <w:sz w:val="24"/>
              </w:rPr>
              <w:t>四、财政拨款收入支出决算总体情况说明</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_Toc536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5</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11158" w:history="1">
            <w:r w:rsidR="004C76F3">
              <w:rPr>
                <w:rFonts w:ascii="宋体" w:hAnsi="宋体" w:cs="宋体" w:hint="eastAsia"/>
                <w:sz w:val="24"/>
              </w:rPr>
              <w:t>五、一般公共预算财政拨款支出决算情况说明</w:t>
            </w:r>
            <w:r w:rsidR="004C76F3">
              <w:rPr>
                <w:rFonts w:ascii="宋体" w:hAnsi="宋体" w:cs="宋体" w:hint="eastAsia"/>
                <w:sz w:val="24"/>
              </w:rPr>
              <w:tab/>
            </w:r>
          </w:hyperlink>
          <w:r w:rsidR="004C76F3">
            <w:rPr>
              <w:rFonts w:ascii="宋体" w:hAnsi="宋体" w:cs="宋体" w:hint="eastAsia"/>
              <w:sz w:val="24"/>
            </w:rPr>
            <w:t>6</w:t>
          </w:r>
        </w:p>
        <w:p w:rsidR="00202486" w:rsidRDefault="00202486">
          <w:pPr>
            <w:pStyle w:val="20"/>
            <w:tabs>
              <w:tab w:val="clear" w:pos="8296"/>
              <w:tab w:val="right" w:leader="dot" w:pos="8306"/>
            </w:tabs>
            <w:spacing w:line="400" w:lineRule="exact"/>
            <w:rPr>
              <w:rFonts w:ascii="宋体" w:hAnsi="宋体" w:cs="宋体"/>
              <w:sz w:val="24"/>
            </w:rPr>
          </w:pPr>
          <w:hyperlink w:anchor="_Toc10952" w:history="1">
            <w:r w:rsidR="004C76F3">
              <w:rPr>
                <w:rFonts w:ascii="宋体" w:hAnsi="宋体" w:cs="宋体" w:hint="eastAsia"/>
                <w:sz w:val="24"/>
              </w:rPr>
              <w:t>六、一般公共预算财政拨款基本支出决算情况说明</w:t>
            </w:r>
            <w:r w:rsidR="004C76F3">
              <w:rPr>
                <w:rFonts w:ascii="宋体" w:hAnsi="宋体" w:cs="宋体" w:hint="eastAsia"/>
                <w:sz w:val="24"/>
              </w:rPr>
              <w:tab/>
            </w:r>
          </w:hyperlink>
          <w:r w:rsidR="004C76F3">
            <w:rPr>
              <w:rFonts w:ascii="宋体" w:hAnsi="宋体" w:cs="宋体" w:hint="eastAsia"/>
              <w:sz w:val="24"/>
            </w:rPr>
            <w:t>8</w:t>
          </w:r>
        </w:p>
        <w:p w:rsidR="00202486" w:rsidRDefault="00202486">
          <w:pPr>
            <w:pStyle w:val="20"/>
            <w:tabs>
              <w:tab w:val="clear" w:pos="8296"/>
              <w:tab w:val="right" w:leader="dot" w:pos="8306"/>
            </w:tabs>
            <w:spacing w:line="400" w:lineRule="exact"/>
            <w:rPr>
              <w:rFonts w:ascii="宋体" w:hAnsi="宋体" w:cs="宋体"/>
              <w:sz w:val="24"/>
            </w:rPr>
          </w:pPr>
          <w:hyperlink w:anchor="_Toc5091" w:history="1">
            <w:r w:rsidR="004C76F3">
              <w:rPr>
                <w:rFonts w:ascii="宋体" w:hAnsi="宋体" w:cs="宋体" w:hint="eastAsia"/>
                <w:sz w:val="24"/>
              </w:rPr>
              <w:t>七、财政拨款“三公”经费支出决算情况说明</w:t>
            </w:r>
            <w:r w:rsidR="004C76F3">
              <w:rPr>
                <w:rFonts w:ascii="宋体" w:hAnsi="宋体" w:cs="宋体" w:hint="eastAsia"/>
                <w:sz w:val="24"/>
              </w:rPr>
              <w:tab/>
            </w:r>
          </w:hyperlink>
          <w:r w:rsidR="004C76F3">
            <w:rPr>
              <w:rFonts w:ascii="宋体" w:hAnsi="宋体" w:cs="宋体" w:hint="eastAsia"/>
              <w:sz w:val="24"/>
            </w:rPr>
            <w:t>9</w:t>
          </w:r>
        </w:p>
        <w:p w:rsidR="00202486" w:rsidRDefault="00202486">
          <w:pPr>
            <w:pStyle w:val="20"/>
            <w:tabs>
              <w:tab w:val="clear" w:pos="8296"/>
              <w:tab w:val="right" w:leader="dot" w:pos="8306"/>
            </w:tabs>
            <w:spacing w:line="400" w:lineRule="exact"/>
            <w:rPr>
              <w:rFonts w:ascii="宋体" w:hAnsi="宋体" w:cs="宋体"/>
              <w:sz w:val="24"/>
            </w:rPr>
          </w:pPr>
          <w:hyperlink w:anchor="_Toc22385" w:history="1">
            <w:r w:rsidR="004C76F3">
              <w:rPr>
                <w:rFonts w:ascii="宋体" w:hAnsi="宋体" w:cs="宋体" w:hint="eastAsia"/>
                <w:sz w:val="24"/>
              </w:rPr>
              <w:t>八、政府性基金预算支出决算情况说明</w:t>
            </w:r>
            <w:r w:rsidR="004C76F3">
              <w:rPr>
                <w:rFonts w:ascii="宋体" w:hAnsi="宋体" w:cs="宋体" w:hint="eastAsia"/>
                <w:sz w:val="24"/>
              </w:rPr>
              <w:tab/>
            </w:r>
          </w:hyperlink>
          <w:r w:rsidR="004C76F3">
            <w:rPr>
              <w:rFonts w:ascii="宋体" w:hAnsi="宋体" w:cs="宋体" w:hint="eastAsia"/>
              <w:sz w:val="24"/>
            </w:rPr>
            <w:t>11</w:t>
          </w:r>
        </w:p>
        <w:p w:rsidR="00202486" w:rsidRDefault="00202486">
          <w:pPr>
            <w:pStyle w:val="20"/>
            <w:tabs>
              <w:tab w:val="clear" w:pos="8296"/>
              <w:tab w:val="right" w:leader="dot" w:pos="8306"/>
            </w:tabs>
            <w:spacing w:line="400" w:lineRule="exact"/>
            <w:rPr>
              <w:rFonts w:ascii="宋体" w:hAnsi="宋体" w:cs="宋体"/>
              <w:sz w:val="24"/>
            </w:rPr>
          </w:pPr>
          <w:hyperlink w:anchor="_Toc14166" w:history="1">
            <w:r w:rsidR="004C76F3">
              <w:rPr>
                <w:rFonts w:ascii="宋体" w:hAnsi="宋体" w:cs="宋体" w:hint="eastAsia"/>
                <w:sz w:val="24"/>
              </w:rPr>
              <w:t>九、国有资本经营预算支出决算情况说明</w:t>
            </w:r>
            <w:r w:rsidR="004C76F3">
              <w:rPr>
                <w:rFonts w:ascii="宋体" w:hAnsi="宋体" w:cs="宋体" w:hint="eastAsia"/>
                <w:sz w:val="24"/>
              </w:rPr>
              <w:tab/>
            </w:r>
          </w:hyperlink>
          <w:r w:rsidR="004C76F3">
            <w:rPr>
              <w:rFonts w:ascii="宋体" w:hAnsi="宋体" w:cs="宋体" w:hint="eastAsia"/>
              <w:sz w:val="24"/>
            </w:rPr>
            <w:t>11</w:t>
          </w:r>
        </w:p>
        <w:p w:rsidR="00202486" w:rsidRDefault="00202486">
          <w:pPr>
            <w:pStyle w:val="20"/>
            <w:tabs>
              <w:tab w:val="clear" w:pos="8296"/>
              <w:tab w:val="right" w:leader="dot" w:pos="8306"/>
            </w:tabs>
            <w:spacing w:line="400" w:lineRule="exact"/>
            <w:rPr>
              <w:rFonts w:ascii="宋体" w:hAnsi="宋体" w:cs="宋体"/>
              <w:sz w:val="24"/>
            </w:rPr>
          </w:pPr>
          <w:hyperlink w:anchor="_Toc25192" w:history="1">
            <w:r w:rsidR="004C76F3">
              <w:rPr>
                <w:rFonts w:ascii="宋体" w:hAnsi="宋体" w:cs="宋体" w:hint="eastAsia"/>
                <w:sz w:val="24"/>
              </w:rPr>
              <w:t>十、其他重要事项的情况说明</w:t>
            </w:r>
            <w:r w:rsidR="004C76F3">
              <w:rPr>
                <w:rFonts w:ascii="宋体" w:hAnsi="宋体" w:cs="宋体" w:hint="eastAsia"/>
                <w:sz w:val="24"/>
              </w:rPr>
              <w:tab/>
            </w:r>
          </w:hyperlink>
          <w:r w:rsidR="004C76F3">
            <w:rPr>
              <w:rFonts w:ascii="宋体" w:hAnsi="宋体" w:cs="宋体" w:hint="eastAsia"/>
              <w:sz w:val="24"/>
            </w:rPr>
            <w:t>11</w:t>
          </w:r>
        </w:p>
        <w:p w:rsidR="00202486" w:rsidRDefault="00202486">
          <w:pPr>
            <w:pStyle w:val="10"/>
            <w:tabs>
              <w:tab w:val="clear" w:pos="8296"/>
              <w:tab w:val="right" w:leader="dot" w:pos="8306"/>
            </w:tabs>
            <w:spacing w:line="400" w:lineRule="exact"/>
            <w:rPr>
              <w:rFonts w:ascii="宋体" w:eastAsia="宋体" w:hAnsi="宋体" w:cs="宋体"/>
              <w:sz w:val="24"/>
              <w:szCs w:val="24"/>
            </w:rPr>
          </w:pPr>
          <w:hyperlink w:anchor="_Toc24994" w:history="1">
            <w:r w:rsidR="004C76F3">
              <w:rPr>
                <w:rFonts w:ascii="宋体" w:eastAsia="宋体" w:hAnsi="宋体" w:cs="宋体" w:hint="eastAsia"/>
                <w:sz w:val="24"/>
                <w:szCs w:val="24"/>
              </w:rPr>
              <w:t>第三部分名词解释</w:t>
            </w:r>
            <w:r w:rsidR="004C76F3">
              <w:rPr>
                <w:rFonts w:ascii="宋体" w:eastAsia="宋体" w:hAnsi="宋体" w:cs="宋体" w:hint="eastAsia"/>
                <w:sz w:val="24"/>
                <w:szCs w:val="24"/>
              </w:rPr>
              <w:tab/>
              <w:t>1</w:t>
            </w:r>
          </w:hyperlink>
          <w:r w:rsidR="004C76F3">
            <w:rPr>
              <w:rFonts w:ascii="宋体" w:eastAsia="宋体" w:hAnsi="宋体" w:cs="宋体" w:hint="eastAsia"/>
              <w:sz w:val="24"/>
              <w:szCs w:val="24"/>
            </w:rPr>
            <w:t>4</w:t>
          </w:r>
        </w:p>
        <w:p w:rsidR="00202486" w:rsidRDefault="00202486">
          <w:pPr>
            <w:pStyle w:val="10"/>
            <w:tabs>
              <w:tab w:val="clear" w:pos="8296"/>
              <w:tab w:val="right" w:leader="dot" w:pos="8306"/>
            </w:tabs>
            <w:spacing w:line="400" w:lineRule="exact"/>
            <w:rPr>
              <w:rFonts w:ascii="宋体" w:eastAsia="宋体" w:hAnsi="宋体" w:cs="宋体"/>
              <w:sz w:val="24"/>
              <w:szCs w:val="24"/>
            </w:rPr>
          </w:pPr>
          <w:hyperlink w:anchor="_Toc151" w:history="1">
            <w:r w:rsidR="004C76F3">
              <w:rPr>
                <w:rFonts w:ascii="宋体" w:eastAsia="宋体" w:hAnsi="宋体" w:cs="宋体" w:hint="eastAsia"/>
                <w:sz w:val="24"/>
                <w:szCs w:val="24"/>
              </w:rPr>
              <w:t>第四部分附件</w:t>
            </w:r>
            <w:r w:rsidR="004C76F3">
              <w:rPr>
                <w:rFonts w:ascii="宋体" w:eastAsia="宋体" w:hAnsi="宋体" w:cs="宋体" w:hint="eastAsia"/>
                <w:sz w:val="24"/>
                <w:szCs w:val="24"/>
              </w:rPr>
              <w:tab/>
            </w:r>
            <w:r>
              <w:rPr>
                <w:rFonts w:ascii="宋体" w:eastAsia="宋体" w:hAnsi="宋体" w:cs="宋体" w:hint="eastAsia"/>
                <w:sz w:val="24"/>
                <w:szCs w:val="24"/>
              </w:rPr>
              <w:fldChar w:fldCharType="begin"/>
            </w:r>
            <w:r w:rsidR="004C76F3">
              <w:rPr>
                <w:rFonts w:ascii="宋体" w:eastAsia="宋体" w:hAnsi="宋体" w:cs="宋体" w:hint="eastAsia"/>
                <w:sz w:val="24"/>
                <w:szCs w:val="24"/>
              </w:rPr>
              <w:instrText xml:space="preserve"> PAGEREF _Toc151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76F3">
              <w:rPr>
                <w:rFonts w:ascii="宋体" w:eastAsia="宋体" w:hAnsi="宋体" w:cs="宋体" w:hint="eastAsia"/>
                <w:sz w:val="24"/>
                <w:szCs w:val="24"/>
              </w:rPr>
              <w:t>16</w:t>
            </w:r>
            <w:r>
              <w:rPr>
                <w:rFonts w:ascii="宋体" w:eastAsia="宋体" w:hAnsi="宋体" w:cs="宋体" w:hint="eastAsia"/>
                <w:sz w:val="24"/>
                <w:szCs w:val="24"/>
              </w:rPr>
              <w:fldChar w:fldCharType="end"/>
            </w:r>
          </w:hyperlink>
        </w:p>
        <w:p w:rsidR="00202486" w:rsidRDefault="00202486">
          <w:pPr>
            <w:pStyle w:val="10"/>
            <w:tabs>
              <w:tab w:val="clear" w:pos="8296"/>
              <w:tab w:val="right" w:leader="dot" w:pos="8306"/>
            </w:tabs>
            <w:spacing w:line="400" w:lineRule="exact"/>
            <w:rPr>
              <w:rFonts w:ascii="宋体" w:eastAsia="宋体" w:hAnsi="宋体" w:cs="宋体"/>
              <w:sz w:val="24"/>
              <w:szCs w:val="24"/>
            </w:rPr>
          </w:pPr>
          <w:hyperlink w:anchor="_Toc13309" w:history="1">
            <w:r w:rsidR="004C76F3">
              <w:rPr>
                <w:rFonts w:ascii="宋体" w:eastAsia="宋体" w:hAnsi="宋体" w:cs="宋体" w:hint="eastAsia"/>
                <w:sz w:val="24"/>
                <w:szCs w:val="24"/>
              </w:rPr>
              <w:t>第五部分附表</w:t>
            </w:r>
            <w:r w:rsidR="004C76F3">
              <w:rPr>
                <w:rFonts w:ascii="宋体" w:eastAsia="宋体" w:hAnsi="宋体" w:cs="宋体" w:hint="eastAsia"/>
                <w:sz w:val="24"/>
                <w:szCs w:val="24"/>
              </w:rPr>
              <w:tab/>
            </w:r>
            <w:r>
              <w:rPr>
                <w:rFonts w:ascii="宋体" w:eastAsia="宋体" w:hAnsi="宋体" w:cs="宋体" w:hint="eastAsia"/>
                <w:sz w:val="24"/>
                <w:szCs w:val="24"/>
              </w:rPr>
              <w:fldChar w:fldCharType="begin"/>
            </w:r>
            <w:r w:rsidR="004C76F3">
              <w:rPr>
                <w:rFonts w:ascii="宋体" w:eastAsia="宋体" w:hAnsi="宋体" w:cs="宋体" w:hint="eastAsia"/>
                <w:sz w:val="24"/>
                <w:szCs w:val="24"/>
              </w:rPr>
              <w:instrText xml:space="preserve"> PAGEREF _Toc13309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76F3">
              <w:rPr>
                <w:rFonts w:ascii="宋体" w:eastAsia="宋体" w:hAnsi="宋体" w:cs="宋体" w:hint="eastAsia"/>
                <w:sz w:val="24"/>
                <w:szCs w:val="24"/>
              </w:rPr>
              <w:t>17</w:t>
            </w:r>
            <w:r>
              <w:rPr>
                <w:rFonts w:ascii="宋体" w:eastAsia="宋体" w:hAnsi="宋体" w:cs="宋体" w:hint="eastAsia"/>
                <w:sz w:val="24"/>
                <w:szCs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30316" w:history="1">
            <w:r w:rsidR="004C76F3">
              <w:rPr>
                <w:rFonts w:ascii="宋体" w:hAnsi="宋体" w:cs="宋体" w:hint="eastAsia"/>
                <w:sz w:val="24"/>
              </w:rPr>
              <w:t>一、收入支出决算总表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_Toc30316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12522" w:history="1">
            <w:r w:rsidR="004C76F3">
              <w:rPr>
                <w:rFonts w:ascii="宋体" w:hAnsi="宋体" w:cs="宋体" w:hint="eastAsia"/>
                <w:sz w:val="24"/>
              </w:rPr>
              <w:t>二、收入决算表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_Toc12522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29956" w:history="1">
            <w:r w:rsidR="004C76F3">
              <w:rPr>
                <w:rFonts w:ascii="宋体" w:hAnsi="宋体" w:cs="宋体" w:hint="eastAsia"/>
                <w:sz w:val="24"/>
              </w:rPr>
              <w:t>三、支出决算表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_Toc29956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9003" w:history="1">
            <w:r w:rsidR="004C76F3">
              <w:rPr>
                <w:rFonts w:ascii="宋体" w:hAnsi="宋体" w:cs="宋体" w:hint="eastAsia"/>
                <w:sz w:val="24"/>
              </w:rPr>
              <w:t>四、财政拨款收入支出决算总表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_Toc9003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27077" w:history="1">
            <w:r w:rsidR="004C76F3">
              <w:rPr>
                <w:rFonts w:ascii="宋体" w:hAnsi="宋体" w:cs="宋体" w:hint="eastAsia"/>
                <w:sz w:val="24"/>
              </w:rPr>
              <w:t>五、财政拨款支出决算明细表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_Toc27077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8567" w:history="1">
            <w:r w:rsidR="004C76F3">
              <w:rPr>
                <w:rFonts w:ascii="宋体" w:hAnsi="宋体" w:cs="宋体" w:hint="eastAsia"/>
                <w:sz w:val="24"/>
              </w:rPr>
              <w:t>六、一般公共预算财政拨款支出决算表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_Toc8567 \h</w:instrText>
            </w:r>
            <w:r w:rsidR="004C76F3">
              <w:rPr>
                <w:rFonts w:ascii="宋体" w:hAnsi="宋体" w:cs="宋体" w:hint="eastAsia"/>
                <w:sz w:val="24"/>
              </w:rPr>
              <w:instrText xml:space="preserve">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7120" w:history="1">
            <w:r w:rsidR="004C76F3">
              <w:rPr>
                <w:rFonts w:ascii="宋体" w:hAnsi="宋体" w:cs="宋体" w:hint="eastAsia"/>
                <w:sz w:val="24"/>
              </w:rPr>
              <w:t>七、一般公共预算财政拨款支出决算明细表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_Toc7120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15527" w:history="1">
            <w:r w:rsidR="004C76F3">
              <w:rPr>
                <w:rFonts w:ascii="宋体" w:hAnsi="宋体" w:cs="宋体" w:hint="eastAsia"/>
                <w:sz w:val="24"/>
              </w:rPr>
              <w:t>八、一般公共预算财政拨款基本支出决算明细表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w:instrText>
            </w:r>
            <w:r w:rsidR="004C76F3">
              <w:rPr>
                <w:rFonts w:ascii="宋体" w:hAnsi="宋体" w:cs="宋体" w:hint="eastAsia"/>
                <w:sz w:val="24"/>
              </w:rPr>
              <w:instrText xml:space="preserve">EF _Toc15527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3563" w:history="1">
            <w:r w:rsidR="004C76F3">
              <w:rPr>
                <w:rFonts w:ascii="宋体" w:hAnsi="宋体" w:cs="宋体" w:hint="eastAsia"/>
                <w:sz w:val="24"/>
              </w:rPr>
              <w:t>九、一般公共预算财政拨款项目支出决算表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_Toc3563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5234" w:history="1">
            <w:r w:rsidR="004C76F3">
              <w:rPr>
                <w:rFonts w:ascii="宋体" w:hAnsi="宋体" w:cs="宋体" w:hint="eastAsia"/>
                <w:sz w:val="24"/>
              </w:rPr>
              <w:t>十、政府性基金预算财政拨款收入支出决算表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_Toc5234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4309" w:history="1">
            <w:r w:rsidR="004C76F3">
              <w:rPr>
                <w:rFonts w:ascii="宋体" w:hAnsi="宋体" w:cs="宋体" w:hint="eastAsia"/>
                <w:sz w:val="24"/>
              </w:rPr>
              <w:t>十一、国有资本经营预算财政拨款收入支出决算表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_Toc4309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12022" w:history="1">
            <w:r w:rsidR="004C76F3">
              <w:rPr>
                <w:rFonts w:ascii="宋体" w:hAnsi="宋体" w:cs="宋体" w:hint="eastAsia"/>
                <w:sz w:val="24"/>
              </w:rPr>
              <w:t>十二、国有资本经营预算财政拨款支出决算表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_Toc12022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pStyle w:val="20"/>
            <w:tabs>
              <w:tab w:val="clear" w:pos="8296"/>
              <w:tab w:val="right" w:leader="dot" w:pos="8306"/>
            </w:tabs>
            <w:spacing w:line="400" w:lineRule="exact"/>
            <w:rPr>
              <w:rFonts w:ascii="宋体" w:hAnsi="宋体" w:cs="宋体"/>
              <w:sz w:val="24"/>
            </w:rPr>
          </w:pPr>
          <w:hyperlink w:anchor="_Toc4386" w:history="1">
            <w:r w:rsidR="004C76F3">
              <w:rPr>
                <w:rFonts w:ascii="宋体" w:hAnsi="宋体" w:cs="宋体" w:hint="eastAsia"/>
                <w:sz w:val="24"/>
              </w:rPr>
              <w:t>十三、财政拨款“三公”经费支出决算表</w:t>
            </w:r>
            <w:r w:rsidR="004C76F3">
              <w:rPr>
                <w:rFonts w:ascii="宋体" w:hAnsi="宋体" w:cs="宋体" w:hint="eastAsia"/>
                <w:sz w:val="24"/>
              </w:rPr>
              <w:tab/>
            </w:r>
            <w:r>
              <w:rPr>
                <w:rFonts w:ascii="宋体" w:hAnsi="宋体" w:cs="宋体" w:hint="eastAsia"/>
                <w:sz w:val="24"/>
              </w:rPr>
              <w:fldChar w:fldCharType="begin"/>
            </w:r>
            <w:r w:rsidR="004C76F3">
              <w:rPr>
                <w:rFonts w:ascii="宋体" w:hAnsi="宋体" w:cs="宋体" w:hint="eastAsia"/>
                <w:sz w:val="24"/>
              </w:rPr>
              <w:instrText xml:space="preserve"> PAGEREF _Toc4386 \h </w:instrText>
            </w:r>
            <w:r>
              <w:rPr>
                <w:rFonts w:ascii="宋体" w:hAnsi="宋体" w:cs="宋体" w:hint="eastAsia"/>
                <w:sz w:val="24"/>
              </w:rPr>
            </w:r>
            <w:r>
              <w:rPr>
                <w:rFonts w:ascii="宋体" w:hAnsi="宋体" w:cs="宋体" w:hint="eastAsia"/>
                <w:sz w:val="24"/>
              </w:rPr>
              <w:fldChar w:fldCharType="separate"/>
            </w:r>
            <w:r w:rsidR="004C76F3">
              <w:rPr>
                <w:rFonts w:ascii="宋体" w:hAnsi="宋体" w:cs="宋体" w:hint="eastAsia"/>
                <w:sz w:val="24"/>
              </w:rPr>
              <w:t>17</w:t>
            </w:r>
            <w:r>
              <w:rPr>
                <w:rFonts w:ascii="宋体" w:hAnsi="宋体" w:cs="宋体" w:hint="eastAsia"/>
                <w:sz w:val="24"/>
              </w:rPr>
              <w:fldChar w:fldCharType="end"/>
            </w:r>
          </w:hyperlink>
        </w:p>
        <w:p w:rsidR="00202486" w:rsidRDefault="00202486">
          <w:pPr>
            <w:spacing w:line="400" w:lineRule="exact"/>
          </w:pPr>
          <w:r>
            <w:rPr>
              <w:rFonts w:ascii="宋体" w:hAnsi="宋体" w:cs="宋体" w:hint="eastAsia"/>
              <w:sz w:val="24"/>
            </w:rPr>
            <w:fldChar w:fldCharType="end"/>
          </w:r>
        </w:p>
      </w:sdtContent>
    </w:sdt>
    <w:p w:rsidR="00202486" w:rsidRDefault="00202486">
      <w:pPr>
        <w:pStyle w:val="1"/>
        <w:spacing w:line="400" w:lineRule="exact"/>
        <w:jc w:val="center"/>
        <w:rPr>
          <w:rFonts w:eastAsia="黑体"/>
          <w:b w:val="0"/>
        </w:rPr>
        <w:sectPr w:rsidR="00202486">
          <w:footerReference w:type="default" r:id="rId14"/>
          <w:footerReference w:type="first" r:id="rId15"/>
          <w:pgSz w:w="11906" w:h="16838"/>
          <w:pgMar w:top="1440" w:right="1800" w:bottom="1440" w:left="1800" w:header="851" w:footer="992" w:gutter="0"/>
          <w:cols w:space="425"/>
          <w:titlePg/>
          <w:docGrid w:type="lines" w:linePitch="312"/>
        </w:sectPr>
      </w:pPr>
      <w:bookmarkStart w:id="12" w:name="_Toc15396599"/>
      <w:bookmarkStart w:id="13" w:name="_Toc15377196"/>
      <w:bookmarkStart w:id="14" w:name="_Toc3933"/>
    </w:p>
    <w:p w:rsidR="00202486" w:rsidRDefault="004C76F3">
      <w:pPr>
        <w:pStyle w:val="1"/>
        <w:spacing w:line="240" w:lineRule="auto"/>
        <w:jc w:val="center"/>
        <w:rPr>
          <w:rStyle w:val="1Char"/>
          <w:rFonts w:eastAsia="黑体"/>
          <w:b/>
        </w:rPr>
      </w:pPr>
      <w:r>
        <w:rPr>
          <w:rFonts w:eastAsia="黑体" w:hAnsi="黑体"/>
          <w:b w:val="0"/>
        </w:rPr>
        <w:lastRenderedPageBreak/>
        <w:t>第一部分单位</w:t>
      </w:r>
      <w:r>
        <w:rPr>
          <w:rStyle w:val="1Char"/>
          <w:rFonts w:eastAsia="黑体" w:hAnsi="黑体"/>
        </w:rPr>
        <w:t>概况</w:t>
      </w:r>
      <w:bookmarkEnd w:id="12"/>
      <w:bookmarkEnd w:id="13"/>
      <w:bookmarkEnd w:id="14"/>
    </w:p>
    <w:p w:rsidR="00202486" w:rsidRDefault="00202486">
      <w:pPr>
        <w:widowControl/>
        <w:jc w:val="left"/>
        <w:rPr>
          <w:rFonts w:eastAsia="黑体"/>
          <w:sz w:val="32"/>
          <w:szCs w:val="32"/>
        </w:rPr>
      </w:pPr>
    </w:p>
    <w:p w:rsidR="00202486" w:rsidRDefault="004C76F3">
      <w:pPr>
        <w:pStyle w:val="2"/>
        <w:spacing w:line="600" w:lineRule="exact"/>
        <w:ind w:firstLineChars="200" w:firstLine="640"/>
        <w:rPr>
          <w:rFonts w:ascii="Times New Roman" w:eastAsia="黑体" w:hAnsi="Times New Roman" w:cs="Times New Roman"/>
          <w:b w:val="0"/>
          <w:bCs w:val="0"/>
        </w:rPr>
      </w:pPr>
      <w:bookmarkStart w:id="15" w:name="_Toc3261"/>
      <w:bookmarkStart w:id="16" w:name="_Toc15396600"/>
      <w:bookmarkStart w:id="17" w:name="_Toc15377197"/>
      <w:r>
        <w:rPr>
          <w:rStyle w:val="2Char"/>
          <w:rFonts w:ascii="Times New Roman" w:eastAsia="黑体" w:hAnsi="黑体" w:cs="Times New Roman"/>
        </w:rPr>
        <w:t>一、主要职责</w:t>
      </w:r>
      <w:bookmarkEnd w:id="15"/>
    </w:p>
    <w:p w:rsidR="00202486" w:rsidRDefault="004C76F3">
      <w:pPr>
        <w:pStyle w:val="2"/>
        <w:snapToGrid w:val="0"/>
        <w:spacing w:line="600" w:lineRule="exact"/>
        <w:ind w:firstLineChars="200" w:firstLine="640"/>
        <w:rPr>
          <w:rFonts w:ascii="Times New Roman" w:eastAsia="仿宋_GB2312" w:hAnsi="Times New Roman" w:cs="Times New Roman"/>
          <w:b w:val="0"/>
          <w:bCs w:val="0"/>
        </w:rPr>
      </w:pPr>
      <w:r>
        <w:rPr>
          <w:rFonts w:ascii="Times New Roman" w:eastAsia="仿宋_GB2312" w:hAnsi="Times New Roman" w:cs="Times New Roman"/>
          <w:b w:val="0"/>
          <w:bCs w:val="0"/>
        </w:rPr>
        <w:t>（一）组织群众文化活动，繁荣群众文化事业。</w:t>
      </w:r>
    </w:p>
    <w:p w:rsidR="00202486" w:rsidRDefault="004C76F3">
      <w:pPr>
        <w:pStyle w:val="2"/>
        <w:snapToGrid w:val="0"/>
        <w:spacing w:line="600" w:lineRule="exact"/>
        <w:ind w:firstLineChars="200" w:firstLine="640"/>
        <w:rPr>
          <w:rFonts w:ascii="Times New Roman" w:eastAsia="仿宋_GB2312" w:hAnsi="Times New Roman" w:cs="Times New Roman"/>
          <w:b w:val="0"/>
          <w:bCs w:val="0"/>
        </w:rPr>
      </w:pPr>
      <w:r>
        <w:rPr>
          <w:rFonts w:ascii="Times New Roman" w:eastAsia="仿宋_GB2312" w:hAnsi="Times New Roman" w:cs="Times New Roman"/>
          <w:b w:val="0"/>
          <w:bCs w:val="0"/>
        </w:rPr>
        <w:t>（二）文化宣传、文艺活动组织、文艺演出组织、相关培训。</w:t>
      </w:r>
    </w:p>
    <w:p w:rsidR="00202486" w:rsidRDefault="004C76F3">
      <w:pPr>
        <w:pStyle w:val="2"/>
        <w:snapToGrid w:val="0"/>
        <w:spacing w:line="600" w:lineRule="exact"/>
        <w:ind w:firstLineChars="200" w:firstLine="640"/>
        <w:rPr>
          <w:rFonts w:ascii="Times New Roman" w:eastAsia="仿宋_GB2312" w:hAnsi="Times New Roman" w:cs="Times New Roman"/>
          <w:b w:val="0"/>
          <w:bCs w:val="0"/>
        </w:rPr>
      </w:pPr>
      <w:r>
        <w:rPr>
          <w:rFonts w:ascii="Times New Roman" w:eastAsia="仿宋_GB2312" w:hAnsi="Times New Roman" w:cs="Times New Roman"/>
          <w:b w:val="0"/>
          <w:bCs w:val="0"/>
        </w:rPr>
        <w:t>（三）业余创作团体管理，业余文艺创作组织、县</w:t>
      </w:r>
      <w:r>
        <w:rPr>
          <w:rFonts w:ascii="Times New Roman" w:eastAsia="仿宋_GB2312" w:hAnsi="Times New Roman" w:cs="Times New Roman" w:hint="eastAsia"/>
          <w:b w:val="0"/>
          <w:bCs w:val="0"/>
        </w:rPr>
        <w:t>（</w:t>
      </w:r>
      <w:r>
        <w:rPr>
          <w:rFonts w:ascii="Times New Roman" w:eastAsia="仿宋_GB2312" w:hAnsi="Times New Roman" w:cs="Times New Roman"/>
          <w:b w:val="0"/>
          <w:bCs w:val="0"/>
        </w:rPr>
        <w:t>区</w:t>
      </w:r>
      <w:r>
        <w:rPr>
          <w:rFonts w:ascii="Times New Roman" w:eastAsia="仿宋_GB2312" w:hAnsi="Times New Roman" w:cs="Times New Roman" w:hint="eastAsia"/>
          <w:b w:val="0"/>
          <w:bCs w:val="0"/>
        </w:rPr>
        <w:t>）、</w:t>
      </w:r>
      <w:r>
        <w:rPr>
          <w:rFonts w:ascii="Times New Roman" w:eastAsia="仿宋_GB2312" w:hAnsi="Times New Roman" w:cs="Times New Roman"/>
          <w:b w:val="0"/>
          <w:bCs w:val="0"/>
        </w:rPr>
        <w:t>乡级文化馆（站、室）业务指导。</w:t>
      </w:r>
    </w:p>
    <w:p w:rsidR="00202486" w:rsidRDefault="004C76F3">
      <w:pPr>
        <w:pStyle w:val="2"/>
        <w:snapToGrid w:val="0"/>
        <w:spacing w:line="600" w:lineRule="exact"/>
        <w:ind w:firstLineChars="200" w:firstLine="640"/>
        <w:rPr>
          <w:rFonts w:ascii="Times New Roman" w:eastAsia="仿宋_GB2312" w:hAnsi="Times New Roman" w:cs="Times New Roman"/>
          <w:b w:val="0"/>
          <w:bCs w:val="0"/>
        </w:rPr>
      </w:pPr>
      <w:r>
        <w:rPr>
          <w:rFonts w:ascii="Times New Roman" w:eastAsia="仿宋_GB2312" w:hAnsi="Times New Roman" w:cs="Times New Roman"/>
          <w:b w:val="0"/>
          <w:bCs w:val="0"/>
        </w:rPr>
        <w:t>（四）群众文艺理论研究、文化交流、（民族、民间）文化艺术遗产收集整理与保护、相关文化产业经营。</w:t>
      </w:r>
    </w:p>
    <w:p w:rsidR="00202486" w:rsidRDefault="004C76F3">
      <w:pPr>
        <w:pStyle w:val="2"/>
        <w:snapToGrid w:val="0"/>
        <w:spacing w:line="600" w:lineRule="exact"/>
        <w:ind w:firstLineChars="200" w:firstLine="640"/>
        <w:rPr>
          <w:rFonts w:ascii="Times New Roman" w:eastAsia="仿宋_GB2312" w:hAnsi="Times New Roman" w:cs="Times New Roman"/>
          <w:b w:val="0"/>
          <w:bCs w:val="0"/>
        </w:rPr>
      </w:pPr>
      <w:r>
        <w:rPr>
          <w:rFonts w:ascii="Times New Roman" w:eastAsia="仿宋_GB2312" w:hAnsi="Times New Roman" w:cs="Times New Roman"/>
          <w:b w:val="0"/>
          <w:bCs w:val="0"/>
        </w:rPr>
        <w:t>（五）完成市委、市政府交办的其他任务。</w:t>
      </w:r>
      <w:bookmarkStart w:id="18" w:name="_Toc10148"/>
    </w:p>
    <w:p w:rsidR="00202486" w:rsidRDefault="00202486">
      <w:pPr>
        <w:snapToGrid w:val="0"/>
        <w:spacing w:line="600" w:lineRule="exact"/>
        <w:ind w:firstLineChars="200" w:firstLine="640"/>
        <w:rPr>
          <w:rFonts w:eastAsia="黑体" w:hAnsi="黑体"/>
          <w:sz w:val="32"/>
          <w:szCs w:val="32"/>
        </w:rPr>
      </w:pPr>
    </w:p>
    <w:p w:rsidR="00202486" w:rsidRDefault="004C76F3">
      <w:pPr>
        <w:snapToGrid w:val="0"/>
        <w:spacing w:line="600" w:lineRule="exact"/>
        <w:ind w:firstLineChars="200" w:firstLine="640"/>
        <w:rPr>
          <w:rFonts w:eastAsia="黑体"/>
          <w:sz w:val="32"/>
          <w:szCs w:val="32"/>
        </w:rPr>
      </w:pPr>
      <w:r>
        <w:rPr>
          <w:rFonts w:eastAsia="黑体" w:hAnsi="黑体"/>
          <w:sz w:val="32"/>
          <w:szCs w:val="32"/>
        </w:rPr>
        <w:t>二、机构设置</w:t>
      </w:r>
      <w:bookmarkEnd w:id="16"/>
      <w:bookmarkEnd w:id="17"/>
      <w:bookmarkEnd w:id="18"/>
    </w:p>
    <w:p w:rsidR="00202486" w:rsidRDefault="004C76F3">
      <w:pPr>
        <w:pStyle w:val="2"/>
        <w:snapToGrid w:val="0"/>
        <w:spacing w:line="600" w:lineRule="exact"/>
        <w:ind w:firstLineChars="200" w:firstLine="640"/>
        <w:rPr>
          <w:rFonts w:ascii="Times New Roman" w:eastAsia="仿宋_GB2312" w:hAnsi="Times New Roman" w:cs="Times New Roman"/>
          <w:b w:val="0"/>
          <w:bCs w:val="0"/>
        </w:rPr>
      </w:pPr>
      <w:r>
        <w:rPr>
          <w:rFonts w:ascii="Times New Roman" w:eastAsia="仿宋_GB2312" w:hAnsi="Times New Roman" w:cs="Times New Roman"/>
          <w:b w:val="0"/>
          <w:bCs w:val="0"/>
        </w:rPr>
        <w:t>攀枝花市文化馆为全额拨款事业单位，总编制数</w:t>
      </w:r>
      <w:r>
        <w:rPr>
          <w:rFonts w:ascii="Times New Roman" w:eastAsia="仿宋_GB2312" w:hAnsi="Times New Roman" w:cs="Times New Roman"/>
          <w:b w:val="0"/>
          <w:bCs w:val="0"/>
        </w:rPr>
        <w:t>32</w:t>
      </w:r>
      <w:r>
        <w:rPr>
          <w:rFonts w:ascii="Times New Roman" w:eastAsia="仿宋_GB2312" w:hAnsi="Times New Roman" w:cs="Times New Roman"/>
          <w:b w:val="0"/>
          <w:bCs w:val="0"/>
        </w:rPr>
        <w:t>名。</w:t>
      </w:r>
      <w:r>
        <w:rPr>
          <w:rFonts w:ascii="Times New Roman" w:eastAsia="仿宋_GB2312" w:hAnsi="Times New Roman" w:cs="Times New Roman"/>
          <w:b w:val="0"/>
          <w:bCs w:val="0"/>
        </w:rPr>
        <w:t>2022</w:t>
      </w:r>
      <w:r>
        <w:rPr>
          <w:rFonts w:ascii="Times New Roman" w:eastAsia="仿宋_GB2312" w:hAnsi="Times New Roman" w:cs="Times New Roman"/>
          <w:b w:val="0"/>
          <w:bCs w:val="0"/>
        </w:rPr>
        <w:t>年底在职人员</w:t>
      </w:r>
      <w:r>
        <w:rPr>
          <w:rFonts w:ascii="Times New Roman" w:eastAsia="仿宋_GB2312" w:hAnsi="Times New Roman" w:cs="Times New Roman"/>
          <w:b w:val="0"/>
          <w:bCs w:val="0"/>
        </w:rPr>
        <w:t>28</w:t>
      </w:r>
      <w:r>
        <w:rPr>
          <w:rFonts w:ascii="Times New Roman" w:eastAsia="仿宋_GB2312" w:hAnsi="Times New Roman" w:cs="Times New Roman"/>
          <w:b w:val="0"/>
          <w:bCs w:val="0"/>
        </w:rPr>
        <w:t>人，退休人员</w:t>
      </w:r>
      <w:r>
        <w:rPr>
          <w:rFonts w:ascii="Times New Roman" w:eastAsia="仿宋_GB2312" w:hAnsi="Times New Roman" w:cs="Times New Roman"/>
          <w:b w:val="0"/>
          <w:bCs w:val="0"/>
        </w:rPr>
        <w:t>24</w:t>
      </w:r>
      <w:r>
        <w:rPr>
          <w:rFonts w:ascii="Times New Roman" w:eastAsia="仿宋_GB2312" w:hAnsi="Times New Roman" w:cs="Times New Roman"/>
          <w:b w:val="0"/>
          <w:bCs w:val="0"/>
        </w:rPr>
        <w:t>人，比</w:t>
      </w:r>
      <w:r>
        <w:rPr>
          <w:rFonts w:ascii="Times New Roman" w:eastAsia="仿宋_GB2312" w:hAnsi="Times New Roman" w:cs="Times New Roman"/>
          <w:b w:val="0"/>
          <w:bCs w:val="0"/>
        </w:rPr>
        <w:t>2021</w:t>
      </w:r>
      <w:r>
        <w:rPr>
          <w:rFonts w:ascii="Times New Roman" w:eastAsia="仿宋_GB2312" w:hAnsi="Times New Roman" w:cs="Times New Roman"/>
          <w:b w:val="0"/>
          <w:bCs w:val="0"/>
        </w:rPr>
        <w:t>年增加</w:t>
      </w:r>
      <w:r>
        <w:rPr>
          <w:rFonts w:ascii="Times New Roman" w:eastAsia="仿宋_GB2312" w:hAnsi="Times New Roman" w:cs="Times New Roman"/>
          <w:b w:val="0"/>
          <w:bCs w:val="0"/>
        </w:rPr>
        <w:t>3</w:t>
      </w:r>
      <w:r>
        <w:rPr>
          <w:rFonts w:ascii="Times New Roman" w:eastAsia="仿宋_GB2312" w:hAnsi="Times New Roman" w:cs="Times New Roman"/>
          <w:b w:val="0"/>
          <w:bCs w:val="0"/>
        </w:rPr>
        <w:t>人，增加原因是公招</w:t>
      </w:r>
      <w:r>
        <w:rPr>
          <w:rFonts w:ascii="Times New Roman" w:eastAsia="仿宋_GB2312" w:hAnsi="Times New Roman" w:cs="Times New Roman"/>
          <w:b w:val="0"/>
          <w:bCs w:val="0"/>
        </w:rPr>
        <w:t>3</w:t>
      </w:r>
      <w:r>
        <w:rPr>
          <w:rFonts w:ascii="Times New Roman" w:eastAsia="仿宋_GB2312" w:hAnsi="Times New Roman" w:cs="Times New Roman"/>
          <w:b w:val="0"/>
          <w:bCs w:val="0"/>
        </w:rPr>
        <w:t>人。</w:t>
      </w:r>
    </w:p>
    <w:p w:rsidR="00202486" w:rsidRDefault="00202486">
      <w:pPr>
        <w:pStyle w:val="1"/>
        <w:spacing w:line="400" w:lineRule="exact"/>
        <w:rPr>
          <w:rFonts w:eastAsia="黑体"/>
          <w:b w:val="0"/>
        </w:rPr>
      </w:pPr>
      <w:bookmarkStart w:id="19" w:name="_Toc15377204"/>
      <w:bookmarkStart w:id="20" w:name="_Toc15396602"/>
      <w:bookmarkStart w:id="21" w:name="_Toc19147"/>
    </w:p>
    <w:p w:rsidR="00202486" w:rsidRDefault="00202486"/>
    <w:p w:rsidR="00202486" w:rsidRDefault="00202486">
      <w:pPr>
        <w:pStyle w:val="1"/>
        <w:spacing w:before="0" w:after="0" w:line="240" w:lineRule="auto"/>
        <w:jc w:val="center"/>
        <w:rPr>
          <w:rFonts w:eastAsia="黑体"/>
          <w:b w:val="0"/>
        </w:rPr>
      </w:pPr>
    </w:p>
    <w:p w:rsidR="00202486" w:rsidRDefault="00202486"/>
    <w:p w:rsidR="00202486" w:rsidRDefault="004C76F3">
      <w:pPr>
        <w:pStyle w:val="1"/>
        <w:spacing w:before="0" w:after="0" w:line="240" w:lineRule="auto"/>
        <w:jc w:val="center"/>
        <w:rPr>
          <w:rStyle w:val="1Char"/>
          <w:rFonts w:eastAsia="黑体"/>
          <w:bCs/>
        </w:rPr>
      </w:pPr>
      <w:r>
        <w:rPr>
          <w:rFonts w:eastAsia="黑体" w:hAnsi="黑体"/>
          <w:b w:val="0"/>
        </w:rPr>
        <w:lastRenderedPageBreak/>
        <w:t>第二部分</w:t>
      </w:r>
      <w:r>
        <w:rPr>
          <w:rFonts w:eastAsia="黑体"/>
          <w:b w:val="0"/>
        </w:rPr>
        <w:t xml:space="preserve"> 2022</w:t>
      </w:r>
      <w:r>
        <w:rPr>
          <w:rFonts w:eastAsia="黑体" w:hAnsi="黑体"/>
          <w:b w:val="0"/>
        </w:rPr>
        <w:t>年度</w:t>
      </w:r>
      <w:r>
        <w:rPr>
          <w:rStyle w:val="1Char"/>
          <w:rFonts w:eastAsia="黑体" w:hAnsi="黑体"/>
          <w:bCs/>
        </w:rPr>
        <w:t>单位决算情况说明</w:t>
      </w:r>
      <w:bookmarkEnd w:id="19"/>
      <w:bookmarkEnd w:id="20"/>
      <w:bookmarkEnd w:id="21"/>
    </w:p>
    <w:p w:rsidR="00202486" w:rsidRDefault="00202486"/>
    <w:p w:rsidR="00202486" w:rsidRDefault="004C76F3">
      <w:pPr>
        <w:pStyle w:val="a8"/>
        <w:ind w:left="640" w:firstLineChars="0" w:firstLine="0"/>
        <w:outlineLvl w:val="1"/>
        <w:rPr>
          <w:rStyle w:val="2Char"/>
          <w:rFonts w:ascii="Times New Roman" w:eastAsia="黑体" w:hAnsi="Times New Roman" w:cs="Times New Roman"/>
          <w:b w:val="0"/>
        </w:rPr>
      </w:pPr>
      <w:bookmarkStart w:id="22" w:name="_Toc16113"/>
      <w:bookmarkStart w:id="23" w:name="_Toc15396603"/>
      <w:bookmarkStart w:id="24" w:name="_Toc15377205"/>
      <w:r>
        <w:rPr>
          <w:rFonts w:eastAsia="黑体" w:hAnsi="黑体"/>
          <w:sz w:val="32"/>
          <w:szCs w:val="32"/>
        </w:rPr>
        <w:t>一、收</w:t>
      </w:r>
      <w:r>
        <w:rPr>
          <w:rStyle w:val="2Char"/>
          <w:rFonts w:ascii="Times New Roman" w:eastAsia="黑体" w:hAnsi="黑体" w:cs="Times New Roman"/>
          <w:b w:val="0"/>
        </w:rPr>
        <w:t>入支出决算总体情况说明</w:t>
      </w:r>
      <w:bookmarkEnd w:id="22"/>
      <w:bookmarkEnd w:id="23"/>
      <w:bookmarkEnd w:id="24"/>
    </w:p>
    <w:p w:rsidR="00202486" w:rsidRDefault="004C76F3">
      <w:pPr>
        <w:pStyle w:val="2"/>
        <w:snapToGrid w:val="0"/>
        <w:spacing w:line="600" w:lineRule="exact"/>
        <w:ind w:firstLineChars="200" w:firstLine="640"/>
        <w:rPr>
          <w:rFonts w:ascii="Times New Roman" w:eastAsia="方正仿宋_GB2312" w:hAnsi="Times New Roman" w:cs="Times New Roman"/>
        </w:rPr>
      </w:pPr>
      <w:r>
        <w:rPr>
          <w:rFonts w:ascii="Times New Roman" w:eastAsia="仿宋_GB2312" w:hAnsi="Times New Roman" w:cs="Times New Roman"/>
          <w:b w:val="0"/>
          <w:bCs w:val="0"/>
        </w:rPr>
        <w:t>2022</w:t>
      </w:r>
      <w:r>
        <w:rPr>
          <w:rFonts w:ascii="Times New Roman" w:eastAsia="仿宋_GB2312" w:hAnsi="Times New Roman" w:cs="Times New Roman"/>
          <w:b w:val="0"/>
          <w:bCs w:val="0"/>
        </w:rPr>
        <w:t>年度收、支总计</w:t>
      </w:r>
      <w:r>
        <w:rPr>
          <w:rFonts w:ascii="Times New Roman" w:eastAsia="仿宋_GB2312" w:hAnsi="Times New Roman" w:cs="Times New Roman"/>
          <w:b w:val="0"/>
          <w:bCs w:val="0"/>
        </w:rPr>
        <w:t>741.25</w:t>
      </w:r>
      <w:r>
        <w:rPr>
          <w:rFonts w:ascii="Times New Roman" w:eastAsia="仿宋_GB2312" w:hAnsi="Times New Roman" w:cs="Times New Roman"/>
          <w:b w:val="0"/>
          <w:bCs w:val="0"/>
        </w:rPr>
        <w:t>万元。与</w:t>
      </w:r>
      <w:r>
        <w:rPr>
          <w:rFonts w:ascii="Times New Roman" w:eastAsia="仿宋_GB2312" w:hAnsi="Times New Roman" w:cs="Times New Roman"/>
          <w:b w:val="0"/>
          <w:bCs w:val="0"/>
        </w:rPr>
        <w:t>2021</w:t>
      </w:r>
      <w:r>
        <w:rPr>
          <w:rFonts w:ascii="Times New Roman" w:eastAsia="仿宋_GB2312" w:hAnsi="Times New Roman" w:cs="Times New Roman"/>
          <w:b w:val="0"/>
          <w:bCs w:val="0"/>
        </w:rPr>
        <w:t>年相比，收、支总计各减少</w:t>
      </w:r>
      <w:r>
        <w:rPr>
          <w:rFonts w:ascii="Times New Roman" w:eastAsia="仿宋_GB2312" w:hAnsi="Times New Roman" w:cs="Times New Roman"/>
          <w:b w:val="0"/>
          <w:bCs w:val="0"/>
        </w:rPr>
        <w:t>20.55</w:t>
      </w:r>
      <w:r>
        <w:rPr>
          <w:rFonts w:ascii="Times New Roman" w:eastAsia="仿宋_GB2312" w:hAnsi="Times New Roman" w:cs="Times New Roman"/>
          <w:b w:val="0"/>
          <w:bCs w:val="0"/>
        </w:rPr>
        <w:t>万元，下降</w:t>
      </w:r>
      <w:r>
        <w:rPr>
          <w:rFonts w:ascii="Times New Roman" w:eastAsia="仿宋_GB2312" w:hAnsi="Times New Roman" w:cs="Times New Roman"/>
          <w:b w:val="0"/>
          <w:bCs w:val="0"/>
        </w:rPr>
        <w:t>2.70%</w:t>
      </w:r>
      <w:r>
        <w:rPr>
          <w:rFonts w:ascii="Times New Roman" w:eastAsia="仿宋_GB2312" w:hAnsi="Times New Roman" w:cs="Times New Roman"/>
          <w:b w:val="0"/>
          <w:bCs w:val="0"/>
        </w:rPr>
        <w:t>。主要变动原因是日常公用经费预算压缩、项目支出减少造成。</w:t>
      </w:r>
    </w:p>
    <w:p w:rsidR="00202486" w:rsidRDefault="004C76F3">
      <w:pPr>
        <w:ind w:firstLineChars="200" w:firstLine="420"/>
        <w:jc w:val="center"/>
        <w:rPr>
          <w:rFonts w:eastAsia="仿宋_GB2312"/>
          <w:sz w:val="32"/>
          <w:szCs w:val="32"/>
        </w:rPr>
      </w:pPr>
      <w:r>
        <w:rPr>
          <w:noProof/>
        </w:rPr>
        <w:drawing>
          <wp:inline distT="0" distB="0" distL="114300" distR="114300">
            <wp:extent cx="4572000" cy="2743200"/>
            <wp:effectExtent l="4445" t="4445" r="14605" b="1460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2486" w:rsidRDefault="004C76F3">
      <w:pPr>
        <w:pStyle w:val="a8"/>
        <w:ind w:firstLineChars="0" w:firstLine="0"/>
        <w:jc w:val="center"/>
        <w:outlineLvl w:val="1"/>
        <w:rPr>
          <w:rFonts w:eastAsia="仿宋"/>
          <w:sz w:val="32"/>
          <w:szCs w:val="32"/>
        </w:rPr>
      </w:pPr>
      <w:bookmarkStart w:id="25" w:name="_Toc15396604"/>
      <w:bookmarkStart w:id="26" w:name="_Toc15377206"/>
      <w:bookmarkStart w:id="27" w:name="_Toc24094"/>
      <w:r>
        <w:rPr>
          <w:rFonts w:eastAsia="仿宋"/>
          <w:sz w:val="32"/>
          <w:szCs w:val="32"/>
        </w:rPr>
        <w:t>（图</w:t>
      </w:r>
      <w:r>
        <w:rPr>
          <w:rFonts w:eastAsia="仿宋"/>
          <w:sz w:val="32"/>
          <w:szCs w:val="32"/>
        </w:rPr>
        <w:t>1</w:t>
      </w:r>
      <w:r>
        <w:rPr>
          <w:rFonts w:eastAsia="仿宋"/>
          <w:sz w:val="32"/>
          <w:szCs w:val="32"/>
        </w:rPr>
        <w:t>：收、支决算总计变动情况图）</w:t>
      </w:r>
    </w:p>
    <w:p w:rsidR="00202486" w:rsidRDefault="00202486">
      <w:pPr>
        <w:pStyle w:val="a8"/>
        <w:ind w:left="640" w:firstLineChars="0" w:firstLine="0"/>
        <w:outlineLvl w:val="1"/>
        <w:rPr>
          <w:rFonts w:eastAsia="黑体" w:hAnsi="黑体"/>
          <w:sz w:val="32"/>
          <w:szCs w:val="32"/>
        </w:rPr>
      </w:pPr>
    </w:p>
    <w:p w:rsidR="00202486" w:rsidRDefault="004C76F3">
      <w:pPr>
        <w:pStyle w:val="a8"/>
        <w:ind w:left="640" w:firstLineChars="0" w:firstLine="0"/>
        <w:outlineLvl w:val="1"/>
        <w:rPr>
          <w:rStyle w:val="2Char"/>
          <w:rFonts w:ascii="Times New Roman" w:eastAsia="黑体" w:hAnsi="黑体" w:cs="Times New Roman"/>
          <w:b w:val="0"/>
        </w:rPr>
      </w:pPr>
      <w:r>
        <w:rPr>
          <w:rFonts w:eastAsia="黑体" w:hAnsi="黑体"/>
          <w:sz w:val="32"/>
          <w:szCs w:val="32"/>
        </w:rPr>
        <w:t>二、收</w:t>
      </w:r>
      <w:r>
        <w:rPr>
          <w:rStyle w:val="2Char"/>
          <w:rFonts w:ascii="Times New Roman" w:eastAsia="黑体" w:hAnsi="黑体" w:cs="Times New Roman"/>
          <w:b w:val="0"/>
        </w:rPr>
        <w:t>入决算情况说明</w:t>
      </w:r>
      <w:bookmarkEnd w:id="25"/>
      <w:bookmarkEnd w:id="26"/>
      <w:bookmarkEnd w:id="27"/>
    </w:p>
    <w:p w:rsidR="00202486" w:rsidRDefault="004C76F3">
      <w:pPr>
        <w:pStyle w:val="a8"/>
        <w:ind w:firstLineChars="220" w:firstLine="704"/>
        <w:outlineLvl w:val="1"/>
        <w:rPr>
          <w:rFonts w:eastAsia="仿宋_GB2312"/>
          <w:bCs/>
          <w:sz w:val="32"/>
          <w:szCs w:val="32"/>
        </w:rPr>
      </w:pPr>
      <w:r>
        <w:rPr>
          <w:rFonts w:eastAsia="仿宋_GB2312"/>
          <w:bCs/>
          <w:sz w:val="32"/>
          <w:szCs w:val="32"/>
        </w:rPr>
        <w:t>2022</w:t>
      </w:r>
      <w:r>
        <w:rPr>
          <w:rFonts w:eastAsia="仿宋_GB2312"/>
          <w:bCs/>
          <w:sz w:val="32"/>
          <w:szCs w:val="32"/>
        </w:rPr>
        <w:t>年本年收入合计</w:t>
      </w:r>
      <w:r>
        <w:rPr>
          <w:rFonts w:eastAsia="仿宋_GB2312"/>
          <w:bCs/>
          <w:sz w:val="32"/>
          <w:szCs w:val="32"/>
        </w:rPr>
        <w:t>727.86</w:t>
      </w:r>
      <w:r>
        <w:rPr>
          <w:rFonts w:eastAsia="仿宋_GB2312"/>
          <w:bCs/>
          <w:sz w:val="32"/>
          <w:szCs w:val="32"/>
        </w:rPr>
        <w:t>万元，其中：一般公共预算财政拨款收入</w:t>
      </w:r>
      <w:r>
        <w:rPr>
          <w:rFonts w:eastAsia="仿宋_GB2312"/>
          <w:bCs/>
          <w:sz w:val="32"/>
          <w:szCs w:val="32"/>
        </w:rPr>
        <w:t>727.86</w:t>
      </w:r>
      <w:r>
        <w:rPr>
          <w:rFonts w:eastAsia="仿宋_GB2312"/>
          <w:bCs/>
          <w:sz w:val="32"/>
          <w:szCs w:val="32"/>
        </w:rPr>
        <w:t>万元，占</w:t>
      </w:r>
      <w:r>
        <w:rPr>
          <w:rFonts w:eastAsia="仿宋_GB2312"/>
          <w:bCs/>
          <w:sz w:val="32"/>
          <w:szCs w:val="32"/>
        </w:rPr>
        <w:t>100%</w:t>
      </w:r>
      <w:r>
        <w:rPr>
          <w:rFonts w:eastAsia="仿宋_GB2312"/>
          <w:bCs/>
          <w:sz w:val="32"/>
          <w:szCs w:val="32"/>
        </w:rPr>
        <w:t>。</w:t>
      </w:r>
    </w:p>
    <w:p w:rsidR="00202486" w:rsidRDefault="004C76F3">
      <w:pPr>
        <w:pStyle w:val="a0"/>
        <w:spacing w:before="93"/>
        <w:jc w:val="center"/>
        <w:rPr>
          <w:rFonts w:ascii="Times New Roman"/>
        </w:rPr>
      </w:pPr>
      <w:bookmarkStart w:id="28" w:name="_Toc4197"/>
      <w:bookmarkStart w:id="29" w:name="_Toc15396605"/>
      <w:bookmarkStart w:id="30" w:name="_Toc15377207"/>
      <w:r>
        <w:rPr>
          <w:rFonts w:ascii="Times New Roman"/>
          <w:noProof/>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02486" w:rsidRDefault="004C76F3">
      <w:pPr>
        <w:pStyle w:val="a0"/>
        <w:spacing w:before="93"/>
        <w:ind w:firstLineChars="200" w:firstLine="600"/>
        <w:jc w:val="center"/>
        <w:rPr>
          <w:rFonts w:ascii="Times New Roman" w:eastAsia="黑体"/>
        </w:rPr>
      </w:pPr>
      <w:r>
        <w:rPr>
          <w:rFonts w:ascii="Times New Roman" w:eastAsia="黑体"/>
        </w:rPr>
        <w:t>（图</w:t>
      </w:r>
      <w:r>
        <w:rPr>
          <w:rFonts w:ascii="Times New Roman" w:eastAsia="黑体"/>
        </w:rPr>
        <w:t>2</w:t>
      </w:r>
      <w:r>
        <w:rPr>
          <w:rFonts w:ascii="Times New Roman" w:eastAsia="黑体"/>
        </w:rPr>
        <w:t>：收入决算结构图）</w:t>
      </w:r>
    </w:p>
    <w:p w:rsidR="00202486" w:rsidRDefault="00202486"/>
    <w:p w:rsidR="00202486" w:rsidRDefault="004C76F3">
      <w:pPr>
        <w:pStyle w:val="a0"/>
        <w:spacing w:before="93"/>
        <w:ind w:firstLineChars="200" w:firstLine="600"/>
        <w:rPr>
          <w:rStyle w:val="2Char"/>
          <w:rFonts w:ascii="Times New Roman" w:eastAsia="黑体" w:hAnsi="Times New Roman" w:cs="Times New Roman"/>
          <w:b w:val="0"/>
        </w:rPr>
      </w:pPr>
      <w:r>
        <w:rPr>
          <w:rFonts w:ascii="Times New Roman" w:eastAsia="黑体"/>
        </w:rPr>
        <w:t>三、</w:t>
      </w:r>
      <w:r>
        <w:rPr>
          <w:rFonts w:ascii="Times New Roman" w:eastAsia="黑体" w:hAnsi="黑体"/>
          <w:sz w:val="32"/>
          <w:szCs w:val="32"/>
        </w:rPr>
        <w:t>支</w:t>
      </w:r>
      <w:r>
        <w:rPr>
          <w:rStyle w:val="2Char"/>
          <w:rFonts w:ascii="Times New Roman" w:eastAsia="黑体" w:hAnsi="黑体" w:cs="Times New Roman"/>
          <w:b w:val="0"/>
        </w:rPr>
        <w:t>出决算情况说明</w:t>
      </w:r>
      <w:bookmarkEnd w:id="28"/>
      <w:bookmarkEnd w:id="29"/>
      <w:bookmarkEnd w:id="30"/>
    </w:p>
    <w:p w:rsidR="00202486" w:rsidRDefault="004C76F3">
      <w:pPr>
        <w:ind w:firstLineChars="200" w:firstLine="640"/>
        <w:rPr>
          <w:rFonts w:eastAsia="仿宋_GB2312"/>
          <w:sz w:val="32"/>
          <w:szCs w:val="32"/>
        </w:rPr>
      </w:pPr>
      <w:r>
        <w:rPr>
          <w:rFonts w:eastAsia="仿宋_GB2312"/>
          <w:sz w:val="32"/>
          <w:szCs w:val="32"/>
        </w:rPr>
        <w:t>2022</w:t>
      </w:r>
      <w:r>
        <w:rPr>
          <w:rFonts w:eastAsia="仿宋_GB2312"/>
          <w:sz w:val="32"/>
          <w:szCs w:val="32"/>
        </w:rPr>
        <w:t>年本年支出合计</w:t>
      </w:r>
      <w:r>
        <w:rPr>
          <w:rFonts w:eastAsia="仿宋_GB2312"/>
          <w:sz w:val="32"/>
          <w:szCs w:val="32"/>
        </w:rPr>
        <w:t>741.25</w:t>
      </w:r>
      <w:r>
        <w:rPr>
          <w:rFonts w:eastAsia="仿宋_GB2312"/>
          <w:sz w:val="32"/>
          <w:szCs w:val="32"/>
        </w:rPr>
        <w:t>万元，其中：基本支出</w:t>
      </w:r>
      <w:r>
        <w:rPr>
          <w:rFonts w:eastAsia="仿宋_GB2312"/>
          <w:sz w:val="32"/>
          <w:szCs w:val="32"/>
        </w:rPr>
        <w:t>563.51</w:t>
      </w:r>
      <w:r>
        <w:rPr>
          <w:rFonts w:eastAsia="仿宋_GB2312"/>
          <w:sz w:val="32"/>
          <w:szCs w:val="32"/>
        </w:rPr>
        <w:t>万元，占</w:t>
      </w:r>
      <w:r>
        <w:rPr>
          <w:rFonts w:eastAsia="仿宋_GB2312"/>
          <w:sz w:val="32"/>
          <w:szCs w:val="32"/>
        </w:rPr>
        <w:t>76.02%</w:t>
      </w:r>
      <w:r>
        <w:rPr>
          <w:rFonts w:eastAsia="仿宋_GB2312"/>
          <w:sz w:val="32"/>
          <w:szCs w:val="32"/>
        </w:rPr>
        <w:t>；项目支出</w:t>
      </w:r>
      <w:r>
        <w:rPr>
          <w:rFonts w:eastAsia="仿宋_GB2312"/>
          <w:sz w:val="32"/>
          <w:szCs w:val="32"/>
        </w:rPr>
        <w:t>177.74</w:t>
      </w:r>
      <w:r>
        <w:rPr>
          <w:rFonts w:eastAsia="仿宋_GB2312"/>
          <w:sz w:val="32"/>
          <w:szCs w:val="32"/>
        </w:rPr>
        <w:t>万元，占</w:t>
      </w:r>
      <w:r>
        <w:rPr>
          <w:rFonts w:eastAsia="仿宋_GB2312"/>
          <w:sz w:val="32"/>
          <w:szCs w:val="32"/>
        </w:rPr>
        <w:t>23.98%</w:t>
      </w:r>
      <w:r>
        <w:rPr>
          <w:rFonts w:eastAsia="仿宋_GB2312"/>
          <w:sz w:val="32"/>
          <w:szCs w:val="32"/>
        </w:rPr>
        <w:t>。</w:t>
      </w:r>
    </w:p>
    <w:p w:rsidR="00202486" w:rsidRDefault="004C76F3">
      <w:pPr>
        <w:pStyle w:val="a0"/>
        <w:spacing w:before="93"/>
        <w:jc w:val="center"/>
        <w:rPr>
          <w:rFonts w:ascii="Times New Roman"/>
        </w:rPr>
      </w:pPr>
      <w:r>
        <w:rPr>
          <w:rFonts w:ascii="Times New Roman"/>
          <w:noProof/>
        </w:rPr>
        <w:drawing>
          <wp:inline distT="0" distB="0" distL="114300" distR="114300">
            <wp:extent cx="4572000" cy="2743200"/>
            <wp:effectExtent l="4445" t="4445" r="1460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2486" w:rsidRDefault="004C76F3">
      <w:pPr>
        <w:ind w:firstLineChars="200" w:firstLine="640"/>
        <w:jc w:val="center"/>
        <w:outlineLvl w:val="1"/>
        <w:rPr>
          <w:rFonts w:eastAsia="黑体"/>
          <w:sz w:val="32"/>
          <w:szCs w:val="32"/>
        </w:rPr>
      </w:pPr>
      <w:bookmarkStart w:id="31" w:name="_GoBack"/>
      <w:bookmarkStart w:id="32" w:name="_Toc15377208"/>
      <w:bookmarkStart w:id="33" w:name="_Toc15396606"/>
      <w:bookmarkStart w:id="34" w:name="_Toc536"/>
      <w:bookmarkEnd w:id="31"/>
      <w:r>
        <w:rPr>
          <w:rFonts w:eastAsia="黑体" w:hAnsi="黑体"/>
          <w:sz w:val="32"/>
          <w:szCs w:val="32"/>
        </w:rPr>
        <w:t>（图</w:t>
      </w:r>
      <w:r>
        <w:rPr>
          <w:rFonts w:eastAsia="黑体"/>
          <w:sz w:val="32"/>
          <w:szCs w:val="32"/>
        </w:rPr>
        <w:t>3</w:t>
      </w:r>
      <w:r>
        <w:rPr>
          <w:rFonts w:eastAsia="黑体" w:hAnsi="黑体"/>
          <w:sz w:val="32"/>
          <w:szCs w:val="32"/>
        </w:rPr>
        <w:t>：支出决算结构图）</w:t>
      </w:r>
    </w:p>
    <w:p w:rsidR="00202486" w:rsidRDefault="00202486">
      <w:pPr>
        <w:pStyle w:val="a0"/>
        <w:spacing w:before="93"/>
        <w:rPr>
          <w:rFonts w:ascii="Times New Roman"/>
        </w:rPr>
      </w:pPr>
    </w:p>
    <w:p w:rsidR="00202486" w:rsidRDefault="004C76F3">
      <w:pPr>
        <w:ind w:firstLineChars="200" w:firstLine="640"/>
        <w:outlineLvl w:val="1"/>
        <w:rPr>
          <w:rStyle w:val="2Char"/>
          <w:rFonts w:ascii="Times New Roman" w:eastAsia="黑体" w:hAnsi="Times New Roman" w:cs="Times New Roman"/>
          <w:b w:val="0"/>
        </w:rPr>
      </w:pPr>
      <w:r>
        <w:rPr>
          <w:rFonts w:eastAsia="黑体" w:hAnsi="黑体"/>
          <w:sz w:val="32"/>
          <w:szCs w:val="32"/>
        </w:rPr>
        <w:t>四、财</w:t>
      </w:r>
      <w:r>
        <w:rPr>
          <w:rStyle w:val="2Char"/>
          <w:rFonts w:ascii="Times New Roman" w:eastAsia="黑体" w:hAnsi="黑体" w:cs="Times New Roman"/>
          <w:b w:val="0"/>
        </w:rPr>
        <w:t>政拨款收入支出决算总体情况说明</w:t>
      </w:r>
      <w:bookmarkEnd w:id="32"/>
      <w:bookmarkEnd w:id="33"/>
      <w:bookmarkEnd w:id="34"/>
    </w:p>
    <w:p w:rsidR="00202486" w:rsidRDefault="004C76F3">
      <w:pPr>
        <w:ind w:firstLineChars="200" w:firstLine="640"/>
        <w:rPr>
          <w:rFonts w:eastAsia="仿宋_GB2312"/>
          <w:sz w:val="32"/>
          <w:szCs w:val="32"/>
        </w:rPr>
      </w:pPr>
      <w:r>
        <w:rPr>
          <w:rFonts w:eastAsia="仿宋_GB2312"/>
          <w:sz w:val="32"/>
          <w:szCs w:val="32"/>
        </w:rPr>
        <w:t>2022</w:t>
      </w:r>
      <w:r>
        <w:rPr>
          <w:rFonts w:eastAsia="仿宋_GB2312"/>
          <w:sz w:val="32"/>
          <w:szCs w:val="32"/>
        </w:rPr>
        <w:t>年财政拨款收、支总计</w:t>
      </w:r>
      <w:r>
        <w:rPr>
          <w:rFonts w:eastAsia="仿宋_GB2312"/>
          <w:sz w:val="32"/>
          <w:szCs w:val="32"/>
        </w:rPr>
        <w:t>741.25</w:t>
      </w:r>
      <w:r>
        <w:rPr>
          <w:rFonts w:eastAsia="仿宋_GB2312"/>
          <w:sz w:val="32"/>
          <w:szCs w:val="32"/>
        </w:rPr>
        <w:t>万元。与</w:t>
      </w:r>
      <w:r>
        <w:rPr>
          <w:rFonts w:eastAsia="仿宋_GB2312"/>
          <w:sz w:val="32"/>
          <w:szCs w:val="32"/>
        </w:rPr>
        <w:t>2021</w:t>
      </w:r>
      <w:r>
        <w:rPr>
          <w:rFonts w:eastAsia="仿宋_GB2312"/>
          <w:sz w:val="32"/>
          <w:szCs w:val="32"/>
        </w:rPr>
        <w:t>年相比，财政拨款收、支总计各减少</w:t>
      </w:r>
      <w:r>
        <w:rPr>
          <w:rFonts w:eastAsia="仿宋_GB2312"/>
          <w:sz w:val="32"/>
          <w:szCs w:val="32"/>
        </w:rPr>
        <w:t>20.51</w:t>
      </w:r>
      <w:r>
        <w:rPr>
          <w:rFonts w:eastAsia="仿宋_GB2312"/>
          <w:sz w:val="32"/>
          <w:szCs w:val="32"/>
        </w:rPr>
        <w:t>万元，下降</w:t>
      </w:r>
      <w:r>
        <w:rPr>
          <w:rFonts w:eastAsia="仿宋_GB2312"/>
          <w:sz w:val="32"/>
          <w:szCs w:val="32"/>
        </w:rPr>
        <w:t>2.69%</w:t>
      </w:r>
      <w:r>
        <w:rPr>
          <w:rFonts w:eastAsia="仿宋_GB2312"/>
          <w:sz w:val="32"/>
          <w:szCs w:val="32"/>
        </w:rPr>
        <w:t>。主要变动原因是日常公用经费预算压缩、项目支出减少造成。</w:t>
      </w:r>
    </w:p>
    <w:p w:rsidR="00202486" w:rsidRDefault="004C76F3">
      <w:pPr>
        <w:jc w:val="center"/>
      </w:pPr>
      <w:r>
        <w:rPr>
          <w:noProof/>
        </w:rPr>
        <w:drawing>
          <wp:inline distT="0" distB="0" distL="114300" distR="114300">
            <wp:extent cx="4572000" cy="2743200"/>
            <wp:effectExtent l="4445" t="4445" r="14605" b="1460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02486" w:rsidRDefault="004C76F3">
      <w:pPr>
        <w:jc w:val="center"/>
        <w:outlineLvl w:val="1"/>
        <w:rPr>
          <w:rFonts w:eastAsia="仿宋"/>
          <w:sz w:val="32"/>
          <w:szCs w:val="32"/>
        </w:rPr>
      </w:pPr>
      <w:bookmarkStart w:id="35" w:name="_Toc15396607"/>
      <w:bookmarkStart w:id="36" w:name="_Toc11158"/>
      <w:bookmarkStart w:id="37" w:name="_Toc15377209"/>
      <w:r>
        <w:rPr>
          <w:rFonts w:eastAsia="仿宋"/>
          <w:sz w:val="32"/>
          <w:szCs w:val="32"/>
        </w:rPr>
        <w:t>（图</w:t>
      </w:r>
      <w:r>
        <w:rPr>
          <w:rFonts w:eastAsia="仿宋"/>
          <w:sz w:val="32"/>
          <w:szCs w:val="32"/>
        </w:rPr>
        <w:t>4</w:t>
      </w:r>
      <w:r>
        <w:rPr>
          <w:rFonts w:eastAsia="仿宋"/>
          <w:sz w:val="32"/>
          <w:szCs w:val="32"/>
        </w:rPr>
        <w:t>：财政拨款收、支决算总计变动情况）</w:t>
      </w:r>
    </w:p>
    <w:p w:rsidR="00202486" w:rsidRDefault="00202486">
      <w:pPr>
        <w:pStyle w:val="a0"/>
        <w:spacing w:before="93"/>
        <w:rPr>
          <w:rFonts w:ascii="Times New Roman"/>
        </w:rPr>
      </w:pPr>
    </w:p>
    <w:p w:rsidR="00202486" w:rsidRDefault="004C76F3">
      <w:pPr>
        <w:ind w:firstLineChars="200" w:firstLine="640"/>
        <w:outlineLvl w:val="1"/>
        <w:rPr>
          <w:rStyle w:val="2Char"/>
          <w:rFonts w:ascii="Times New Roman" w:eastAsia="黑体" w:hAnsi="Times New Roman" w:cs="Times New Roman"/>
          <w:b w:val="0"/>
        </w:rPr>
      </w:pPr>
      <w:r>
        <w:rPr>
          <w:rFonts w:eastAsia="黑体" w:hAnsi="黑体"/>
          <w:sz w:val="32"/>
          <w:szCs w:val="32"/>
        </w:rPr>
        <w:t>五、</w:t>
      </w:r>
      <w:r>
        <w:rPr>
          <w:rFonts w:eastAsia="黑体" w:hAnsi="黑体"/>
          <w:b/>
          <w:sz w:val="32"/>
          <w:szCs w:val="32"/>
        </w:rPr>
        <w:t>一</w:t>
      </w:r>
      <w:r>
        <w:rPr>
          <w:rStyle w:val="2Char"/>
          <w:rFonts w:ascii="Times New Roman" w:eastAsia="黑体" w:hAnsi="黑体" w:cs="Times New Roman"/>
          <w:b w:val="0"/>
        </w:rPr>
        <w:t>般公共预算财政拨款支出决算情况说明</w:t>
      </w:r>
      <w:bookmarkEnd w:id="35"/>
      <w:bookmarkEnd w:id="36"/>
      <w:bookmarkEnd w:id="37"/>
    </w:p>
    <w:p w:rsidR="00202486" w:rsidRDefault="004C76F3">
      <w:pPr>
        <w:ind w:firstLineChars="200" w:firstLine="643"/>
        <w:rPr>
          <w:rFonts w:eastAsia="仿宋"/>
          <w:b/>
          <w:sz w:val="32"/>
          <w:szCs w:val="32"/>
        </w:rPr>
      </w:pPr>
      <w:bookmarkStart w:id="38" w:name="_Toc15377210"/>
      <w:r>
        <w:rPr>
          <w:rFonts w:eastAsia="仿宋" w:hAnsi="仿宋"/>
          <w:b/>
          <w:sz w:val="32"/>
          <w:szCs w:val="32"/>
        </w:rPr>
        <w:t>（一）一般公共预算财政拨款支出决算总体情况</w:t>
      </w:r>
      <w:bookmarkEnd w:id="38"/>
    </w:p>
    <w:p w:rsidR="00202486" w:rsidRDefault="004C76F3">
      <w:pPr>
        <w:ind w:firstLineChars="200" w:firstLine="640"/>
        <w:rPr>
          <w:rFonts w:eastAsia="仿宋_GB2312"/>
          <w:sz w:val="32"/>
          <w:szCs w:val="32"/>
        </w:rPr>
      </w:pPr>
      <w:r>
        <w:rPr>
          <w:rFonts w:eastAsia="仿宋_GB2312"/>
          <w:sz w:val="32"/>
          <w:szCs w:val="32"/>
        </w:rPr>
        <w:t>2022</w:t>
      </w:r>
      <w:r>
        <w:rPr>
          <w:rFonts w:eastAsia="仿宋_GB2312"/>
          <w:sz w:val="32"/>
          <w:szCs w:val="32"/>
        </w:rPr>
        <w:t>年一般公共预算财政拨款支出</w:t>
      </w:r>
      <w:r>
        <w:rPr>
          <w:rFonts w:eastAsia="仿宋_GB2312"/>
          <w:sz w:val="32"/>
          <w:szCs w:val="32"/>
        </w:rPr>
        <w:t>741.25</w:t>
      </w:r>
      <w:r>
        <w:rPr>
          <w:rFonts w:eastAsia="仿宋_GB2312"/>
          <w:sz w:val="32"/>
          <w:szCs w:val="32"/>
        </w:rPr>
        <w:t>万元，占本年支出合计的</w:t>
      </w:r>
      <w:r>
        <w:rPr>
          <w:rFonts w:eastAsia="仿宋_GB2312"/>
          <w:sz w:val="32"/>
          <w:szCs w:val="32"/>
        </w:rPr>
        <w:t>100%</w:t>
      </w:r>
      <w:r>
        <w:rPr>
          <w:rFonts w:eastAsia="仿宋_GB2312"/>
          <w:sz w:val="32"/>
          <w:szCs w:val="32"/>
        </w:rPr>
        <w:t>。与</w:t>
      </w:r>
      <w:r>
        <w:rPr>
          <w:rFonts w:eastAsia="仿宋_GB2312"/>
          <w:sz w:val="32"/>
          <w:szCs w:val="32"/>
        </w:rPr>
        <w:t>2021</w:t>
      </w:r>
      <w:r>
        <w:rPr>
          <w:rFonts w:eastAsia="仿宋_GB2312"/>
          <w:sz w:val="32"/>
          <w:szCs w:val="32"/>
        </w:rPr>
        <w:t>年相比，一般公共预算财政拨款支出减少</w:t>
      </w:r>
      <w:r>
        <w:rPr>
          <w:rFonts w:eastAsia="仿宋_GB2312"/>
          <w:sz w:val="32"/>
          <w:szCs w:val="32"/>
        </w:rPr>
        <w:t>20.51</w:t>
      </w:r>
      <w:r>
        <w:rPr>
          <w:rFonts w:eastAsia="仿宋_GB2312"/>
          <w:sz w:val="32"/>
          <w:szCs w:val="32"/>
        </w:rPr>
        <w:t>万元，下降</w:t>
      </w:r>
      <w:r>
        <w:rPr>
          <w:rFonts w:eastAsia="仿宋_GB2312"/>
          <w:sz w:val="32"/>
          <w:szCs w:val="32"/>
        </w:rPr>
        <w:t>2.69%</w:t>
      </w:r>
      <w:r>
        <w:rPr>
          <w:rFonts w:eastAsia="仿宋_GB2312"/>
          <w:sz w:val="32"/>
          <w:szCs w:val="32"/>
        </w:rPr>
        <w:t>。主要变动原因是日常公用经费预算压缩、项目支出减少造成。</w:t>
      </w:r>
    </w:p>
    <w:p w:rsidR="00202486" w:rsidRDefault="004C76F3">
      <w:pPr>
        <w:autoSpaceDE w:val="0"/>
        <w:autoSpaceDN w:val="0"/>
        <w:ind w:firstLineChars="200" w:firstLine="420"/>
        <w:jc w:val="center"/>
      </w:pPr>
      <w:r>
        <w:rPr>
          <w:noProof/>
        </w:rPr>
        <w:drawing>
          <wp:inline distT="0" distB="0" distL="114300" distR="114300">
            <wp:extent cx="4572000" cy="3105150"/>
            <wp:effectExtent l="4445" t="4445" r="14605" b="1460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02486" w:rsidRDefault="004C76F3">
      <w:pPr>
        <w:pStyle w:val="a0"/>
        <w:spacing w:before="93"/>
        <w:jc w:val="center"/>
        <w:rPr>
          <w:rFonts w:ascii="Times New Roman" w:eastAsia="仿宋"/>
          <w:sz w:val="32"/>
          <w:szCs w:val="32"/>
        </w:rPr>
      </w:pPr>
      <w:bookmarkStart w:id="39" w:name="_Toc15377211"/>
      <w:r>
        <w:rPr>
          <w:rFonts w:ascii="Times New Roman" w:eastAsia="仿宋"/>
          <w:sz w:val="32"/>
          <w:szCs w:val="32"/>
        </w:rPr>
        <w:t>（图</w:t>
      </w:r>
      <w:r>
        <w:rPr>
          <w:rFonts w:ascii="Times New Roman" w:eastAsia="仿宋"/>
          <w:sz w:val="32"/>
          <w:szCs w:val="32"/>
        </w:rPr>
        <w:t>5</w:t>
      </w:r>
      <w:r>
        <w:rPr>
          <w:rFonts w:ascii="Times New Roman" w:eastAsia="仿宋"/>
          <w:sz w:val="32"/>
          <w:szCs w:val="32"/>
        </w:rPr>
        <w:t>：一般公共预算财政拨款支出决算变动情况）</w:t>
      </w:r>
    </w:p>
    <w:p w:rsidR="00202486" w:rsidRDefault="00202486">
      <w:pPr>
        <w:ind w:firstLineChars="200" w:firstLine="643"/>
        <w:rPr>
          <w:rFonts w:eastAsia="仿宋"/>
          <w:b/>
          <w:sz w:val="32"/>
          <w:szCs w:val="32"/>
        </w:rPr>
      </w:pPr>
    </w:p>
    <w:p w:rsidR="00202486" w:rsidRDefault="004C76F3">
      <w:pPr>
        <w:ind w:firstLineChars="200" w:firstLine="643"/>
        <w:rPr>
          <w:rFonts w:eastAsia="仿宋"/>
          <w:b/>
          <w:sz w:val="32"/>
          <w:szCs w:val="32"/>
        </w:rPr>
      </w:pPr>
      <w:r>
        <w:rPr>
          <w:rFonts w:eastAsia="仿宋" w:hAnsi="仿宋"/>
          <w:b/>
          <w:sz w:val="32"/>
          <w:szCs w:val="32"/>
        </w:rPr>
        <w:t>（二）一般公共预算财政拨款支出决算结构情况</w:t>
      </w:r>
      <w:bookmarkEnd w:id="39"/>
    </w:p>
    <w:p w:rsidR="00202486" w:rsidRDefault="004C76F3" w:rsidP="00202486">
      <w:pPr>
        <w:pStyle w:val="a0"/>
        <w:spacing w:before="93"/>
        <w:ind w:firstLineChars="188" w:firstLine="602"/>
        <w:jc w:val="left"/>
        <w:rPr>
          <w:rFonts w:ascii="Times New Roman" w:eastAsia="仿宋"/>
          <w:sz w:val="32"/>
          <w:szCs w:val="32"/>
        </w:rPr>
      </w:pPr>
      <w:r>
        <w:rPr>
          <w:rFonts w:ascii="Times New Roman" w:eastAsia="仿宋"/>
          <w:sz w:val="32"/>
          <w:szCs w:val="32"/>
        </w:rPr>
        <w:t>2022</w:t>
      </w:r>
      <w:r>
        <w:rPr>
          <w:rFonts w:ascii="Times New Roman" w:eastAsia="仿宋"/>
          <w:sz w:val="32"/>
          <w:szCs w:val="32"/>
        </w:rPr>
        <w:t>年一般公共预算财政拨款支出</w:t>
      </w:r>
      <w:r>
        <w:rPr>
          <w:rFonts w:ascii="Times New Roman" w:eastAsia="仿宋"/>
          <w:sz w:val="32"/>
          <w:szCs w:val="32"/>
        </w:rPr>
        <w:t>741.25</w:t>
      </w:r>
      <w:r>
        <w:rPr>
          <w:rFonts w:ascii="Times New Roman" w:eastAsia="仿宋"/>
          <w:sz w:val="32"/>
          <w:szCs w:val="32"/>
        </w:rPr>
        <w:t>万元，主要用于以下方面：文化旅游体育与传媒支出</w:t>
      </w:r>
      <w:r>
        <w:rPr>
          <w:rFonts w:ascii="Times New Roman" w:eastAsia="仿宋"/>
          <w:sz w:val="32"/>
          <w:szCs w:val="32"/>
        </w:rPr>
        <w:t>616.50</w:t>
      </w:r>
      <w:r>
        <w:rPr>
          <w:rFonts w:ascii="Times New Roman" w:eastAsia="仿宋"/>
          <w:sz w:val="32"/>
          <w:szCs w:val="32"/>
        </w:rPr>
        <w:t>万元，占</w:t>
      </w:r>
      <w:r>
        <w:rPr>
          <w:rFonts w:ascii="Times New Roman" w:eastAsia="仿宋"/>
          <w:sz w:val="32"/>
          <w:szCs w:val="32"/>
        </w:rPr>
        <w:t>83.17%</w:t>
      </w:r>
      <w:r>
        <w:rPr>
          <w:rFonts w:ascii="Times New Roman" w:eastAsia="仿宋"/>
          <w:sz w:val="32"/>
          <w:szCs w:val="32"/>
        </w:rPr>
        <w:t>；社会保障和就业支出</w:t>
      </w:r>
      <w:r>
        <w:rPr>
          <w:rFonts w:ascii="Times New Roman" w:eastAsia="仿宋"/>
          <w:sz w:val="32"/>
          <w:szCs w:val="32"/>
        </w:rPr>
        <w:t>84.82</w:t>
      </w:r>
      <w:r>
        <w:rPr>
          <w:rFonts w:ascii="Times New Roman" w:eastAsia="仿宋"/>
          <w:sz w:val="32"/>
          <w:szCs w:val="32"/>
        </w:rPr>
        <w:t>万元，占</w:t>
      </w:r>
      <w:r>
        <w:rPr>
          <w:rFonts w:ascii="Times New Roman" w:eastAsia="仿宋"/>
          <w:sz w:val="32"/>
          <w:szCs w:val="32"/>
        </w:rPr>
        <w:t>11.44%</w:t>
      </w:r>
      <w:r>
        <w:rPr>
          <w:rFonts w:ascii="Times New Roman" w:eastAsia="仿宋"/>
          <w:sz w:val="32"/>
          <w:szCs w:val="32"/>
        </w:rPr>
        <w:t>；住房保障支出</w:t>
      </w:r>
      <w:r>
        <w:rPr>
          <w:rFonts w:ascii="Times New Roman" w:eastAsia="仿宋"/>
          <w:sz w:val="32"/>
          <w:szCs w:val="32"/>
        </w:rPr>
        <w:t>39.93</w:t>
      </w:r>
      <w:r>
        <w:rPr>
          <w:rFonts w:ascii="Times New Roman" w:eastAsia="仿宋"/>
          <w:sz w:val="32"/>
          <w:szCs w:val="32"/>
        </w:rPr>
        <w:t>万元，占</w:t>
      </w:r>
      <w:r>
        <w:rPr>
          <w:rFonts w:ascii="Times New Roman" w:eastAsia="仿宋"/>
          <w:sz w:val="32"/>
          <w:szCs w:val="32"/>
        </w:rPr>
        <w:t>5.39%</w:t>
      </w:r>
      <w:r>
        <w:rPr>
          <w:rFonts w:ascii="Times New Roman" w:eastAsia="仿宋"/>
          <w:sz w:val="32"/>
          <w:szCs w:val="32"/>
        </w:rPr>
        <w:t>。</w:t>
      </w:r>
    </w:p>
    <w:p w:rsidR="00202486" w:rsidRDefault="004C76F3">
      <w:pPr>
        <w:pStyle w:val="a0"/>
        <w:spacing w:before="93"/>
        <w:rPr>
          <w:rFonts w:ascii="Times New Roman" w:eastAsia="仿宋"/>
          <w:sz w:val="32"/>
          <w:szCs w:val="32"/>
        </w:rPr>
      </w:pPr>
      <w:r>
        <w:rPr>
          <w:rFonts w:ascii="Times New Roman"/>
          <w:noProof/>
        </w:rPr>
        <w:drawing>
          <wp:inline distT="0" distB="0" distL="114300" distR="114300">
            <wp:extent cx="4572000" cy="2743200"/>
            <wp:effectExtent l="0" t="0" r="0" b="0"/>
            <wp:docPr id="9" name="图表 2" descr="7b0a202020202263686172745265734964223a202232303437343532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02486" w:rsidRDefault="004C76F3">
      <w:pPr>
        <w:jc w:val="center"/>
        <w:rPr>
          <w:rFonts w:eastAsia="仿宋"/>
          <w:b/>
          <w:sz w:val="32"/>
          <w:szCs w:val="32"/>
        </w:rPr>
      </w:pPr>
      <w:bookmarkStart w:id="40" w:name="_Toc15377212"/>
      <w:r>
        <w:rPr>
          <w:rFonts w:eastAsia="仿宋"/>
          <w:sz w:val="32"/>
          <w:szCs w:val="32"/>
        </w:rPr>
        <w:t>（图</w:t>
      </w:r>
      <w:r>
        <w:rPr>
          <w:rFonts w:eastAsia="仿宋"/>
          <w:sz w:val="32"/>
          <w:szCs w:val="32"/>
        </w:rPr>
        <w:t>6</w:t>
      </w:r>
      <w:r>
        <w:rPr>
          <w:rFonts w:eastAsia="仿宋"/>
          <w:sz w:val="32"/>
          <w:szCs w:val="32"/>
        </w:rPr>
        <w:t>：一般公共预算财政拨款支出决算结构）</w:t>
      </w:r>
    </w:p>
    <w:p w:rsidR="00202486" w:rsidRDefault="004C76F3">
      <w:pPr>
        <w:ind w:firstLineChars="200" w:firstLine="643"/>
        <w:rPr>
          <w:rFonts w:eastAsia="仿宋"/>
          <w:b/>
          <w:sz w:val="32"/>
          <w:szCs w:val="32"/>
        </w:rPr>
      </w:pPr>
      <w:r>
        <w:rPr>
          <w:rFonts w:eastAsia="仿宋" w:hAnsi="仿宋"/>
          <w:b/>
          <w:sz w:val="32"/>
          <w:szCs w:val="32"/>
        </w:rPr>
        <w:t>（三）一般公共预算财政拨款支出决算具体情况</w:t>
      </w:r>
      <w:bookmarkEnd w:id="40"/>
    </w:p>
    <w:p w:rsidR="00202486" w:rsidRDefault="004C76F3">
      <w:pPr>
        <w:ind w:firstLineChars="200" w:firstLine="640"/>
        <w:rPr>
          <w:b/>
          <w:kern w:val="0"/>
        </w:rPr>
      </w:pPr>
      <w:bookmarkStart w:id="41" w:name="_Toc15378460"/>
      <w:bookmarkStart w:id="42" w:name="_Toc15377444"/>
      <w:bookmarkStart w:id="43" w:name="_Toc15377213"/>
      <w:r>
        <w:rPr>
          <w:rFonts w:eastAsia="仿宋"/>
          <w:kern w:val="0"/>
          <w:sz w:val="32"/>
          <w:szCs w:val="32"/>
        </w:rPr>
        <w:t>2022</w:t>
      </w:r>
      <w:r>
        <w:rPr>
          <w:rFonts w:eastAsia="仿宋"/>
          <w:kern w:val="0"/>
          <w:sz w:val="32"/>
          <w:szCs w:val="32"/>
        </w:rPr>
        <w:t>年一般公共预算支出决算数为</w:t>
      </w:r>
      <w:r>
        <w:rPr>
          <w:rFonts w:eastAsia="仿宋"/>
          <w:kern w:val="0"/>
          <w:sz w:val="32"/>
          <w:szCs w:val="32"/>
        </w:rPr>
        <w:t>741.25</w:t>
      </w:r>
      <w:r>
        <w:rPr>
          <w:rFonts w:eastAsia="仿宋"/>
          <w:kern w:val="0"/>
          <w:sz w:val="32"/>
          <w:szCs w:val="32"/>
        </w:rPr>
        <w:t>万元，</w:t>
      </w:r>
      <w:r>
        <w:rPr>
          <w:rFonts w:eastAsia="仿宋" w:hint="eastAsia"/>
          <w:kern w:val="0"/>
          <w:sz w:val="32"/>
          <w:szCs w:val="32"/>
        </w:rPr>
        <w:t>完成预算</w:t>
      </w:r>
      <w:r>
        <w:rPr>
          <w:rFonts w:eastAsia="仿宋" w:hint="eastAsia"/>
          <w:kern w:val="0"/>
          <w:sz w:val="32"/>
          <w:szCs w:val="32"/>
        </w:rPr>
        <w:t>100</w:t>
      </w:r>
      <w:r>
        <w:rPr>
          <w:rFonts w:eastAsia="仿宋"/>
          <w:kern w:val="0"/>
          <w:sz w:val="32"/>
          <w:szCs w:val="32"/>
        </w:rPr>
        <w:t>%</w:t>
      </w:r>
      <w:r>
        <w:rPr>
          <w:rFonts w:eastAsia="仿宋" w:hint="eastAsia"/>
          <w:kern w:val="0"/>
          <w:sz w:val="32"/>
          <w:szCs w:val="32"/>
        </w:rPr>
        <w:t>。其中：</w:t>
      </w:r>
      <w:bookmarkEnd w:id="41"/>
      <w:bookmarkEnd w:id="42"/>
      <w:bookmarkEnd w:id="43"/>
    </w:p>
    <w:p w:rsidR="00202486" w:rsidRDefault="004C76F3">
      <w:pPr>
        <w:autoSpaceDE w:val="0"/>
        <w:autoSpaceDN w:val="0"/>
        <w:ind w:firstLineChars="200" w:firstLine="640"/>
        <w:rPr>
          <w:rFonts w:eastAsia="仿宋"/>
          <w:kern w:val="0"/>
          <w:sz w:val="32"/>
          <w:szCs w:val="32"/>
        </w:rPr>
      </w:pPr>
      <w:r>
        <w:rPr>
          <w:rFonts w:eastAsia="仿宋"/>
          <w:kern w:val="0"/>
          <w:sz w:val="32"/>
          <w:szCs w:val="32"/>
        </w:rPr>
        <w:t>1</w:t>
      </w:r>
      <w:r>
        <w:rPr>
          <w:rFonts w:eastAsia="仿宋"/>
          <w:kern w:val="0"/>
          <w:sz w:val="32"/>
          <w:szCs w:val="32"/>
        </w:rPr>
        <w:t>．文化旅游体育与传媒支出（类）文化和旅游（款）群众文化（项）：支出决算为</w:t>
      </w:r>
      <w:r>
        <w:rPr>
          <w:rFonts w:eastAsia="仿宋"/>
          <w:kern w:val="0"/>
          <w:sz w:val="32"/>
          <w:szCs w:val="32"/>
        </w:rPr>
        <w:t>481.56</w:t>
      </w:r>
      <w:r>
        <w:rPr>
          <w:rFonts w:eastAsia="仿宋"/>
          <w:kern w:val="0"/>
          <w:sz w:val="32"/>
          <w:szCs w:val="32"/>
        </w:rPr>
        <w:t>万元，完成预算</w:t>
      </w:r>
      <w:r>
        <w:rPr>
          <w:rFonts w:eastAsia="仿宋"/>
          <w:kern w:val="0"/>
          <w:sz w:val="32"/>
          <w:szCs w:val="32"/>
        </w:rPr>
        <w:t>100%</w:t>
      </w:r>
      <w:r>
        <w:rPr>
          <w:rFonts w:eastAsia="仿宋"/>
          <w:kern w:val="0"/>
          <w:sz w:val="32"/>
          <w:szCs w:val="32"/>
        </w:rPr>
        <w:t>。</w:t>
      </w:r>
    </w:p>
    <w:p w:rsidR="00202486" w:rsidRDefault="004C76F3">
      <w:pPr>
        <w:autoSpaceDE w:val="0"/>
        <w:autoSpaceDN w:val="0"/>
        <w:ind w:firstLineChars="200" w:firstLine="640"/>
        <w:rPr>
          <w:rFonts w:eastAsia="仿宋"/>
          <w:kern w:val="0"/>
          <w:sz w:val="32"/>
          <w:szCs w:val="32"/>
        </w:rPr>
      </w:pPr>
      <w:r>
        <w:rPr>
          <w:rFonts w:eastAsia="仿宋"/>
          <w:kern w:val="0"/>
          <w:sz w:val="32"/>
          <w:szCs w:val="32"/>
        </w:rPr>
        <w:t>2</w:t>
      </w:r>
      <w:r>
        <w:rPr>
          <w:rFonts w:eastAsia="仿宋"/>
          <w:kern w:val="0"/>
          <w:sz w:val="32"/>
          <w:szCs w:val="32"/>
        </w:rPr>
        <w:t>．文化旅游体育与传媒支出（类）文化和旅游（款）其他文化和旅游支出（项）：支出决算为</w:t>
      </w:r>
      <w:r>
        <w:rPr>
          <w:rFonts w:eastAsia="仿宋"/>
          <w:kern w:val="0"/>
          <w:sz w:val="32"/>
          <w:szCs w:val="32"/>
        </w:rPr>
        <w:t>51.15</w:t>
      </w:r>
      <w:r>
        <w:rPr>
          <w:rFonts w:eastAsia="仿宋"/>
          <w:kern w:val="0"/>
          <w:sz w:val="32"/>
          <w:szCs w:val="32"/>
        </w:rPr>
        <w:t>万元，完成预算</w:t>
      </w:r>
      <w:r>
        <w:rPr>
          <w:rFonts w:eastAsia="仿宋"/>
          <w:kern w:val="0"/>
          <w:sz w:val="32"/>
          <w:szCs w:val="32"/>
        </w:rPr>
        <w:t>100%</w:t>
      </w:r>
      <w:r>
        <w:rPr>
          <w:rFonts w:eastAsia="仿宋"/>
          <w:kern w:val="0"/>
          <w:sz w:val="32"/>
          <w:szCs w:val="32"/>
        </w:rPr>
        <w:t>。</w:t>
      </w:r>
    </w:p>
    <w:p w:rsidR="00202486" w:rsidRDefault="004C76F3">
      <w:pPr>
        <w:spacing w:line="600" w:lineRule="exact"/>
        <w:ind w:firstLineChars="200" w:firstLine="640"/>
        <w:rPr>
          <w:rFonts w:eastAsia="仿宋"/>
          <w:kern w:val="0"/>
        </w:rPr>
      </w:pPr>
      <w:r>
        <w:rPr>
          <w:rFonts w:eastAsia="仿宋"/>
          <w:kern w:val="0"/>
          <w:sz w:val="32"/>
          <w:szCs w:val="32"/>
        </w:rPr>
        <w:t>3</w:t>
      </w:r>
      <w:r>
        <w:rPr>
          <w:rFonts w:eastAsia="仿宋"/>
          <w:kern w:val="0"/>
          <w:sz w:val="32"/>
          <w:szCs w:val="32"/>
        </w:rPr>
        <w:t>．文化旅游体育与传媒支出（类）其他文化旅游体育与传媒支出（款）其他文化旅游体育与传媒支出（项）：支出决算为</w:t>
      </w:r>
      <w:r>
        <w:rPr>
          <w:rFonts w:eastAsia="仿宋"/>
          <w:kern w:val="0"/>
          <w:sz w:val="32"/>
          <w:szCs w:val="32"/>
        </w:rPr>
        <w:t>83.79</w:t>
      </w:r>
      <w:r>
        <w:rPr>
          <w:rFonts w:eastAsia="仿宋"/>
          <w:kern w:val="0"/>
          <w:sz w:val="32"/>
          <w:szCs w:val="32"/>
        </w:rPr>
        <w:t>万元，完成预算</w:t>
      </w:r>
      <w:r>
        <w:rPr>
          <w:rFonts w:eastAsia="仿宋"/>
          <w:kern w:val="0"/>
          <w:sz w:val="32"/>
          <w:szCs w:val="32"/>
        </w:rPr>
        <w:t>100%</w:t>
      </w:r>
      <w:r>
        <w:rPr>
          <w:rFonts w:eastAsia="仿宋" w:hint="eastAsia"/>
          <w:kern w:val="0"/>
        </w:rPr>
        <w:t>。</w:t>
      </w:r>
    </w:p>
    <w:p w:rsidR="00202486" w:rsidRDefault="004C76F3">
      <w:pPr>
        <w:autoSpaceDE w:val="0"/>
        <w:autoSpaceDN w:val="0"/>
        <w:ind w:firstLineChars="200" w:firstLine="640"/>
        <w:rPr>
          <w:rFonts w:eastAsia="仿宋"/>
          <w:kern w:val="0"/>
          <w:sz w:val="32"/>
          <w:szCs w:val="32"/>
        </w:rPr>
      </w:pPr>
      <w:r>
        <w:rPr>
          <w:rFonts w:eastAsia="仿宋"/>
          <w:kern w:val="0"/>
          <w:sz w:val="32"/>
          <w:szCs w:val="32"/>
        </w:rPr>
        <w:t>4</w:t>
      </w:r>
      <w:r>
        <w:rPr>
          <w:rFonts w:eastAsia="仿宋"/>
          <w:kern w:val="0"/>
          <w:sz w:val="32"/>
          <w:szCs w:val="32"/>
        </w:rPr>
        <w:t>．社会保障和就业</w:t>
      </w:r>
      <w:r>
        <w:rPr>
          <w:rFonts w:eastAsia="仿宋" w:hint="eastAsia"/>
          <w:kern w:val="0"/>
          <w:sz w:val="32"/>
          <w:szCs w:val="32"/>
        </w:rPr>
        <w:t>支出</w:t>
      </w:r>
      <w:r>
        <w:rPr>
          <w:rFonts w:eastAsia="仿宋"/>
          <w:kern w:val="0"/>
          <w:sz w:val="32"/>
          <w:szCs w:val="32"/>
        </w:rPr>
        <w:t>（类）人力资源和社会保障管理事务（款）其他人力资源和社会保障管理事务支出（项）：支出决算为</w:t>
      </w:r>
      <w:r>
        <w:rPr>
          <w:rFonts w:eastAsia="仿宋"/>
          <w:kern w:val="0"/>
          <w:sz w:val="32"/>
          <w:szCs w:val="32"/>
        </w:rPr>
        <w:t>0.80</w:t>
      </w:r>
      <w:r>
        <w:rPr>
          <w:rFonts w:eastAsia="仿宋"/>
          <w:kern w:val="0"/>
          <w:sz w:val="32"/>
          <w:szCs w:val="32"/>
        </w:rPr>
        <w:t>万元，完成预算</w:t>
      </w:r>
      <w:r>
        <w:rPr>
          <w:rFonts w:eastAsia="仿宋"/>
          <w:kern w:val="0"/>
          <w:sz w:val="32"/>
          <w:szCs w:val="32"/>
        </w:rPr>
        <w:t>100%</w:t>
      </w:r>
      <w:r>
        <w:rPr>
          <w:rFonts w:eastAsia="仿宋" w:hint="eastAsia"/>
          <w:kern w:val="0"/>
        </w:rPr>
        <w:t>。</w:t>
      </w:r>
    </w:p>
    <w:p w:rsidR="00202486" w:rsidRDefault="004C76F3">
      <w:pPr>
        <w:autoSpaceDE w:val="0"/>
        <w:autoSpaceDN w:val="0"/>
        <w:ind w:firstLineChars="200" w:firstLine="640"/>
        <w:rPr>
          <w:rFonts w:eastAsia="仿宋"/>
          <w:kern w:val="0"/>
          <w:sz w:val="32"/>
          <w:szCs w:val="32"/>
        </w:rPr>
      </w:pPr>
      <w:r>
        <w:rPr>
          <w:rFonts w:eastAsia="仿宋"/>
          <w:kern w:val="0"/>
          <w:sz w:val="32"/>
          <w:szCs w:val="32"/>
        </w:rPr>
        <w:t>5</w:t>
      </w:r>
      <w:r>
        <w:rPr>
          <w:rFonts w:eastAsia="仿宋"/>
          <w:kern w:val="0"/>
          <w:sz w:val="32"/>
          <w:szCs w:val="32"/>
        </w:rPr>
        <w:t>．社会保障和就业</w:t>
      </w:r>
      <w:r>
        <w:rPr>
          <w:rFonts w:eastAsia="仿宋" w:hint="eastAsia"/>
          <w:kern w:val="0"/>
          <w:sz w:val="32"/>
          <w:szCs w:val="32"/>
        </w:rPr>
        <w:t>支出</w:t>
      </w:r>
      <w:r>
        <w:rPr>
          <w:rFonts w:eastAsia="仿宋"/>
          <w:kern w:val="0"/>
          <w:sz w:val="32"/>
          <w:szCs w:val="32"/>
        </w:rPr>
        <w:t>（类）行政事业单位养老支出（款）事业单位离退休（项）：支出决算为</w:t>
      </w:r>
      <w:r>
        <w:rPr>
          <w:rFonts w:eastAsia="仿宋"/>
          <w:kern w:val="0"/>
          <w:sz w:val="32"/>
          <w:szCs w:val="32"/>
        </w:rPr>
        <w:t>47.51</w:t>
      </w:r>
      <w:r>
        <w:rPr>
          <w:rFonts w:eastAsia="仿宋"/>
          <w:kern w:val="0"/>
          <w:sz w:val="32"/>
          <w:szCs w:val="32"/>
        </w:rPr>
        <w:t>万元，</w:t>
      </w:r>
      <w:r>
        <w:rPr>
          <w:rFonts w:eastAsia="仿宋"/>
          <w:kern w:val="0"/>
          <w:sz w:val="32"/>
          <w:szCs w:val="32"/>
        </w:rPr>
        <w:t>完成预算</w:t>
      </w:r>
      <w:r>
        <w:rPr>
          <w:rFonts w:eastAsia="仿宋"/>
          <w:kern w:val="0"/>
          <w:sz w:val="32"/>
          <w:szCs w:val="32"/>
        </w:rPr>
        <w:t>100%</w:t>
      </w:r>
      <w:r>
        <w:rPr>
          <w:rFonts w:eastAsia="仿宋"/>
          <w:kern w:val="0"/>
          <w:sz w:val="32"/>
          <w:szCs w:val="32"/>
        </w:rPr>
        <w:t>。</w:t>
      </w:r>
    </w:p>
    <w:p w:rsidR="00202486" w:rsidRDefault="004C76F3">
      <w:pPr>
        <w:autoSpaceDE w:val="0"/>
        <w:autoSpaceDN w:val="0"/>
        <w:ind w:firstLineChars="200" w:firstLine="640"/>
        <w:rPr>
          <w:rFonts w:eastAsia="仿宋"/>
          <w:kern w:val="0"/>
          <w:sz w:val="32"/>
          <w:szCs w:val="32"/>
        </w:rPr>
      </w:pPr>
      <w:r>
        <w:rPr>
          <w:rFonts w:eastAsia="仿宋"/>
          <w:kern w:val="0"/>
          <w:sz w:val="32"/>
          <w:szCs w:val="32"/>
        </w:rPr>
        <w:t>6</w:t>
      </w:r>
      <w:r>
        <w:rPr>
          <w:rFonts w:eastAsia="仿宋"/>
          <w:kern w:val="0"/>
          <w:sz w:val="32"/>
          <w:szCs w:val="32"/>
        </w:rPr>
        <w:t>．社会保障和就业</w:t>
      </w:r>
      <w:r>
        <w:rPr>
          <w:rFonts w:eastAsia="仿宋" w:hint="eastAsia"/>
          <w:kern w:val="0"/>
          <w:sz w:val="32"/>
          <w:szCs w:val="32"/>
        </w:rPr>
        <w:t>支出</w:t>
      </w:r>
      <w:r>
        <w:rPr>
          <w:rFonts w:eastAsia="仿宋"/>
          <w:kern w:val="0"/>
          <w:sz w:val="32"/>
          <w:szCs w:val="32"/>
        </w:rPr>
        <w:t>（类）行政事业单位养老支出（款）机关事业单位基本养老保险缴费支出（项）：支出决算为</w:t>
      </w:r>
      <w:r>
        <w:rPr>
          <w:rFonts w:eastAsia="仿宋"/>
          <w:kern w:val="0"/>
          <w:sz w:val="32"/>
          <w:szCs w:val="32"/>
        </w:rPr>
        <w:t>36.51</w:t>
      </w:r>
      <w:r>
        <w:rPr>
          <w:rFonts w:eastAsia="仿宋"/>
          <w:kern w:val="0"/>
          <w:sz w:val="32"/>
          <w:szCs w:val="32"/>
        </w:rPr>
        <w:t>万元，完成预算</w:t>
      </w:r>
      <w:r>
        <w:rPr>
          <w:rFonts w:eastAsia="仿宋"/>
          <w:kern w:val="0"/>
          <w:sz w:val="32"/>
          <w:szCs w:val="32"/>
        </w:rPr>
        <w:t>100%</w:t>
      </w:r>
      <w:r>
        <w:rPr>
          <w:rFonts w:eastAsia="仿宋"/>
          <w:kern w:val="0"/>
          <w:sz w:val="32"/>
          <w:szCs w:val="32"/>
        </w:rPr>
        <w:t>。</w:t>
      </w:r>
    </w:p>
    <w:p w:rsidR="00202486" w:rsidRDefault="004C76F3">
      <w:pPr>
        <w:autoSpaceDE w:val="0"/>
        <w:autoSpaceDN w:val="0"/>
        <w:ind w:firstLineChars="200" w:firstLine="640"/>
        <w:rPr>
          <w:rFonts w:eastAsia="仿宋"/>
          <w:kern w:val="0"/>
          <w:sz w:val="32"/>
          <w:szCs w:val="32"/>
        </w:rPr>
      </w:pPr>
      <w:r>
        <w:rPr>
          <w:rFonts w:eastAsia="仿宋"/>
          <w:kern w:val="0"/>
          <w:sz w:val="32"/>
          <w:szCs w:val="32"/>
        </w:rPr>
        <w:t>7</w:t>
      </w:r>
      <w:r>
        <w:rPr>
          <w:rFonts w:eastAsia="仿宋"/>
          <w:kern w:val="0"/>
          <w:sz w:val="32"/>
          <w:szCs w:val="32"/>
        </w:rPr>
        <w:t>．住房保障支出（类）住房改革支出（款）住房公积金（项）：支出决算为</w:t>
      </w:r>
      <w:r>
        <w:rPr>
          <w:rFonts w:eastAsia="仿宋"/>
          <w:kern w:val="0"/>
          <w:sz w:val="32"/>
          <w:szCs w:val="32"/>
        </w:rPr>
        <w:t>39.93</w:t>
      </w:r>
      <w:r>
        <w:rPr>
          <w:rFonts w:eastAsia="仿宋"/>
          <w:kern w:val="0"/>
          <w:sz w:val="32"/>
          <w:szCs w:val="32"/>
        </w:rPr>
        <w:t>万元，完成预算</w:t>
      </w:r>
      <w:r>
        <w:rPr>
          <w:rFonts w:eastAsia="仿宋"/>
          <w:kern w:val="0"/>
          <w:sz w:val="32"/>
          <w:szCs w:val="32"/>
        </w:rPr>
        <w:t>100%</w:t>
      </w:r>
      <w:r>
        <w:rPr>
          <w:rFonts w:eastAsia="仿宋"/>
          <w:kern w:val="0"/>
          <w:sz w:val="32"/>
          <w:szCs w:val="32"/>
        </w:rPr>
        <w:t>。</w:t>
      </w:r>
      <w:bookmarkStart w:id="44" w:name="_Toc15396608"/>
      <w:bookmarkStart w:id="45" w:name="_Toc15377214"/>
      <w:bookmarkStart w:id="46" w:name="_Toc10952"/>
    </w:p>
    <w:p w:rsidR="00202486" w:rsidRDefault="00202486">
      <w:pPr>
        <w:autoSpaceDE w:val="0"/>
        <w:autoSpaceDN w:val="0"/>
        <w:rPr>
          <w:rFonts w:eastAsia="方正仿宋_GB2312"/>
          <w:color w:val="000000"/>
          <w:sz w:val="32"/>
          <w:szCs w:val="32"/>
        </w:rPr>
      </w:pPr>
    </w:p>
    <w:p w:rsidR="00202486" w:rsidRDefault="004C76F3">
      <w:pPr>
        <w:autoSpaceDE w:val="0"/>
        <w:autoSpaceDN w:val="0"/>
        <w:ind w:firstLineChars="200" w:firstLine="640"/>
        <w:rPr>
          <w:rStyle w:val="2Char"/>
          <w:rFonts w:ascii="Times New Roman" w:hAnsi="Times New Roman" w:cs="Times New Roman"/>
        </w:rPr>
      </w:pPr>
      <w:r>
        <w:rPr>
          <w:rFonts w:eastAsia="黑体"/>
          <w:sz w:val="32"/>
          <w:szCs w:val="32"/>
        </w:rPr>
        <w:t>六</w:t>
      </w:r>
      <w:r>
        <w:rPr>
          <w:rFonts w:eastAsia="黑体"/>
          <w:b/>
          <w:sz w:val="32"/>
          <w:szCs w:val="32"/>
        </w:rPr>
        <w:t>、</w:t>
      </w:r>
      <w:r>
        <w:rPr>
          <w:rFonts w:eastAsia="黑体" w:hAnsi="黑体"/>
          <w:b/>
          <w:sz w:val="32"/>
          <w:szCs w:val="32"/>
        </w:rPr>
        <w:t>一</w:t>
      </w:r>
      <w:r>
        <w:rPr>
          <w:rStyle w:val="2Char"/>
          <w:rFonts w:ascii="Times New Roman" w:eastAsia="黑体" w:hAnsi="黑体" w:cs="Times New Roman"/>
          <w:b w:val="0"/>
        </w:rPr>
        <w:t>般公共预算财政拨款基本支出决算情况说明</w:t>
      </w:r>
      <w:bookmarkEnd w:id="44"/>
      <w:bookmarkEnd w:id="45"/>
      <w:bookmarkEnd w:id="46"/>
    </w:p>
    <w:p w:rsidR="00202486" w:rsidRDefault="004C76F3">
      <w:pPr>
        <w:autoSpaceDE w:val="0"/>
        <w:autoSpaceDN w:val="0"/>
        <w:ind w:firstLineChars="221" w:firstLine="707"/>
        <w:rPr>
          <w:rFonts w:eastAsiaTheme="majorEastAsia"/>
          <w:b/>
          <w:bCs/>
          <w:sz w:val="32"/>
          <w:szCs w:val="32"/>
        </w:rPr>
      </w:pPr>
      <w:r>
        <w:rPr>
          <w:rFonts w:eastAsia="仿宋"/>
          <w:sz w:val="32"/>
          <w:szCs w:val="32"/>
        </w:rPr>
        <w:t>2022</w:t>
      </w:r>
      <w:r>
        <w:rPr>
          <w:rFonts w:eastAsia="仿宋"/>
          <w:sz w:val="32"/>
          <w:szCs w:val="32"/>
        </w:rPr>
        <w:t>年一般公共预算财政拨款基本支出</w:t>
      </w:r>
      <w:r>
        <w:rPr>
          <w:rFonts w:eastAsia="仿宋"/>
          <w:sz w:val="32"/>
          <w:szCs w:val="32"/>
        </w:rPr>
        <w:t>563.51</w:t>
      </w:r>
      <w:r>
        <w:rPr>
          <w:rFonts w:eastAsia="仿宋"/>
          <w:sz w:val="32"/>
          <w:szCs w:val="32"/>
        </w:rPr>
        <w:t>万元，其中：</w:t>
      </w:r>
    </w:p>
    <w:p w:rsidR="00202486" w:rsidRDefault="004C76F3">
      <w:pPr>
        <w:ind w:firstLineChars="221" w:firstLine="707"/>
        <w:jc w:val="left"/>
        <w:rPr>
          <w:rFonts w:eastAsia="仿宋"/>
          <w:sz w:val="32"/>
          <w:szCs w:val="32"/>
        </w:rPr>
      </w:pPr>
      <w:r>
        <w:rPr>
          <w:rFonts w:eastAsia="仿宋"/>
          <w:sz w:val="32"/>
          <w:szCs w:val="32"/>
        </w:rPr>
        <w:t>人员经费</w:t>
      </w:r>
      <w:r>
        <w:rPr>
          <w:rFonts w:eastAsia="仿宋"/>
          <w:sz w:val="32"/>
          <w:szCs w:val="32"/>
        </w:rPr>
        <w:t>535.50</w:t>
      </w:r>
      <w:r>
        <w:rPr>
          <w:rFonts w:eastAsia="仿宋"/>
          <w:sz w:val="32"/>
          <w:szCs w:val="32"/>
        </w:rPr>
        <w:t>万元，主要包括：基本工资</w:t>
      </w:r>
      <w:r>
        <w:rPr>
          <w:rFonts w:eastAsia="仿宋"/>
          <w:sz w:val="32"/>
          <w:szCs w:val="32"/>
        </w:rPr>
        <w:t>122.80</w:t>
      </w:r>
      <w:r>
        <w:rPr>
          <w:rFonts w:eastAsia="仿宋"/>
          <w:sz w:val="32"/>
          <w:szCs w:val="32"/>
        </w:rPr>
        <w:t>万元、津贴补贴</w:t>
      </w:r>
      <w:r>
        <w:rPr>
          <w:rFonts w:eastAsia="仿宋"/>
          <w:sz w:val="32"/>
          <w:szCs w:val="32"/>
        </w:rPr>
        <w:t>33.12</w:t>
      </w:r>
      <w:r>
        <w:rPr>
          <w:rFonts w:eastAsia="仿宋"/>
          <w:sz w:val="32"/>
          <w:szCs w:val="32"/>
        </w:rPr>
        <w:t>万元、绩效工资</w:t>
      </w:r>
      <w:r>
        <w:rPr>
          <w:rFonts w:eastAsia="仿宋"/>
          <w:sz w:val="32"/>
          <w:szCs w:val="32"/>
        </w:rPr>
        <w:t>176.36</w:t>
      </w:r>
      <w:r>
        <w:rPr>
          <w:rFonts w:eastAsia="仿宋"/>
          <w:sz w:val="32"/>
          <w:szCs w:val="32"/>
        </w:rPr>
        <w:t>万元、机关事业单位基本养老保险</w:t>
      </w:r>
      <w:r>
        <w:rPr>
          <w:rFonts w:eastAsia="仿宋"/>
          <w:sz w:val="32"/>
          <w:szCs w:val="32"/>
        </w:rPr>
        <w:t>缴费</w:t>
      </w:r>
      <w:r>
        <w:rPr>
          <w:rFonts w:eastAsia="仿宋"/>
          <w:sz w:val="32"/>
          <w:szCs w:val="32"/>
        </w:rPr>
        <w:t>36.51</w:t>
      </w:r>
      <w:r>
        <w:rPr>
          <w:rFonts w:eastAsia="仿宋"/>
          <w:sz w:val="32"/>
          <w:szCs w:val="32"/>
        </w:rPr>
        <w:t>万元、职工基本医疗保险缴费</w:t>
      </w:r>
      <w:r>
        <w:rPr>
          <w:rFonts w:eastAsia="仿宋"/>
          <w:sz w:val="32"/>
          <w:szCs w:val="32"/>
        </w:rPr>
        <w:t>21.20</w:t>
      </w:r>
      <w:r>
        <w:rPr>
          <w:rFonts w:eastAsia="仿宋"/>
          <w:sz w:val="32"/>
          <w:szCs w:val="32"/>
        </w:rPr>
        <w:t>万元、公务员医疗补助缴费</w:t>
      </w:r>
      <w:r>
        <w:rPr>
          <w:rFonts w:eastAsia="仿宋"/>
          <w:sz w:val="32"/>
          <w:szCs w:val="32"/>
        </w:rPr>
        <w:t>16.36</w:t>
      </w:r>
      <w:r>
        <w:rPr>
          <w:rFonts w:eastAsia="仿宋"/>
          <w:sz w:val="32"/>
          <w:szCs w:val="32"/>
        </w:rPr>
        <w:t>万元、其他社会保障缴费</w:t>
      </w:r>
      <w:r>
        <w:rPr>
          <w:rFonts w:eastAsia="仿宋"/>
          <w:sz w:val="32"/>
          <w:szCs w:val="32"/>
        </w:rPr>
        <w:t>2.65</w:t>
      </w:r>
      <w:r>
        <w:rPr>
          <w:rFonts w:eastAsia="仿宋"/>
          <w:sz w:val="32"/>
          <w:szCs w:val="32"/>
        </w:rPr>
        <w:t>万元、生活补助</w:t>
      </w:r>
      <w:r>
        <w:rPr>
          <w:rFonts w:eastAsia="仿宋"/>
          <w:sz w:val="32"/>
          <w:szCs w:val="32"/>
        </w:rPr>
        <w:t>76.11</w:t>
      </w:r>
      <w:r>
        <w:rPr>
          <w:rFonts w:eastAsia="仿宋"/>
          <w:sz w:val="32"/>
          <w:szCs w:val="32"/>
        </w:rPr>
        <w:t>万元、医疗费补助</w:t>
      </w:r>
      <w:r>
        <w:rPr>
          <w:rFonts w:eastAsia="仿宋"/>
          <w:sz w:val="32"/>
          <w:szCs w:val="32"/>
        </w:rPr>
        <w:t>1.28</w:t>
      </w:r>
      <w:r>
        <w:rPr>
          <w:rFonts w:eastAsia="仿宋"/>
          <w:sz w:val="32"/>
          <w:szCs w:val="32"/>
        </w:rPr>
        <w:t>万元、住房公积金</w:t>
      </w:r>
      <w:r>
        <w:rPr>
          <w:rFonts w:eastAsia="仿宋"/>
          <w:sz w:val="32"/>
          <w:szCs w:val="32"/>
        </w:rPr>
        <w:t>39.93</w:t>
      </w:r>
      <w:r>
        <w:rPr>
          <w:rFonts w:eastAsia="仿宋"/>
          <w:sz w:val="32"/>
          <w:szCs w:val="32"/>
        </w:rPr>
        <w:t>万元、其他工资福利支出</w:t>
      </w:r>
      <w:r>
        <w:rPr>
          <w:rFonts w:eastAsia="仿宋"/>
          <w:sz w:val="32"/>
          <w:szCs w:val="32"/>
        </w:rPr>
        <w:t>9.18</w:t>
      </w:r>
      <w:r>
        <w:rPr>
          <w:rFonts w:eastAsia="仿宋"/>
          <w:sz w:val="32"/>
          <w:szCs w:val="32"/>
        </w:rPr>
        <w:t>万元等。</w:t>
      </w:r>
    </w:p>
    <w:p w:rsidR="00202486" w:rsidRDefault="004C76F3">
      <w:pPr>
        <w:ind w:firstLineChars="221" w:firstLine="707"/>
        <w:jc w:val="left"/>
        <w:rPr>
          <w:rFonts w:eastAsia="仿宋"/>
          <w:sz w:val="32"/>
          <w:szCs w:val="32"/>
        </w:rPr>
      </w:pPr>
      <w:r>
        <w:rPr>
          <w:rFonts w:eastAsia="仿宋"/>
          <w:sz w:val="32"/>
          <w:szCs w:val="32"/>
        </w:rPr>
        <w:t>公用经费</w:t>
      </w:r>
      <w:r>
        <w:rPr>
          <w:rFonts w:eastAsia="仿宋"/>
          <w:sz w:val="32"/>
          <w:szCs w:val="32"/>
        </w:rPr>
        <w:t>28.01</w:t>
      </w:r>
      <w:r>
        <w:rPr>
          <w:rFonts w:eastAsia="仿宋"/>
          <w:sz w:val="32"/>
          <w:szCs w:val="32"/>
        </w:rPr>
        <w:t>万元，主要包括：办公费</w:t>
      </w:r>
      <w:r>
        <w:rPr>
          <w:rFonts w:eastAsia="仿宋"/>
          <w:sz w:val="32"/>
          <w:szCs w:val="32"/>
        </w:rPr>
        <w:t>1.23</w:t>
      </w:r>
      <w:r>
        <w:rPr>
          <w:rFonts w:eastAsia="仿宋"/>
          <w:sz w:val="32"/>
          <w:szCs w:val="32"/>
        </w:rPr>
        <w:t>万元、水费</w:t>
      </w:r>
      <w:r>
        <w:rPr>
          <w:rFonts w:eastAsia="仿宋"/>
          <w:sz w:val="32"/>
          <w:szCs w:val="32"/>
        </w:rPr>
        <w:t>2.27</w:t>
      </w:r>
      <w:r>
        <w:rPr>
          <w:rFonts w:eastAsia="仿宋"/>
          <w:sz w:val="32"/>
          <w:szCs w:val="32"/>
        </w:rPr>
        <w:t>万元、电费</w:t>
      </w:r>
      <w:r>
        <w:rPr>
          <w:rFonts w:eastAsia="仿宋"/>
          <w:sz w:val="32"/>
          <w:szCs w:val="32"/>
        </w:rPr>
        <w:t>1.91</w:t>
      </w:r>
      <w:r>
        <w:rPr>
          <w:rFonts w:eastAsia="仿宋"/>
          <w:sz w:val="32"/>
          <w:szCs w:val="32"/>
        </w:rPr>
        <w:t>万元、邮电费</w:t>
      </w:r>
      <w:r>
        <w:rPr>
          <w:rFonts w:eastAsia="仿宋"/>
          <w:sz w:val="32"/>
          <w:szCs w:val="32"/>
        </w:rPr>
        <w:t>3.97</w:t>
      </w:r>
      <w:r>
        <w:rPr>
          <w:rFonts w:eastAsia="仿宋"/>
          <w:sz w:val="32"/>
          <w:szCs w:val="32"/>
        </w:rPr>
        <w:t>万元、差旅费</w:t>
      </w:r>
      <w:r>
        <w:rPr>
          <w:rFonts w:eastAsia="仿宋"/>
          <w:sz w:val="32"/>
          <w:szCs w:val="32"/>
        </w:rPr>
        <w:t>4.84</w:t>
      </w:r>
      <w:r>
        <w:rPr>
          <w:rFonts w:eastAsia="仿宋"/>
          <w:sz w:val="32"/>
          <w:szCs w:val="32"/>
        </w:rPr>
        <w:t>万元、维修（护）费</w:t>
      </w:r>
      <w:r>
        <w:rPr>
          <w:rFonts w:eastAsia="仿宋"/>
          <w:sz w:val="32"/>
          <w:szCs w:val="32"/>
        </w:rPr>
        <w:t>0.63</w:t>
      </w:r>
      <w:r>
        <w:rPr>
          <w:rFonts w:eastAsia="仿宋"/>
          <w:sz w:val="32"/>
          <w:szCs w:val="32"/>
        </w:rPr>
        <w:t>万元、公务接待费</w:t>
      </w:r>
      <w:r>
        <w:rPr>
          <w:rFonts w:eastAsia="仿宋"/>
          <w:sz w:val="32"/>
          <w:szCs w:val="32"/>
        </w:rPr>
        <w:t>0.21</w:t>
      </w:r>
      <w:r>
        <w:rPr>
          <w:rFonts w:eastAsia="仿宋"/>
          <w:sz w:val="32"/>
          <w:szCs w:val="32"/>
        </w:rPr>
        <w:t>万元、工会经费</w:t>
      </w:r>
      <w:r>
        <w:rPr>
          <w:rFonts w:eastAsia="仿宋"/>
          <w:sz w:val="32"/>
          <w:szCs w:val="32"/>
        </w:rPr>
        <w:t>5.89</w:t>
      </w:r>
      <w:r>
        <w:rPr>
          <w:rFonts w:eastAsia="仿宋"/>
          <w:sz w:val="32"/>
          <w:szCs w:val="32"/>
        </w:rPr>
        <w:t>万元、福利费</w:t>
      </w:r>
      <w:r>
        <w:rPr>
          <w:rFonts w:eastAsia="仿宋"/>
          <w:sz w:val="32"/>
          <w:szCs w:val="32"/>
        </w:rPr>
        <w:t>3.28</w:t>
      </w:r>
      <w:r>
        <w:rPr>
          <w:rFonts w:eastAsia="仿宋"/>
          <w:sz w:val="32"/>
          <w:szCs w:val="32"/>
        </w:rPr>
        <w:t>万元、公务用车运行维护费</w:t>
      </w:r>
      <w:r>
        <w:rPr>
          <w:rFonts w:eastAsia="仿宋"/>
          <w:sz w:val="32"/>
          <w:szCs w:val="32"/>
        </w:rPr>
        <w:t>2.40</w:t>
      </w:r>
      <w:r>
        <w:rPr>
          <w:rFonts w:eastAsia="仿宋"/>
          <w:sz w:val="32"/>
          <w:szCs w:val="32"/>
        </w:rPr>
        <w:t>万元、其他商品和服务支出</w:t>
      </w:r>
      <w:r>
        <w:rPr>
          <w:rFonts w:eastAsia="仿宋"/>
          <w:sz w:val="32"/>
          <w:szCs w:val="32"/>
        </w:rPr>
        <w:t>1.38</w:t>
      </w:r>
      <w:r>
        <w:rPr>
          <w:rFonts w:eastAsia="仿宋"/>
          <w:sz w:val="32"/>
          <w:szCs w:val="32"/>
        </w:rPr>
        <w:t>万元</w:t>
      </w:r>
      <w:r>
        <w:rPr>
          <w:rFonts w:eastAsia="仿宋"/>
          <w:sz w:val="32"/>
          <w:szCs w:val="32"/>
        </w:rPr>
        <w:t>等。</w:t>
      </w:r>
      <w:bookmarkStart w:id="47" w:name="_Toc15396609"/>
      <w:bookmarkStart w:id="48" w:name="_Toc15377215"/>
      <w:bookmarkStart w:id="49" w:name="_Toc5091"/>
    </w:p>
    <w:p w:rsidR="00202486" w:rsidRDefault="00202486">
      <w:pPr>
        <w:ind w:firstLine="645"/>
        <w:rPr>
          <w:rFonts w:eastAsia="仿宋"/>
          <w:sz w:val="32"/>
          <w:szCs w:val="32"/>
        </w:rPr>
      </w:pPr>
    </w:p>
    <w:p w:rsidR="00202486" w:rsidRDefault="004C76F3">
      <w:pPr>
        <w:ind w:firstLine="645"/>
        <w:rPr>
          <w:rStyle w:val="2Char"/>
          <w:rFonts w:ascii="Times New Roman" w:eastAsia="黑体" w:hAnsi="Times New Roman" w:cs="Times New Roman"/>
          <w:b w:val="0"/>
        </w:rPr>
      </w:pPr>
      <w:r>
        <w:rPr>
          <w:rFonts w:eastAsia="黑体"/>
          <w:sz w:val="32"/>
          <w:szCs w:val="32"/>
        </w:rPr>
        <w:t>七、</w:t>
      </w:r>
      <w:r>
        <w:rPr>
          <w:rStyle w:val="2Char"/>
          <w:rFonts w:ascii="Times New Roman" w:eastAsia="黑体" w:hAnsi="黑体" w:cs="Times New Roman"/>
          <w:b w:val="0"/>
        </w:rPr>
        <w:t>财政拨款</w:t>
      </w:r>
      <w:r>
        <w:rPr>
          <w:rStyle w:val="2Char"/>
          <w:rFonts w:ascii="Times New Roman" w:eastAsia="黑体" w:hAnsi="Times New Roman" w:cs="Times New Roman"/>
        </w:rPr>
        <w:t>“</w:t>
      </w:r>
      <w:r>
        <w:rPr>
          <w:rStyle w:val="2Char"/>
          <w:rFonts w:ascii="Times New Roman" w:eastAsia="黑体" w:hAnsi="黑体" w:cs="Times New Roman"/>
          <w:b w:val="0"/>
        </w:rPr>
        <w:t>三公</w:t>
      </w:r>
      <w:r>
        <w:rPr>
          <w:rStyle w:val="2Char"/>
          <w:rFonts w:ascii="Times New Roman" w:eastAsia="黑体" w:hAnsi="Times New Roman" w:cs="Times New Roman"/>
          <w:b w:val="0"/>
        </w:rPr>
        <w:t>”</w:t>
      </w:r>
      <w:r>
        <w:rPr>
          <w:rStyle w:val="2Char"/>
          <w:rFonts w:ascii="Times New Roman" w:eastAsia="黑体" w:hAnsi="黑体" w:cs="Times New Roman"/>
          <w:b w:val="0"/>
        </w:rPr>
        <w:t>经费支出决算情况说明</w:t>
      </w:r>
      <w:bookmarkEnd w:id="47"/>
      <w:bookmarkEnd w:id="48"/>
      <w:bookmarkEnd w:id="49"/>
    </w:p>
    <w:p w:rsidR="00202486" w:rsidRDefault="004C76F3">
      <w:pPr>
        <w:ind w:firstLine="640"/>
        <w:rPr>
          <w:rFonts w:eastAsia="仿宋"/>
          <w:b/>
          <w:sz w:val="32"/>
          <w:szCs w:val="32"/>
        </w:rPr>
      </w:pPr>
      <w:bookmarkStart w:id="50" w:name="_Toc15377216"/>
      <w:r>
        <w:rPr>
          <w:rFonts w:eastAsia="仿宋" w:hAnsi="仿宋"/>
          <w:b/>
          <w:sz w:val="32"/>
          <w:szCs w:val="32"/>
        </w:rPr>
        <w:t>（一）</w:t>
      </w:r>
      <w:r>
        <w:rPr>
          <w:rFonts w:eastAsia="仿宋"/>
          <w:b/>
          <w:sz w:val="32"/>
          <w:szCs w:val="32"/>
        </w:rPr>
        <w:t>“</w:t>
      </w:r>
      <w:r>
        <w:rPr>
          <w:rFonts w:eastAsia="仿宋" w:hAnsi="仿宋"/>
          <w:b/>
          <w:sz w:val="32"/>
          <w:szCs w:val="32"/>
        </w:rPr>
        <w:t>三公</w:t>
      </w:r>
      <w:r>
        <w:rPr>
          <w:rFonts w:eastAsia="仿宋"/>
          <w:b/>
          <w:sz w:val="32"/>
          <w:szCs w:val="32"/>
        </w:rPr>
        <w:t>”</w:t>
      </w:r>
      <w:r>
        <w:rPr>
          <w:rFonts w:eastAsia="仿宋" w:hAnsi="仿宋"/>
          <w:b/>
          <w:sz w:val="32"/>
          <w:szCs w:val="32"/>
        </w:rPr>
        <w:t>经费财政拨款支出决算总体情况说明</w:t>
      </w:r>
      <w:bookmarkEnd w:id="50"/>
    </w:p>
    <w:p w:rsidR="00202486" w:rsidRDefault="004C76F3">
      <w:pPr>
        <w:ind w:firstLineChars="221" w:firstLine="707"/>
        <w:jc w:val="left"/>
        <w:rPr>
          <w:rFonts w:eastAsia="仿宋"/>
          <w:sz w:val="32"/>
          <w:szCs w:val="32"/>
        </w:rPr>
      </w:pPr>
      <w:r>
        <w:rPr>
          <w:rFonts w:eastAsia="仿宋"/>
          <w:sz w:val="32"/>
          <w:szCs w:val="32"/>
        </w:rPr>
        <w:t>2022</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经费财政拨款支出决算为</w:t>
      </w:r>
      <w:r>
        <w:rPr>
          <w:rFonts w:eastAsia="仿宋"/>
          <w:sz w:val="32"/>
          <w:szCs w:val="32"/>
        </w:rPr>
        <w:t>2.61</w:t>
      </w:r>
      <w:r>
        <w:rPr>
          <w:rFonts w:eastAsia="仿宋"/>
          <w:sz w:val="32"/>
          <w:szCs w:val="32"/>
        </w:rPr>
        <w:t>万元，完成预算</w:t>
      </w:r>
      <w:r>
        <w:rPr>
          <w:rFonts w:eastAsia="仿宋"/>
          <w:sz w:val="32"/>
          <w:szCs w:val="32"/>
        </w:rPr>
        <w:t>100%</w:t>
      </w:r>
      <w:r>
        <w:rPr>
          <w:rFonts w:eastAsia="仿宋"/>
          <w:sz w:val="32"/>
          <w:szCs w:val="32"/>
        </w:rPr>
        <w:t>，较上年减少</w:t>
      </w:r>
      <w:r>
        <w:rPr>
          <w:rFonts w:eastAsia="仿宋"/>
          <w:sz w:val="32"/>
          <w:szCs w:val="32"/>
        </w:rPr>
        <w:t>0.15</w:t>
      </w:r>
      <w:r>
        <w:rPr>
          <w:rFonts w:eastAsia="仿宋"/>
          <w:sz w:val="32"/>
          <w:szCs w:val="32"/>
        </w:rPr>
        <w:t>万元，下降</w:t>
      </w:r>
      <w:r>
        <w:rPr>
          <w:rFonts w:eastAsia="仿宋"/>
          <w:sz w:val="32"/>
          <w:szCs w:val="32"/>
        </w:rPr>
        <w:t>5.43%</w:t>
      </w:r>
      <w:r>
        <w:rPr>
          <w:rFonts w:eastAsia="仿宋"/>
          <w:sz w:val="32"/>
          <w:szCs w:val="32"/>
        </w:rPr>
        <w:t>。决算数与预算数持平的主要原因是我单位严格按照预算拨款来使用</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w:t>
      </w:r>
    </w:p>
    <w:p w:rsidR="00202486" w:rsidRDefault="004C76F3">
      <w:pPr>
        <w:ind w:firstLine="640"/>
        <w:rPr>
          <w:rFonts w:eastAsia="仿宋"/>
          <w:b/>
          <w:sz w:val="32"/>
          <w:szCs w:val="32"/>
        </w:rPr>
      </w:pPr>
      <w:bookmarkStart w:id="51" w:name="_Toc15377217"/>
      <w:r>
        <w:rPr>
          <w:rFonts w:eastAsia="仿宋" w:hAnsi="仿宋"/>
          <w:b/>
          <w:sz w:val="32"/>
          <w:szCs w:val="32"/>
        </w:rPr>
        <w:t>（二）</w:t>
      </w:r>
      <w:r>
        <w:rPr>
          <w:rFonts w:eastAsia="仿宋"/>
          <w:b/>
          <w:sz w:val="32"/>
          <w:szCs w:val="32"/>
        </w:rPr>
        <w:t>“</w:t>
      </w:r>
      <w:r>
        <w:rPr>
          <w:rFonts w:eastAsia="仿宋" w:hAnsi="仿宋"/>
          <w:b/>
          <w:sz w:val="32"/>
          <w:szCs w:val="32"/>
        </w:rPr>
        <w:t>三公</w:t>
      </w:r>
      <w:r>
        <w:rPr>
          <w:rFonts w:eastAsia="仿宋"/>
          <w:b/>
          <w:sz w:val="32"/>
          <w:szCs w:val="32"/>
        </w:rPr>
        <w:t>”</w:t>
      </w:r>
      <w:r>
        <w:rPr>
          <w:rFonts w:eastAsia="仿宋" w:hAnsi="仿宋"/>
          <w:b/>
          <w:sz w:val="32"/>
          <w:szCs w:val="32"/>
        </w:rPr>
        <w:t>经费财政拨款支出决算具体情况说明</w:t>
      </w:r>
      <w:bookmarkEnd w:id="51"/>
    </w:p>
    <w:p w:rsidR="00202486" w:rsidRDefault="004C76F3">
      <w:pPr>
        <w:ind w:firstLineChars="221" w:firstLine="707"/>
        <w:jc w:val="left"/>
        <w:rPr>
          <w:rFonts w:eastAsia="仿宋"/>
          <w:sz w:val="32"/>
          <w:szCs w:val="32"/>
        </w:rPr>
      </w:pPr>
      <w:r>
        <w:rPr>
          <w:rFonts w:eastAsia="仿宋"/>
          <w:sz w:val="32"/>
          <w:szCs w:val="32"/>
        </w:rPr>
        <w:t>2022</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经费财政拨款支出决算中，因公出国（境）费支出决算</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；公务用车购置及运行维护费支出决算</w:t>
      </w:r>
      <w:r>
        <w:rPr>
          <w:rFonts w:eastAsia="仿宋"/>
          <w:sz w:val="32"/>
          <w:szCs w:val="32"/>
        </w:rPr>
        <w:t>2.40</w:t>
      </w:r>
      <w:r>
        <w:rPr>
          <w:rFonts w:eastAsia="仿宋"/>
          <w:sz w:val="32"/>
          <w:szCs w:val="32"/>
        </w:rPr>
        <w:t>万元，占</w:t>
      </w:r>
      <w:r>
        <w:rPr>
          <w:rFonts w:eastAsia="仿宋"/>
          <w:sz w:val="32"/>
          <w:szCs w:val="32"/>
        </w:rPr>
        <w:t>91.95%</w:t>
      </w:r>
      <w:r>
        <w:rPr>
          <w:rFonts w:eastAsia="仿宋"/>
          <w:sz w:val="32"/>
          <w:szCs w:val="32"/>
        </w:rPr>
        <w:t>；公务接待费支出决算</w:t>
      </w:r>
      <w:r>
        <w:rPr>
          <w:rFonts w:eastAsia="仿宋"/>
          <w:sz w:val="32"/>
          <w:szCs w:val="32"/>
        </w:rPr>
        <w:t>0.21</w:t>
      </w:r>
      <w:r>
        <w:rPr>
          <w:rFonts w:eastAsia="仿宋"/>
          <w:sz w:val="32"/>
          <w:szCs w:val="32"/>
        </w:rPr>
        <w:t>万元，占</w:t>
      </w:r>
      <w:r>
        <w:rPr>
          <w:rFonts w:eastAsia="仿宋"/>
          <w:sz w:val="32"/>
          <w:szCs w:val="32"/>
        </w:rPr>
        <w:t>8.05%</w:t>
      </w:r>
      <w:r>
        <w:rPr>
          <w:rFonts w:eastAsia="仿宋"/>
          <w:sz w:val="32"/>
          <w:szCs w:val="32"/>
        </w:rPr>
        <w:t>。具体情况如下：</w:t>
      </w:r>
    </w:p>
    <w:p w:rsidR="00202486" w:rsidRDefault="004C76F3">
      <w:pPr>
        <w:pStyle w:val="a0"/>
        <w:spacing w:before="93"/>
        <w:jc w:val="center"/>
        <w:rPr>
          <w:rFonts w:ascii="Times New Roman"/>
        </w:rPr>
      </w:pPr>
      <w:r>
        <w:rPr>
          <w:rFonts w:ascii="Times New Roman"/>
          <w:noProof/>
        </w:rPr>
        <w:drawing>
          <wp:inline distT="0" distB="0" distL="114300" distR="114300">
            <wp:extent cx="4572000" cy="2743200"/>
            <wp:effectExtent l="4445" t="4445" r="14605" b="14605"/>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02486" w:rsidRDefault="004C76F3">
      <w:pPr>
        <w:pStyle w:val="a0"/>
        <w:spacing w:before="93"/>
        <w:jc w:val="center"/>
        <w:rPr>
          <w:rFonts w:ascii="Times New Roman" w:eastAsia="仿宋"/>
        </w:rPr>
      </w:pPr>
      <w:r>
        <w:rPr>
          <w:rFonts w:ascii="Times New Roman" w:eastAsia="仿宋" w:hint="eastAsia"/>
        </w:rPr>
        <w:t>（图</w:t>
      </w:r>
      <w:r>
        <w:rPr>
          <w:rFonts w:ascii="Times New Roman" w:eastAsia="仿宋" w:hint="eastAsia"/>
        </w:rPr>
        <w:t>7</w:t>
      </w:r>
      <w:r>
        <w:rPr>
          <w:rFonts w:ascii="Times New Roman" w:eastAsia="仿宋" w:hint="eastAsia"/>
        </w:rPr>
        <w:t>：“三公”经费财政拨款支出结构</w:t>
      </w:r>
      <w:r>
        <w:rPr>
          <w:rFonts w:ascii="Times New Roman" w:eastAsia="仿宋" w:hint="eastAsia"/>
        </w:rPr>
        <w:t>）</w:t>
      </w:r>
    </w:p>
    <w:p w:rsidR="00202486" w:rsidRDefault="004C76F3">
      <w:pPr>
        <w:ind w:firstLineChars="221" w:firstLine="707"/>
        <w:jc w:val="left"/>
        <w:rPr>
          <w:rFonts w:eastAsia="仿宋"/>
          <w:sz w:val="32"/>
          <w:szCs w:val="32"/>
        </w:rPr>
      </w:pPr>
      <w:r>
        <w:rPr>
          <w:rFonts w:eastAsia="仿宋"/>
          <w:sz w:val="32"/>
          <w:szCs w:val="32"/>
        </w:rPr>
        <w:t>1</w:t>
      </w:r>
      <w:r>
        <w:rPr>
          <w:rFonts w:eastAsia="仿宋"/>
          <w:sz w:val="32"/>
          <w:szCs w:val="32"/>
        </w:rPr>
        <w:t>．因公出国（境）经费支出</w:t>
      </w:r>
      <w:r>
        <w:rPr>
          <w:rFonts w:eastAsia="仿宋"/>
          <w:sz w:val="32"/>
          <w:szCs w:val="32"/>
        </w:rPr>
        <w:t>0</w:t>
      </w:r>
      <w:r>
        <w:rPr>
          <w:rFonts w:eastAsia="仿宋"/>
          <w:sz w:val="32"/>
          <w:szCs w:val="32"/>
        </w:rPr>
        <w:t>万元，</w:t>
      </w:r>
      <w:r>
        <w:rPr>
          <w:rFonts w:eastAsia="仿宋" w:hint="eastAsia"/>
          <w:sz w:val="32"/>
          <w:szCs w:val="32"/>
        </w:rPr>
        <w:t>完成预算</w:t>
      </w:r>
      <w:r>
        <w:rPr>
          <w:rFonts w:eastAsia="仿宋" w:hint="eastAsia"/>
          <w:sz w:val="32"/>
          <w:szCs w:val="32"/>
        </w:rPr>
        <w:t>0%</w:t>
      </w:r>
      <w:r>
        <w:rPr>
          <w:rFonts w:eastAsia="仿宋" w:hint="eastAsia"/>
          <w:sz w:val="32"/>
          <w:szCs w:val="32"/>
        </w:rPr>
        <w:t>。</w:t>
      </w:r>
      <w:r>
        <w:rPr>
          <w:rFonts w:eastAsia="仿宋"/>
          <w:sz w:val="32"/>
          <w:szCs w:val="32"/>
        </w:rPr>
        <w:t>全年安排因公出国（境）团组</w:t>
      </w:r>
      <w:r>
        <w:rPr>
          <w:rFonts w:eastAsia="仿宋"/>
          <w:sz w:val="32"/>
          <w:szCs w:val="32"/>
        </w:rPr>
        <w:t>0</w:t>
      </w:r>
      <w:r>
        <w:rPr>
          <w:rFonts w:eastAsia="仿宋"/>
          <w:sz w:val="32"/>
          <w:szCs w:val="32"/>
        </w:rPr>
        <w:t>次，出国（境）</w:t>
      </w:r>
      <w:r>
        <w:rPr>
          <w:rFonts w:eastAsia="仿宋"/>
          <w:sz w:val="32"/>
          <w:szCs w:val="32"/>
        </w:rPr>
        <w:t>0</w:t>
      </w:r>
      <w:r>
        <w:rPr>
          <w:rFonts w:eastAsia="仿宋"/>
          <w:sz w:val="32"/>
          <w:szCs w:val="32"/>
        </w:rPr>
        <w:t>人。主要原因是无预算。</w:t>
      </w:r>
    </w:p>
    <w:p w:rsidR="00202486" w:rsidRDefault="004C76F3">
      <w:pPr>
        <w:ind w:firstLineChars="221" w:firstLine="707"/>
        <w:jc w:val="left"/>
        <w:rPr>
          <w:rFonts w:eastAsia="仿宋"/>
          <w:sz w:val="32"/>
          <w:szCs w:val="32"/>
        </w:rPr>
      </w:pPr>
      <w:r>
        <w:rPr>
          <w:rFonts w:eastAsia="仿宋"/>
          <w:sz w:val="32"/>
          <w:szCs w:val="32"/>
        </w:rPr>
        <w:t>2</w:t>
      </w:r>
      <w:r>
        <w:rPr>
          <w:rFonts w:eastAsia="仿宋"/>
          <w:sz w:val="32"/>
          <w:szCs w:val="32"/>
        </w:rPr>
        <w:t>．公务用车购置及运行维护费支出</w:t>
      </w:r>
      <w:r>
        <w:rPr>
          <w:rFonts w:eastAsia="仿宋"/>
          <w:sz w:val="32"/>
          <w:szCs w:val="32"/>
        </w:rPr>
        <w:t>2.40</w:t>
      </w:r>
      <w:r>
        <w:rPr>
          <w:rFonts w:eastAsia="仿宋"/>
          <w:sz w:val="32"/>
          <w:szCs w:val="32"/>
        </w:rPr>
        <w:t>万元，</w:t>
      </w:r>
      <w:r>
        <w:rPr>
          <w:rFonts w:eastAsia="仿宋" w:hint="eastAsia"/>
          <w:sz w:val="32"/>
          <w:szCs w:val="32"/>
        </w:rPr>
        <w:t>完成预算</w:t>
      </w:r>
      <w:r>
        <w:rPr>
          <w:rFonts w:eastAsia="仿宋" w:hint="eastAsia"/>
          <w:sz w:val="32"/>
          <w:szCs w:val="32"/>
        </w:rPr>
        <w:t>100%</w:t>
      </w:r>
      <w:r>
        <w:rPr>
          <w:rFonts w:eastAsia="仿宋" w:hint="eastAsia"/>
          <w:sz w:val="32"/>
          <w:szCs w:val="32"/>
        </w:rPr>
        <w:t>。</w:t>
      </w:r>
      <w:r>
        <w:rPr>
          <w:rFonts w:eastAsia="仿宋"/>
          <w:sz w:val="32"/>
          <w:szCs w:val="32"/>
        </w:rPr>
        <w:t>公务用车购置及运行维护费支出决算比</w:t>
      </w:r>
      <w:r>
        <w:rPr>
          <w:rFonts w:eastAsia="仿宋"/>
          <w:sz w:val="32"/>
          <w:szCs w:val="32"/>
        </w:rPr>
        <w:t>2021</w:t>
      </w:r>
      <w:r>
        <w:rPr>
          <w:rFonts w:eastAsia="仿宋"/>
          <w:sz w:val="32"/>
          <w:szCs w:val="32"/>
        </w:rPr>
        <w:t>年减少</w:t>
      </w:r>
      <w:r>
        <w:rPr>
          <w:rFonts w:eastAsia="仿宋"/>
          <w:sz w:val="32"/>
          <w:szCs w:val="32"/>
        </w:rPr>
        <w:t>0.2</w:t>
      </w:r>
      <w:r>
        <w:rPr>
          <w:rFonts w:eastAsia="仿宋"/>
          <w:sz w:val="32"/>
          <w:szCs w:val="32"/>
        </w:rPr>
        <w:t>万元，下降</w:t>
      </w:r>
      <w:r>
        <w:rPr>
          <w:rFonts w:eastAsia="仿宋"/>
          <w:sz w:val="32"/>
          <w:szCs w:val="32"/>
        </w:rPr>
        <w:t>7.69%</w:t>
      </w:r>
      <w:r>
        <w:rPr>
          <w:rFonts w:eastAsia="仿宋"/>
          <w:sz w:val="32"/>
          <w:szCs w:val="32"/>
        </w:rPr>
        <w:t>。主要原</w:t>
      </w:r>
      <w:r>
        <w:rPr>
          <w:rFonts w:eastAsia="仿宋"/>
          <w:sz w:val="32"/>
          <w:szCs w:val="32"/>
        </w:rPr>
        <w:t>因是控制公务车非必要不动车的原则，增加绿色出行。</w:t>
      </w:r>
    </w:p>
    <w:p w:rsidR="00202486" w:rsidRDefault="004C76F3">
      <w:pPr>
        <w:ind w:firstLineChars="221" w:firstLine="707"/>
        <w:jc w:val="left"/>
        <w:rPr>
          <w:rFonts w:eastAsia="仿宋"/>
          <w:sz w:val="32"/>
          <w:szCs w:val="32"/>
        </w:rPr>
      </w:pPr>
      <w:r>
        <w:rPr>
          <w:rFonts w:eastAsia="仿宋"/>
          <w:sz w:val="32"/>
          <w:szCs w:val="32"/>
        </w:rPr>
        <w:t>其中：公务用车购置支出</w:t>
      </w:r>
      <w:r>
        <w:rPr>
          <w:rFonts w:eastAsia="仿宋"/>
          <w:sz w:val="32"/>
          <w:szCs w:val="32"/>
        </w:rPr>
        <w:t>0</w:t>
      </w:r>
      <w:r>
        <w:rPr>
          <w:rFonts w:eastAsia="仿宋"/>
          <w:sz w:val="32"/>
          <w:szCs w:val="32"/>
        </w:rPr>
        <w:t>万元。全年按规定更新购置公务用车</w:t>
      </w:r>
      <w:r>
        <w:rPr>
          <w:rFonts w:eastAsia="仿宋"/>
          <w:sz w:val="32"/>
          <w:szCs w:val="32"/>
        </w:rPr>
        <w:t>0</w:t>
      </w:r>
      <w:r>
        <w:rPr>
          <w:rFonts w:eastAsia="仿宋"/>
          <w:sz w:val="32"/>
          <w:szCs w:val="32"/>
        </w:rPr>
        <w:t>辆，其中：轿车</w:t>
      </w:r>
      <w:r>
        <w:rPr>
          <w:rFonts w:eastAsia="仿宋"/>
          <w:sz w:val="32"/>
          <w:szCs w:val="32"/>
        </w:rPr>
        <w:t>0</w:t>
      </w:r>
      <w:r>
        <w:rPr>
          <w:rFonts w:eastAsia="仿宋"/>
          <w:sz w:val="32"/>
          <w:szCs w:val="32"/>
        </w:rPr>
        <w:t>辆、金额</w:t>
      </w:r>
      <w:r>
        <w:rPr>
          <w:rFonts w:eastAsia="仿宋"/>
          <w:sz w:val="32"/>
          <w:szCs w:val="32"/>
        </w:rPr>
        <w:t>0</w:t>
      </w:r>
      <w:r>
        <w:rPr>
          <w:rFonts w:eastAsia="仿宋"/>
          <w:sz w:val="32"/>
          <w:szCs w:val="32"/>
        </w:rPr>
        <w:t>万元，越野车</w:t>
      </w:r>
      <w:r>
        <w:rPr>
          <w:rFonts w:eastAsia="仿宋"/>
          <w:sz w:val="32"/>
          <w:szCs w:val="32"/>
        </w:rPr>
        <w:t>0</w:t>
      </w:r>
      <w:r>
        <w:rPr>
          <w:rFonts w:eastAsia="仿宋"/>
          <w:sz w:val="32"/>
          <w:szCs w:val="32"/>
        </w:rPr>
        <w:t>辆、金额</w:t>
      </w:r>
      <w:r>
        <w:rPr>
          <w:rFonts w:eastAsia="仿宋"/>
          <w:sz w:val="32"/>
          <w:szCs w:val="32"/>
        </w:rPr>
        <w:t>0</w:t>
      </w:r>
      <w:r>
        <w:rPr>
          <w:rFonts w:eastAsia="仿宋"/>
          <w:sz w:val="32"/>
          <w:szCs w:val="32"/>
        </w:rPr>
        <w:t>万元，载客汽车</w:t>
      </w:r>
      <w:r>
        <w:rPr>
          <w:rFonts w:eastAsia="仿宋"/>
          <w:sz w:val="32"/>
          <w:szCs w:val="32"/>
        </w:rPr>
        <w:t>0</w:t>
      </w:r>
      <w:r>
        <w:rPr>
          <w:rFonts w:eastAsia="仿宋"/>
          <w:sz w:val="32"/>
          <w:szCs w:val="32"/>
        </w:rPr>
        <w:t>辆、金额</w:t>
      </w:r>
      <w:r>
        <w:rPr>
          <w:rFonts w:eastAsia="仿宋"/>
          <w:sz w:val="32"/>
          <w:szCs w:val="32"/>
        </w:rPr>
        <w:t>0</w:t>
      </w:r>
      <w:r>
        <w:rPr>
          <w:rFonts w:eastAsia="仿宋"/>
          <w:sz w:val="32"/>
          <w:szCs w:val="32"/>
        </w:rPr>
        <w:t>万元。截至</w:t>
      </w:r>
      <w:r>
        <w:rPr>
          <w:rFonts w:eastAsia="仿宋"/>
          <w:sz w:val="32"/>
          <w:szCs w:val="32"/>
        </w:rPr>
        <w:t>2022</w:t>
      </w:r>
      <w:r>
        <w:rPr>
          <w:rFonts w:eastAsia="仿宋"/>
          <w:sz w:val="32"/>
          <w:szCs w:val="32"/>
        </w:rPr>
        <w:t>年</w:t>
      </w:r>
      <w:r>
        <w:rPr>
          <w:rFonts w:eastAsia="仿宋"/>
          <w:sz w:val="32"/>
          <w:szCs w:val="32"/>
        </w:rPr>
        <w:t>12</w:t>
      </w:r>
      <w:r>
        <w:rPr>
          <w:rFonts w:eastAsia="仿宋"/>
          <w:sz w:val="32"/>
          <w:szCs w:val="32"/>
        </w:rPr>
        <w:t>月底，单位共有公务用车</w:t>
      </w:r>
      <w:r>
        <w:rPr>
          <w:rFonts w:eastAsia="仿宋"/>
          <w:sz w:val="32"/>
          <w:szCs w:val="32"/>
        </w:rPr>
        <w:t>2</w:t>
      </w:r>
      <w:r>
        <w:rPr>
          <w:rFonts w:eastAsia="仿宋"/>
          <w:sz w:val="32"/>
          <w:szCs w:val="32"/>
        </w:rPr>
        <w:t>辆，其中：轿车</w:t>
      </w:r>
      <w:r>
        <w:rPr>
          <w:rFonts w:eastAsia="仿宋"/>
          <w:sz w:val="32"/>
          <w:szCs w:val="32"/>
        </w:rPr>
        <w:t>1</w:t>
      </w:r>
      <w:r>
        <w:rPr>
          <w:rFonts w:eastAsia="仿宋"/>
          <w:sz w:val="32"/>
          <w:szCs w:val="32"/>
        </w:rPr>
        <w:t>辆、越野车</w:t>
      </w:r>
      <w:r>
        <w:rPr>
          <w:rFonts w:eastAsia="仿宋"/>
          <w:sz w:val="32"/>
          <w:szCs w:val="32"/>
        </w:rPr>
        <w:t>0</w:t>
      </w:r>
      <w:r>
        <w:rPr>
          <w:rFonts w:eastAsia="仿宋"/>
          <w:sz w:val="32"/>
          <w:szCs w:val="32"/>
        </w:rPr>
        <w:t>辆、载客汽车</w:t>
      </w:r>
      <w:r>
        <w:rPr>
          <w:rFonts w:eastAsia="仿宋"/>
          <w:sz w:val="32"/>
          <w:szCs w:val="32"/>
        </w:rPr>
        <w:t>1</w:t>
      </w:r>
      <w:r>
        <w:rPr>
          <w:rFonts w:eastAsia="仿宋"/>
          <w:sz w:val="32"/>
          <w:szCs w:val="32"/>
        </w:rPr>
        <w:t>辆。</w:t>
      </w:r>
    </w:p>
    <w:p w:rsidR="00202486" w:rsidRDefault="004C76F3">
      <w:pPr>
        <w:ind w:firstLineChars="221" w:firstLine="707"/>
        <w:jc w:val="left"/>
        <w:rPr>
          <w:rFonts w:eastAsia="仿宋"/>
          <w:sz w:val="32"/>
          <w:szCs w:val="32"/>
        </w:rPr>
      </w:pPr>
      <w:r>
        <w:rPr>
          <w:rFonts w:eastAsia="仿宋"/>
          <w:sz w:val="32"/>
          <w:szCs w:val="32"/>
        </w:rPr>
        <w:t>公务用车运行维护费支出</w:t>
      </w:r>
      <w:r>
        <w:rPr>
          <w:rFonts w:eastAsia="仿宋"/>
          <w:sz w:val="32"/>
          <w:szCs w:val="32"/>
        </w:rPr>
        <w:t>2.40</w:t>
      </w:r>
      <w:r>
        <w:rPr>
          <w:rFonts w:eastAsia="仿宋"/>
          <w:sz w:val="32"/>
          <w:szCs w:val="32"/>
        </w:rPr>
        <w:t>万元。主要用于公共场文化服务免费开放活动下基层组织、指导、创作采风、非遗调研、挖掘等车辆使用、接送机等所需的公务用车燃料费、维修费、过路过桥费、保险费等支出。</w:t>
      </w:r>
    </w:p>
    <w:p w:rsidR="00202486" w:rsidRDefault="00202486">
      <w:pPr>
        <w:ind w:firstLine="640"/>
        <w:rPr>
          <w:rFonts w:eastAsia="方正仿宋_GB2312"/>
          <w:sz w:val="32"/>
          <w:szCs w:val="32"/>
        </w:rPr>
      </w:pPr>
    </w:p>
    <w:p w:rsidR="00202486" w:rsidRDefault="004C76F3">
      <w:pPr>
        <w:ind w:firstLineChars="221" w:firstLine="707"/>
        <w:jc w:val="left"/>
        <w:rPr>
          <w:rFonts w:eastAsia="仿宋"/>
          <w:sz w:val="32"/>
          <w:szCs w:val="32"/>
        </w:rPr>
      </w:pPr>
      <w:r>
        <w:rPr>
          <w:rFonts w:eastAsia="仿宋"/>
          <w:sz w:val="32"/>
          <w:szCs w:val="32"/>
        </w:rPr>
        <w:t>3</w:t>
      </w:r>
      <w:r>
        <w:rPr>
          <w:rFonts w:eastAsia="仿宋"/>
          <w:sz w:val="32"/>
          <w:szCs w:val="32"/>
        </w:rPr>
        <w:t>．公务接待费支出</w:t>
      </w:r>
      <w:r>
        <w:rPr>
          <w:rFonts w:eastAsia="仿宋"/>
          <w:sz w:val="32"/>
          <w:szCs w:val="32"/>
        </w:rPr>
        <w:t>0.21</w:t>
      </w:r>
      <w:r>
        <w:rPr>
          <w:rFonts w:eastAsia="仿宋"/>
          <w:sz w:val="32"/>
          <w:szCs w:val="32"/>
        </w:rPr>
        <w:t>万元，</w:t>
      </w:r>
      <w:r>
        <w:rPr>
          <w:rFonts w:eastAsia="仿宋" w:hint="eastAsia"/>
          <w:sz w:val="32"/>
          <w:szCs w:val="32"/>
        </w:rPr>
        <w:t>完成预算</w:t>
      </w:r>
      <w:r>
        <w:rPr>
          <w:rFonts w:eastAsia="仿宋" w:hint="eastAsia"/>
          <w:sz w:val="32"/>
          <w:szCs w:val="32"/>
        </w:rPr>
        <w:t>100%</w:t>
      </w:r>
      <w:r>
        <w:rPr>
          <w:rFonts w:eastAsia="仿宋" w:hint="eastAsia"/>
          <w:sz w:val="32"/>
          <w:szCs w:val="32"/>
        </w:rPr>
        <w:t>。</w:t>
      </w:r>
      <w:r>
        <w:rPr>
          <w:rFonts w:eastAsia="仿宋"/>
          <w:sz w:val="32"/>
          <w:szCs w:val="32"/>
        </w:rPr>
        <w:t>公务接待费支出决算比</w:t>
      </w:r>
      <w:r>
        <w:rPr>
          <w:rFonts w:eastAsia="仿宋"/>
          <w:sz w:val="32"/>
          <w:szCs w:val="32"/>
        </w:rPr>
        <w:t>2021</w:t>
      </w:r>
      <w:r>
        <w:rPr>
          <w:rFonts w:eastAsia="仿宋"/>
          <w:sz w:val="32"/>
          <w:szCs w:val="32"/>
        </w:rPr>
        <w:t>年增加</w:t>
      </w:r>
      <w:r>
        <w:rPr>
          <w:rFonts w:eastAsia="仿宋"/>
          <w:sz w:val="32"/>
          <w:szCs w:val="32"/>
        </w:rPr>
        <w:t>0.05</w:t>
      </w:r>
      <w:r>
        <w:rPr>
          <w:rFonts w:eastAsia="仿宋"/>
          <w:sz w:val="32"/>
          <w:szCs w:val="32"/>
        </w:rPr>
        <w:t>万元，增长</w:t>
      </w:r>
      <w:r>
        <w:rPr>
          <w:rFonts w:eastAsia="仿宋"/>
          <w:sz w:val="32"/>
          <w:szCs w:val="32"/>
        </w:rPr>
        <w:t>31.25%</w:t>
      </w:r>
      <w:r>
        <w:rPr>
          <w:rFonts w:eastAsia="仿宋"/>
          <w:sz w:val="32"/>
          <w:szCs w:val="32"/>
        </w:rPr>
        <w:t>。主要原因是主要用于执行公务、开展业务活动开支的用餐费。其中：</w:t>
      </w:r>
    </w:p>
    <w:p w:rsidR="00202486" w:rsidRDefault="004C76F3">
      <w:pPr>
        <w:ind w:firstLineChars="221" w:firstLine="707"/>
        <w:jc w:val="left"/>
        <w:rPr>
          <w:rFonts w:eastAsia="仿宋"/>
          <w:sz w:val="32"/>
          <w:szCs w:val="32"/>
        </w:rPr>
      </w:pPr>
      <w:r>
        <w:rPr>
          <w:rFonts w:eastAsia="仿宋"/>
          <w:sz w:val="32"/>
          <w:szCs w:val="32"/>
        </w:rPr>
        <w:t>国内公务接待支出</w:t>
      </w:r>
      <w:r>
        <w:rPr>
          <w:rFonts w:eastAsia="仿宋"/>
          <w:sz w:val="32"/>
          <w:szCs w:val="32"/>
        </w:rPr>
        <w:t>0.21</w:t>
      </w:r>
      <w:r>
        <w:rPr>
          <w:rFonts w:eastAsia="仿宋"/>
          <w:sz w:val="32"/>
          <w:szCs w:val="32"/>
        </w:rPr>
        <w:t>万元，主要用于执行公务、开展业务活动开支的用餐费。国内公务接待</w:t>
      </w:r>
      <w:r>
        <w:rPr>
          <w:rFonts w:eastAsia="仿宋"/>
          <w:sz w:val="32"/>
          <w:szCs w:val="32"/>
        </w:rPr>
        <w:t>2</w:t>
      </w:r>
      <w:r>
        <w:rPr>
          <w:rFonts w:eastAsia="仿宋"/>
          <w:sz w:val="32"/>
          <w:szCs w:val="32"/>
        </w:rPr>
        <w:t>批次，</w:t>
      </w:r>
      <w:r>
        <w:rPr>
          <w:rFonts w:eastAsia="仿宋"/>
          <w:sz w:val="32"/>
          <w:szCs w:val="32"/>
        </w:rPr>
        <w:t>15</w:t>
      </w:r>
      <w:r>
        <w:rPr>
          <w:rFonts w:eastAsia="仿宋"/>
          <w:sz w:val="32"/>
          <w:szCs w:val="32"/>
        </w:rPr>
        <w:t>人次（不包括陪同人员），共计支出</w:t>
      </w:r>
      <w:r>
        <w:rPr>
          <w:rFonts w:eastAsia="仿宋"/>
          <w:sz w:val="32"/>
          <w:szCs w:val="32"/>
        </w:rPr>
        <w:t>0.21</w:t>
      </w:r>
      <w:r>
        <w:rPr>
          <w:rFonts w:eastAsia="仿宋"/>
          <w:sz w:val="32"/>
          <w:szCs w:val="32"/>
        </w:rPr>
        <w:t>万元，具体内容包括：接待指导国家公共文化服务体系示范区创新发展工作省级专家</w:t>
      </w:r>
      <w:r>
        <w:rPr>
          <w:rFonts w:eastAsia="仿宋"/>
          <w:sz w:val="32"/>
          <w:szCs w:val="32"/>
        </w:rPr>
        <w:t>9</w:t>
      </w:r>
      <w:r>
        <w:rPr>
          <w:rFonts w:eastAsia="仿宋"/>
          <w:sz w:val="32"/>
          <w:szCs w:val="32"/>
        </w:rPr>
        <w:t>人次，接待费</w:t>
      </w:r>
      <w:r>
        <w:rPr>
          <w:rFonts w:eastAsia="仿宋"/>
          <w:sz w:val="32"/>
          <w:szCs w:val="32"/>
        </w:rPr>
        <w:t>0.09</w:t>
      </w:r>
      <w:r>
        <w:rPr>
          <w:rFonts w:eastAsia="仿宋"/>
          <w:sz w:val="32"/>
          <w:szCs w:val="32"/>
        </w:rPr>
        <w:t>万元；接待来攀指导国家公共文化服务体系示范区创新发展工作的国家、省级专家</w:t>
      </w:r>
      <w:r>
        <w:rPr>
          <w:rFonts w:eastAsia="仿宋"/>
          <w:sz w:val="32"/>
          <w:szCs w:val="32"/>
        </w:rPr>
        <w:t>6</w:t>
      </w:r>
      <w:r>
        <w:rPr>
          <w:rFonts w:eastAsia="仿宋"/>
          <w:sz w:val="32"/>
          <w:szCs w:val="32"/>
        </w:rPr>
        <w:t>人次，接待费</w:t>
      </w:r>
      <w:r>
        <w:rPr>
          <w:rFonts w:eastAsia="仿宋"/>
          <w:sz w:val="32"/>
          <w:szCs w:val="32"/>
        </w:rPr>
        <w:t>0.12</w:t>
      </w:r>
      <w:r>
        <w:rPr>
          <w:rFonts w:eastAsia="仿宋"/>
          <w:sz w:val="32"/>
          <w:szCs w:val="32"/>
        </w:rPr>
        <w:t>万元。</w:t>
      </w:r>
    </w:p>
    <w:p w:rsidR="00202486" w:rsidRDefault="004C76F3">
      <w:pPr>
        <w:ind w:firstLineChars="221" w:firstLine="707"/>
        <w:jc w:val="left"/>
        <w:rPr>
          <w:rFonts w:eastAsia="仿宋"/>
          <w:sz w:val="32"/>
          <w:szCs w:val="32"/>
        </w:rPr>
      </w:pPr>
      <w:r>
        <w:rPr>
          <w:rFonts w:eastAsia="仿宋"/>
          <w:sz w:val="32"/>
          <w:szCs w:val="32"/>
        </w:rPr>
        <w:t>外事接待支出</w:t>
      </w:r>
      <w:r>
        <w:rPr>
          <w:rFonts w:eastAsia="仿宋"/>
          <w:sz w:val="32"/>
          <w:szCs w:val="32"/>
        </w:rPr>
        <w:t>0</w:t>
      </w:r>
      <w:r>
        <w:rPr>
          <w:rFonts w:eastAsia="仿宋"/>
          <w:sz w:val="32"/>
          <w:szCs w:val="32"/>
        </w:rPr>
        <w:t>万元，共计支出</w:t>
      </w:r>
      <w:r>
        <w:rPr>
          <w:rFonts w:eastAsia="仿宋"/>
          <w:sz w:val="32"/>
          <w:szCs w:val="32"/>
        </w:rPr>
        <w:t>0</w:t>
      </w:r>
      <w:r>
        <w:rPr>
          <w:rFonts w:eastAsia="仿宋"/>
          <w:sz w:val="32"/>
          <w:szCs w:val="32"/>
        </w:rPr>
        <w:t>万元。</w:t>
      </w:r>
      <w:bookmarkStart w:id="52" w:name="_Toc15396610"/>
      <w:bookmarkStart w:id="53" w:name="_Toc15377218"/>
      <w:bookmarkStart w:id="54" w:name="_Toc22385"/>
    </w:p>
    <w:p w:rsidR="00202486" w:rsidRDefault="00202486">
      <w:pPr>
        <w:autoSpaceDE w:val="0"/>
        <w:autoSpaceDN w:val="0"/>
        <w:ind w:firstLineChars="200" w:firstLine="640"/>
        <w:rPr>
          <w:rFonts w:eastAsia="仿宋_GB2312"/>
          <w:sz w:val="32"/>
          <w:szCs w:val="32"/>
        </w:rPr>
      </w:pPr>
    </w:p>
    <w:p w:rsidR="00202486" w:rsidRDefault="004C76F3">
      <w:pPr>
        <w:autoSpaceDE w:val="0"/>
        <w:autoSpaceDN w:val="0"/>
        <w:ind w:firstLineChars="200" w:firstLine="640"/>
        <w:rPr>
          <w:rStyle w:val="2Char"/>
          <w:rFonts w:ascii="Times New Roman" w:eastAsia="黑体" w:hAnsi="Times New Roman" w:cs="Times New Roman"/>
        </w:rPr>
      </w:pPr>
      <w:r>
        <w:rPr>
          <w:rFonts w:eastAsia="黑体"/>
          <w:sz w:val="32"/>
          <w:szCs w:val="32"/>
        </w:rPr>
        <w:t>八、</w:t>
      </w:r>
      <w:r>
        <w:rPr>
          <w:rStyle w:val="2Char"/>
          <w:rFonts w:ascii="Times New Roman" w:eastAsia="黑体" w:hAnsi="黑体" w:cs="Times New Roman"/>
          <w:b w:val="0"/>
        </w:rPr>
        <w:t>政府性基金预算支出决算情况说明</w:t>
      </w:r>
      <w:bookmarkEnd w:id="52"/>
      <w:bookmarkEnd w:id="53"/>
      <w:bookmarkEnd w:id="54"/>
    </w:p>
    <w:p w:rsidR="00202486" w:rsidRDefault="004C76F3">
      <w:pPr>
        <w:ind w:firstLineChars="221" w:firstLine="707"/>
        <w:jc w:val="left"/>
        <w:rPr>
          <w:rFonts w:eastAsia="仿宋"/>
          <w:sz w:val="32"/>
          <w:szCs w:val="32"/>
        </w:rPr>
      </w:pPr>
      <w:r>
        <w:rPr>
          <w:rFonts w:eastAsia="仿宋"/>
          <w:sz w:val="32"/>
          <w:szCs w:val="32"/>
        </w:rPr>
        <w:t>2022</w:t>
      </w:r>
      <w:r>
        <w:rPr>
          <w:rFonts w:eastAsia="仿宋"/>
          <w:sz w:val="32"/>
          <w:szCs w:val="32"/>
        </w:rPr>
        <w:t>年政府性基金预算财政拨款支出</w:t>
      </w:r>
      <w:r>
        <w:rPr>
          <w:rFonts w:eastAsia="仿宋"/>
          <w:sz w:val="32"/>
          <w:szCs w:val="32"/>
        </w:rPr>
        <w:t>0</w:t>
      </w:r>
      <w:r>
        <w:rPr>
          <w:rFonts w:eastAsia="仿宋"/>
          <w:sz w:val="32"/>
          <w:szCs w:val="32"/>
        </w:rPr>
        <w:t>万元。</w:t>
      </w:r>
      <w:bookmarkStart w:id="55" w:name="_Toc15377219"/>
      <w:bookmarkStart w:id="56" w:name="_Toc15396611"/>
      <w:bookmarkStart w:id="57" w:name="_Toc14166"/>
    </w:p>
    <w:p w:rsidR="00202486" w:rsidRDefault="00202486">
      <w:pPr>
        <w:ind w:firstLine="640"/>
        <w:rPr>
          <w:rFonts w:eastAsia="仿宋_GB2312"/>
          <w:sz w:val="32"/>
          <w:szCs w:val="32"/>
        </w:rPr>
      </w:pPr>
    </w:p>
    <w:p w:rsidR="00202486" w:rsidRDefault="004C76F3">
      <w:pPr>
        <w:ind w:firstLine="640"/>
        <w:rPr>
          <w:rStyle w:val="2Char"/>
          <w:rFonts w:ascii="Times New Roman" w:eastAsia="黑体" w:hAnsi="Times New Roman" w:cs="Times New Roman"/>
          <w:b w:val="0"/>
        </w:rPr>
      </w:pPr>
      <w:r>
        <w:rPr>
          <w:rStyle w:val="2Char"/>
          <w:rFonts w:ascii="Times New Roman" w:eastAsia="黑体" w:hAnsi="黑体" w:cs="Times New Roman"/>
          <w:b w:val="0"/>
        </w:rPr>
        <w:t>九、国有资本经营预算支出决算情况说明</w:t>
      </w:r>
      <w:bookmarkEnd w:id="55"/>
      <w:bookmarkEnd w:id="56"/>
      <w:bookmarkEnd w:id="57"/>
    </w:p>
    <w:p w:rsidR="00202486" w:rsidRDefault="004C76F3">
      <w:pPr>
        <w:ind w:firstLine="640"/>
        <w:rPr>
          <w:rFonts w:eastAsia="仿宋_GB2312"/>
          <w:sz w:val="32"/>
          <w:szCs w:val="32"/>
        </w:rPr>
      </w:pPr>
      <w:r>
        <w:rPr>
          <w:rFonts w:eastAsia="仿宋_GB2312"/>
          <w:sz w:val="32"/>
          <w:szCs w:val="32"/>
        </w:rPr>
        <w:t>2022</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202486" w:rsidRDefault="00202486">
      <w:pPr>
        <w:pStyle w:val="a0"/>
        <w:spacing w:before="93"/>
        <w:rPr>
          <w:rFonts w:ascii="Times New Roman"/>
        </w:rPr>
      </w:pPr>
    </w:p>
    <w:p w:rsidR="00202486" w:rsidRDefault="004C76F3">
      <w:pPr>
        <w:spacing w:line="660" w:lineRule="exact"/>
        <w:ind w:firstLineChars="200" w:firstLine="640"/>
        <w:outlineLvl w:val="1"/>
        <w:rPr>
          <w:rStyle w:val="2Char"/>
          <w:rFonts w:ascii="Times New Roman" w:eastAsia="黑体" w:hAnsi="Times New Roman" w:cs="Times New Roman"/>
          <w:b w:val="0"/>
        </w:rPr>
      </w:pPr>
      <w:bookmarkStart w:id="58" w:name="_Toc15396612"/>
      <w:bookmarkStart w:id="59" w:name="_Toc15377221"/>
      <w:bookmarkStart w:id="60" w:name="_Toc25192"/>
      <w:r>
        <w:rPr>
          <w:rStyle w:val="2Char"/>
          <w:rFonts w:ascii="Times New Roman" w:eastAsia="黑体" w:hAnsi="黑体" w:cs="Times New Roman"/>
          <w:b w:val="0"/>
        </w:rPr>
        <w:t>十、其他重要事项的情况说明</w:t>
      </w:r>
      <w:bookmarkEnd w:id="58"/>
      <w:bookmarkEnd w:id="59"/>
      <w:bookmarkEnd w:id="60"/>
    </w:p>
    <w:p w:rsidR="00202486" w:rsidRDefault="004C76F3">
      <w:pPr>
        <w:spacing w:line="660" w:lineRule="exact"/>
        <w:ind w:firstLineChars="200" w:firstLine="643"/>
        <w:rPr>
          <w:rFonts w:eastAsia="仿宋"/>
          <w:sz w:val="32"/>
          <w:szCs w:val="32"/>
        </w:rPr>
      </w:pPr>
      <w:bookmarkStart w:id="61" w:name="_Toc15377222"/>
      <w:r>
        <w:rPr>
          <w:rFonts w:eastAsia="仿宋" w:hAnsi="仿宋"/>
          <w:b/>
          <w:sz w:val="32"/>
          <w:szCs w:val="32"/>
        </w:rPr>
        <w:t>（一）机关运行经费支出情况</w:t>
      </w:r>
      <w:bookmarkEnd w:id="61"/>
    </w:p>
    <w:p w:rsidR="00202486" w:rsidRDefault="004C76F3">
      <w:pPr>
        <w:spacing w:line="660" w:lineRule="exact"/>
        <w:ind w:firstLineChars="200" w:firstLine="640"/>
        <w:rPr>
          <w:rFonts w:eastAsia="仿宋_GB2312"/>
          <w:sz w:val="32"/>
          <w:szCs w:val="32"/>
        </w:rPr>
      </w:pPr>
      <w:r>
        <w:rPr>
          <w:rFonts w:eastAsia="仿宋_GB2312"/>
          <w:sz w:val="32"/>
          <w:szCs w:val="32"/>
        </w:rPr>
        <w:t>2022</w:t>
      </w:r>
      <w:r>
        <w:rPr>
          <w:rFonts w:eastAsia="仿宋_GB2312"/>
          <w:sz w:val="32"/>
          <w:szCs w:val="32"/>
        </w:rPr>
        <w:t>年，攀枝花市文化馆机关运行经费支出</w:t>
      </w:r>
      <w:r>
        <w:rPr>
          <w:rFonts w:eastAsia="仿宋_GB2312"/>
          <w:sz w:val="32"/>
          <w:szCs w:val="32"/>
        </w:rPr>
        <w:t>0</w:t>
      </w:r>
      <w:r>
        <w:rPr>
          <w:rFonts w:eastAsia="仿宋_GB2312"/>
          <w:sz w:val="32"/>
          <w:szCs w:val="32"/>
        </w:rPr>
        <w:t>万元，与</w:t>
      </w:r>
      <w:r>
        <w:rPr>
          <w:rFonts w:eastAsia="仿宋_GB2312"/>
          <w:sz w:val="32"/>
          <w:szCs w:val="32"/>
        </w:rPr>
        <w:t>2021</w:t>
      </w:r>
      <w:r>
        <w:rPr>
          <w:rFonts w:eastAsia="仿宋_GB2312"/>
          <w:sz w:val="32"/>
          <w:szCs w:val="32"/>
        </w:rPr>
        <w:t>年决算数持平。主要原因是攀枝花市文化馆是事业单位，无机关运行经费。</w:t>
      </w:r>
    </w:p>
    <w:p w:rsidR="00202486" w:rsidRDefault="004C76F3">
      <w:pPr>
        <w:autoSpaceDE w:val="0"/>
        <w:autoSpaceDN w:val="0"/>
        <w:adjustRightInd w:val="0"/>
        <w:spacing w:line="660" w:lineRule="exact"/>
        <w:ind w:firstLineChars="200" w:firstLine="643"/>
        <w:jc w:val="left"/>
        <w:rPr>
          <w:rFonts w:eastAsia="仿宋"/>
          <w:b/>
          <w:sz w:val="32"/>
          <w:szCs w:val="32"/>
        </w:rPr>
      </w:pPr>
      <w:bookmarkStart w:id="62" w:name="_Toc15377223"/>
      <w:r>
        <w:rPr>
          <w:rFonts w:eastAsia="仿宋" w:hAnsi="仿宋"/>
          <w:b/>
          <w:sz w:val="32"/>
          <w:szCs w:val="32"/>
        </w:rPr>
        <w:t>（二）政府采购支出情况</w:t>
      </w:r>
      <w:bookmarkEnd w:id="62"/>
    </w:p>
    <w:p w:rsidR="00202486" w:rsidRDefault="004C76F3">
      <w:pPr>
        <w:spacing w:line="660" w:lineRule="exact"/>
        <w:ind w:firstLineChars="200" w:firstLine="640"/>
        <w:rPr>
          <w:rFonts w:eastAsia="仿宋_GB2312"/>
          <w:sz w:val="32"/>
          <w:szCs w:val="32"/>
        </w:rPr>
      </w:pPr>
      <w:r>
        <w:rPr>
          <w:rFonts w:eastAsia="仿宋_GB2312"/>
          <w:sz w:val="32"/>
          <w:szCs w:val="32"/>
        </w:rPr>
        <w:t>2022</w:t>
      </w:r>
      <w:r>
        <w:rPr>
          <w:rFonts w:eastAsia="仿宋_GB2312"/>
          <w:sz w:val="32"/>
          <w:szCs w:val="32"/>
        </w:rPr>
        <w:t>年，攀枝花市文化馆政府采购支出总额</w:t>
      </w:r>
      <w:r>
        <w:rPr>
          <w:rFonts w:eastAsia="仿宋_GB2312"/>
          <w:sz w:val="32"/>
          <w:szCs w:val="32"/>
        </w:rPr>
        <w:t>0</w:t>
      </w:r>
      <w:r>
        <w:rPr>
          <w:rFonts w:eastAsia="仿宋_GB2312"/>
          <w:sz w:val="32"/>
          <w:szCs w:val="32"/>
        </w:rPr>
        <w:t>万元，其中：政府采购货物支出</w:t>
      </w:r>
      <w:r>
        <w:rPr>
          <w:rFonts w:eastAsia="仿宋_GB2312"/>
          <w:sz w:val="32"/>
          <w:szCs w:val="32"/>
        </w:rPr>
        <w:t>0</w:t>
      </w:r>
      <w:r>
        <w:rPr>
          <w:rFonts w:eastAsia="仿宋_GB2312"/>
          <w:sz w:val="32"/>
          <w:szCs w:val="32"/>
        </w:rPr>
        <w:t>万元、政府采购工程支出</w:t>
      </w:r>
      <w:r>
        <w:rPr>
          <w:rFonts w:eastAsia="仿宋_GB2312"/>
          <w:sz w:val="32"/>
          <w:szCs w:val="32"/>
        </w:rPr>
        <w:t>0</w:t>
      </w:r>
      <w:r>
        <w:rPr>
          <w:rFonts w:eastAsia="仿宋_GB2312"/>
          <w:sz w:val="32"/>
          <w:szCs w:val="32"/>
        </w:rPr>
        <w:t>万元、政府采购服务支出</w:t>
      </w:r>
      <w:r>
        <w:rPr>
          <w:rFonts w:eastAsia="仿宋_GB2312"/>
          <w:sz w:val="32"/>
          <w:szCs w:val="32"/>
        </w:rPr>
        <w:t>0</w:t>
      </w:r>
      <w:r>
        <w:rPr>
          <w:rFonts w:eastAsia="仿宋_GB2312"/>
          <w:sz w:val="32"/>
          <w:szCs w:val="32"/>
        </w:rPr>
        <w:t>万元。授予中小企业合同金额</w:t>
      </w:r>
      <w:r>
        <w:rPr>
          <w:rFonts w:eastAsia="仿宋_GB2312"/>
          <w:sz w:val="32"/>
          <w:szCs w:val="32"/>
        </w:rPr>
        <w:t>0</w:t>
      </w:r>
      <w:r>
        <w:rPr>
          <w:rFonts w:eastAsia="仿宋_GB2312"/>
          <w:sz w:val="32"/>
          <w:szCs w:val="32"/>
        </w:rPr>
        <w:t>万元，占政府采购支出总额的</w:t>
      </w:r>
      <w:r>
        <w:rPr>
          <w:rFonts w:eastAsia="仿宋_GB2312"/>
          <w:sz w:val="32"/>
          <w:szCs w:val="32"/>
        </w:rPr>
        <w:t>0%</w:t>
      </w:r>
      <w:r>
        <w:rPr>
          <w:rFonts w:eastAsia="仿宋_GB2312"/>
          <w:sz w:val="32"/>
          <w:szCs w:val="32"/>
        </w:rPr>
        <w:t>，其中：授予小微企业合同金额</w:t>
      </w:r>
      <w:r>
        <w:rPr>
          <w:rFonts w:eastAsia="仿宋_GB2312"/>
          <w:sz w:val="32"/>
          <w:szCs w:val="32"/>
        </w:rPr>
        <w:t>0</w:t>
      </w:r>
      <w:r>
        <w:rPr>
          <w:rFonts w:eastAsia="仿宋_GB2312"/>
          <w:sz w:val="32"/>
          <w:szCs w:val="32"/>
        </w:rPr>
        <w:t>万元，占政府采购支出总额的</w:t>
      </w:r>
      <w:r>
        <w:rPr>
          <w:rFonts w:eastAsia="仿宋_GB2312"/>
          <w:sz w:val="32"/>
          <w:szCs w:val="32"/>
        </w:rPr>
        <w:t>0%</w:t>
      </w:r>
      <w:r>
        <w:rPr>
          <w:rFonts w:eastAsia="仿宋_GB2312"/>
          <w:sz w:val="32"/>
          <w:szCs w:val="32"/>
        </w:rPr>
        <w:t>。</w:t>
      </w:r>
    </w:p>
    <w:p w:rsidR="00202486" w:rsidRDefault="004C76F3">
      <w:pPr>
        <w:autoSpaceDE w:val="0"/>
        <w:autoSpaceDN w:val="0"/>
        <w:adjustRightInd w:val="0"/>
        <w:spacing w:line="660" w:lineRule="exact"/>
        <w:ind w:firstLineChars="200" w:firstLine="643"/>
        <w:jc w:val="left"/>
        <w:rPr>
          <w:rFonts w:eastAsia="仿宋"/>
          <w:b/>
          <w:sz w:val="32"/>
          <w:szCs w:val="32"/>
        </w:rPr>
      </w:pPr>
      <w:bookmarkStart w:id="63" w:name="_Toc15377224"/>
      <w:r>
        <w:rPr>
          <w:rFonts w:eastAsia="仿宋" w:hAnsi="仿宋"/>
          <w:b/>
          <w:sz w:val="32"/>
          <w:szCs w:val="32"/>
        </w:rPr>
        <w:t>（三）国有资产占有使用情况</w:t>
      </w:r>
      <w:bookmarkEnd w:id="63"/>
    </w:p>
    <w:p w:rsidR="00202486" w:rsidRDefault="004C76F3">
      <w:pPr>
        <w:spacing w:line="660" w:lineRule="exact"/>
        <w:ind w:firstLineChars="200" w:firstLine="640"/>
        <w:rPr>
          <w:rFonts w:eastAsia="仿宋_GB2312"/>
          <w:sz w:val="32"/>
          <w:szCs w:val="32"/>
        </w:rPr>
      </w:pPr>
      <w:r>
        <w:rPr>
          <w:rFonts w:eastAsia="仿宋_GB2312"/>
          <w:sz w:val="32"/>
          <w:szCs w:val="32"/>
        </w:rPr>
        <w:t>截至</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日，攀枝花市文化馆共有车辆</w:t>
      </w:r>
      <w:r>
        <w:rPr>
          <w:rFonts w:eastAsia="仿宋_GB2312"/>
          <w:sz w:val="32"/>
          <w:szCs w:val="32"/>
        </w:rPr>
        <w:t>2</w:t>
      </w:r>
      <w:r>
        <w:rPr>
          <w:rFonts w:eastAsia="仿宋_GB2312"/>
          <w:sz w:val="32"/>
          <w:szCs w:val="32"/>
        </w:rPr>
        <w:t>辆，其中：主要领导干部用车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辆、应急保障用车</w:t>
      </w:r>
      <w:r>
        <w:rPr>
          <w:rFonts w:eastAsia="仿宋_GB2312"/>
          <w:sz w:val="32"/>
          <w:szCs w:val="32"/>
        </w:rPr>
        <w:t>0</w:t>
      </w:r>
      <w:r>
        <w:rPr>
          <w:rFonts w:eastAsia="仿宋_GB2312"/>
          <w:sz w:val="32"/>
          <w:szCs w:val="32"/>
        </w:rPr>
        <w:t>辆、其他用车</w:t>
      </w:r>
      <w:r>
        <w:rPr>
          <w:rFonts w:eastAsia="仿宋_GB2312"/>
          <w:sz w:val="32"/>
          <w:szCs w:val="32"/>
        </w:rPr>
        <w:t>2</w:t>
      </w:r>
      <w:r>
        <w:rPr>
          <w:rFonts w:eastAsia="仿宋_GB2312"/>
          <w:sz w:val="32"/>
          <w:szCs w:val="32"/>
        </w:rPr>
        <w:t>辆，其他用车主要是用于公共场文化服务免费开放活动下基层组织、指导、创作采风、非遗调研、挖掘等车辆使用、接送机等</w:t>
      </w:r>
      <w:r>
        <w:rPr>
          <w:rFonts w:eastAsia="仿宋_GB2312"/>
          <w:sz w:val="32"/>
          <w:szCs w:val="32"/>
        </w:rPr>
        <w:t>所需的公务用车燃料费、维修费、过路过桥费、保险费等支出。单价</w:t>
      </w:r>
      <w:r>
        <w:rPr>
          <w:rFonts w:eastAsia="仿宋_GB2312"/>
          <w:sz w:val="32"/>
          <w:szCs w:val="32"/>
        </w:rPr>
        <w:t>100</w:t>
      </w:r>
      <w:r>
        <w:rPr>
          <w:rFonts w:eastAsia="仿宋_GB2312"/>
          <w:sz w:val="32"/>
          <w:szCs w:val="32"/>
        </w:rPr>
        <w:t>万元以上专用设备</w:t>
      </w:r>
      <w:r>
        <w:rPr>
          <w:rFonts w:eastAsia="仿宋_GB2312"/>
          <w:sz w:val="32"/>
          <w:szCs w:val="32"/>
        </w:rPr>
        <w:t>0</w:t>
      </w:r>
      <w:r>
        <w:rPr>
          <w:rFonts w:eastAsia="仿宋_GB2312"/>
          <w:sz w:val="32"/>
          <w:szCs w:val="32"/>
        </w:rPr>
        <w:t>台（套）。</w:t>
      </w:r>
    </w:p>
    <w:p w:rsidR="00202486" w:rsidRDefault="004C76F3">
      <w:pPr>
        <w:numPr>
          <w:ilvl w:val="0"/>
          <w:numId w:val="1"/>
        </w:numPr>
        <w:autoSpaceDE w:val="0"/>
        <w:autoSpaceDN w:val="0"/>
        <w:adjustRightInd w:val="0"/>
        <w:spacing w:line="660" w:lineRule="exact"/>
        <w:ind w:firstLineChars="200" w:firstLine="643"/>
        <w:jc w:val="left"/>
        <w:rPr>
          <w:rFonts w:eastAsia="仿宋"/>
          <w:b/>
          <w:sz w:val="32"/>
          <w:szCs w:val="32"/>
        </w:rPr>
      </w:pPr>
      <w:r>
        <w:rPr>
          <w:rFonts w:eastAsia="仿宋" w:hAnsi="仿宋"/>
          <w:b/>
          <w:sz w:val="32"/>
          <w:szCs w:val="32"/>
        </w:rPr>
        <w:t>预算绩效管理情况</w:t>
      </w:r>
    </w:p>
    <w:p w:rsidR="00202486" w:rsidRDefault="004C76F3">
      <w:pPr>
        <w:spacing w:line="660" w:lineRule="exact"/>
        <w:ind w:firstLineChars="200" w:firstLine="640"/>
        <w:rPr>
          <w:rFonts w:eastAsia="方正仿宋_GB2312"/>
          <w:sz w:val="32"/>
          <w:szCs w:val="32"/>
          <w:highlight w:val="yellow"/>
        </w:rPr>
      </w:pPr>
      <w:r>
        <w:rPr>
          <w:rFonts w:eastAsia="仿宋_GB2312"/>
          <w:sz w:val="32"/>
          <w:szCs w:val="32"/>
        </w:rPr>
        <w:t>根据预算绩效管理要求，本单位在</w:t>
      </w:r>
      <w:r>
        <w:rPr>
          <w:rFonts w:eastAsia="仿宋_GB2312"/>
          <w:sz w:val="32"/>
          <w:szCs w:val="32"/>
        </w:rPr>
        <w:t>2022</w:t>
      </w:r>
      <w:r>
        <w:rPr>
          <w:rFonts w:eastAsia="仿宋_GB2312"/>
          <w:sz w:val="32"/>
          <w:szCs w:val="32"/>
        </w:rPr>
        <w:t>年度预算编制阶段，组织对部门预算整体绩效以及中央和省公共图书馆文化馆（站）免费开放经费、公共文化免费开放场所改造升级项目、中央省公共文化服务免费开放经费、人才专项资金、</w:t>
      </w:r>
      <w:r>
        <w:rPr>
          <w:rFonts w:eastAsia="仿宋_GB2312"/>
          <w:sz w:val="32"/>
          <w:szCs w:val="32"/>
        </w:rPr>
        <w:t>2021</w:t>
      </w:r>
      <w:r>
        <w:rPr>
          <w:rFonts w:eastAsia="仿宋_GB2312"/>
          <w:sz w:val="32"/>
          <w:szCs w:val="32"/>
        </w:rPr>
        <w:t>年第二批省级文化和旅游发展专项资金、</w:t>
      </w:r>
      <w:r>
        <w:rPr>
          <w:rFonts w:eastAsia="仿宋_GB2312"/>
          <w:sz w:val="32"/>
          <w:szCs w:val="32"/>
        </w:rPr>
        <w:t>2021</w:t>
      </w:r>
      <w:r>
        <w:rPr>
          <w:rFonts w:eastAsia="仿宋_GB2312"/>
          <w:sz w:val="32"/>
          <w:szCs w:val="32"/>
        </w:rPr>
        <w:t>中央支持地方公共文化服务体系建设补助资金</w:t>
      </w:r>
      <w:r>
        <w:rPr>
          <w:rFonts w:eastAsia="仿宋_GB2312" w:hint="eastAsia"/>
          <w:sz w:val="32"/>
          <w:szCs w:val="32"/>
        </w:rPr>
        <w:t>（</w:t>
      </w:r>
      <w:r>
        <w:rPr>
          <w:rFonts w:eastAsia="仿宋_GB2312"/>
          <w:sz w:val="32"/>
          <w:szCs w:val="32"/>
        </w:rPr>
        <w:t>公共文化服务体系示范区建设专项资金</w:t>
      </w:r>
      <w:r>
        <w:rPr>
          <w:rFonts w:eastAsia="仿宋_GB2312" w:hint="eastAsia"/>
          <w:sz w:val="32"/>
          <w:szCs w:val="32"/>
        </w:rPr>
        <w:t>）</w:t>
      </w:r>
      <w:r>
        <w:rPr>
          <w:rFonts w:eastAsia="仿宋_GB2312"/>
          <w:sz w:val="32"/>
          <w:szCs w:val="32"/>
        </w:rPr>
        <w:t>、</w:t>
      </w:r>
      <w:r>
        <w:rPr>
          <w:rFonts w:eastAsia="仿宋_GB2312"/>
          <w:sz w:val="32"/>
          <w:szCs w:val="32"/>
        </w:rPr>
        <w:t>2021</w:t>
      </w:r>
      <w:r>
        <w:rPr>
          <w:rFonts w:eastAsia="仿宋_GB2312"/>
          <w:sz w:val="32"/>
          <w:szCs w:val="32"/>
        </w:rPr>
        <w:t>中央支持地方公共文化服务体系建设专项资金、中央补助地</w:t>
      </w:r>
      <w:r>
        <w:rPr>
          <w:rFonts w:eastAsia="仿宋_GB2312"/>
          <w:sz w:val="32"/>
          <w:szCs w:val="32"/>
        </w:rPr>
        <w:t>方公共文化服务体系建设专项资金、中央补助地方公共文化服务体系建设重点项目资金、公共文化补助经费（免费开放经费及弥补公用经费）等</w:t>
      </w:r>
      <w:r>
        <w:rPr>
          <w:rFonts w:eastAsia="仿宋_GB2312" w:hint="eastAsia"/>
          <w:sz w:val="32"/>
          <w:szCs w:val="32"/>
        </w:rPr>
        <w:t>11</w:t>
      </w:r>
      <w:r>
        <w:rPr>
          <w:rFonts w:eastAsia="仿宋_GB2312"/>
          <w:sz w:val="32"/>
          <w:szCs w:val="32"/>
        </w:rPr>
        <w:t>个项目开展了预算事前绩效评估，对</w:t>
      </w:r>
      <w:r>
        <w:rPr>
          <w:rFonts w:eastAsia="仿宋_GB2312" w:hint="eastAsia"/>
          <w:sz w:val="32"/>
          <w:szCs w:val="32"/>
        </w:rPr>
        <w:t>11</w:t>
      </w:r>
      <w:r>
        <w:rPr>
          <w:rFonts w:eastAsia="仿宋_GB2312"/>
          <w:sz w:val="32"/>
          <w:szCs w:val="32"/>
        </w:rPr>
        <w:t>个项目编制了绩效目标，预算执行过程中，选取</w:t>
      </w:r>
      <w:r>
        <w:rPr>
          <w:rFonts w:eastAsia="仿宋_GB2312" w:hint="eastAsia"/>
          <w:sz w:val="32"/>
          <w:szCs w:val="32"/>
        </w:rPr>
        <w:t>11</w:t>
      </w:r>
      <w:r>
        <w:rPr>
          <w:rFonts w:eastAsia="仿宋_GB2312"/>
          <w:sz w:val="32"/>
          <w:szCs w:val="32"/>
        </w:rPr>
        <w:t>个项目开展绩效监控，组织对</w:t>
      </w:r>
      <w:r>
        <w:rPr>
          <w:rFonts w:eastAsia="仿宋_GB2312" w:hint="eastAsia"/>
          <w:sz w:val="32"/>
          <w:szCs w:val="32"/>
        </w:rPr>
        <w:t>11</w:t>
      </w:r>
      <w:r>
        <w:rPr>
          <w:rFonts w:eastAsia="仿宋_GB2312"/>
          <w:sz w:val="32"/>
          <w:szCs w:val="32"/>
        </w:rPr>
        <w:t>个项目开展绩效自评，绩效自评表详见第四部分附件。</w:t>
      </w:r>
    </w:p>
    <w:p w:rsidR="00202486" w:rsidRDefault="004C76F3">
      <w:pPr>
        <w:widowControl/>
        <w:jc w:val="left"/>
        <w:rPr>
          <w:rFonts w:eastAsia="仿宋_GB2312"/>
          <w:b/>
          <w:sz w:val="32"/>
          <w:szCs w:val="32"/>
        </w:rPr>
      </w:pPr>
      <w:r>
        <w:rPr>
          <w:rFonts w:eastAsia="仿宋_GB2312"/>
          <w:b/>
          <w:sz w:val="32"/>
          <w:szCs w:val="32"/>
        </w:rPr>
        <w:br w:type="page"/>
      </w:r>
    </w:p>
    <w:p w:rsidR="00202486" w:rsidRDefault="004C76F3">
      <w:pPr>
        <w:numPr>
          <w:ilvl w:val="0"/>
          <w:numId w:val="2"/>
        </w:numPr>
        <w:ind w:firstLineChars="150" w:firstLine="660"/>
        <w:jc w:val="center"/>
        <w:outlineLvl w:val="0"/>
        <w:rPr>
          <w:rStyle w:val="1Char"/>
          <w:rFonts w:eastAsia="黑体"/>
          <w:b w:val="0"/>
        </w:rPr>
      </w:pPr>
      <w:bookmarkStart w:id="64" w:name="_Toc24994"/>
      <w:bookmarkStart w:id="65" w:name="_Toc15377225"/>
      <w:bookmarkStart w:id="66" w:name="_Toc15396613"/>
      <w:r>
        <w:rPr>
          <w:rFonts w:eastAsia="黑体" w:hAnsi="黑体"/>
          <w:sz w:val="44"/>
          <w:szCs w:val="44"/>
        </w:rPr>
        <w:t>名</w:t>
      </w:r>
      <w:r>
        <w:rPr>
          <w:rStyle w:val="1Char"/>
          <w:rFonts w:eastAsia="黑体" w:hAnsi="黑体"/>
          <w:b w:val="0"/>
        </w:rPr>
        <w:t>词解释</w:t>
      </w:r>
      <w:bookmarkEnd w:id="64"/>
      <w:bookmarkEnd w:id="65"/>
      <w:bookmarkEnd w:id="66"/>
    </w:p>
    <w:p w:rsidR="00202486" w:rsidRDefault="00202486">
      <w:pPr>
        <w:pStyle w:val="Default"/>
        <w:rPr>
          <w:rFonts w:ascii="Times New Roman" w:eastAsia="仿宋_GB2312" w:hAnsi="Times New Roman" w:cs="Times New Roman"/>
          <w:color w:val="auto"/>
          <w:sz w:val="32"/>
          <w:szCs w:val="32"/>
        </w:rPr>
      </w:pPr>
    </w:p>
    <w:p w:rsidR="00202486" w:rsidRDefault="004C76F3">
      <w:pPr>
        <w:ind w:firstLineChars="200" w:firstLine="640"/>
        <w:rPr>
          <w:rFonts w:eastAsia="仿宋_GB2312"/>
          <w:sz w:val="32"/>
          <w:szCs w:val="32"/>
        </w:rPr>
      </w:pPr>
      <w:r>
        <w:rPr>
          <w:rFonts w:eastAsia="仿宋_GB2312"/>
          <w:sz w:val="32"/>
          <w:szCs w:val="32"/>
        </w:rPr>
        <w:t>1</w:t>
      </w:r>
      <w:r>
        <w:rPr>
          <w:rFonts w:eastAsia="仿宋_GB2312"/>
          <w:sz w:val="32"/>
          <w:szCs w:val="32"/>
        </w:rPr>
        <w:t>．财政拨款收入：指单位从同级财政部门取得的财政预算资金。</w:t>
      </w:r>
    </w:p>
    <w:p w:rsidR="00202486" w:rsidRDefault="004C76F3">
      <w:pPr>
        <w:ind w:firstLineChars="200" w:firstLine="640"/>
        <w:rPr>
          <w:rFonts w:eastAsia="仿宋_GB2312"/>
          <w:sz w:val="32"/>
          <w:szCs w:val="32"/>
        </w:rPr>
      </w:pPr>
      <w:r>
        <w:rPr>
          <w:rFonts w:eastAsia="仿宋_GB2312"/>
          <w:sz w:val="32"/>
          <w:szCs w:val="32"/>
        </w:rPr>
        <w:t>2</w:t>
      </w:r>
      <w:r>
        <w:rPr>
          <w:rFonts w:eastAsia="仿宋_GB2312"/>
          <w:sz w:val="32"/>
          <w:szCs w:val="32"/>
        </w:rPr>
        <w:t>．年初结转和结余：指以前年度尚未完成、结转到本年按有关规定继续使用的资金。</w:t>
      </w:r>
    </w:p>
    <w:p w:rsidR="00202486" w:rsidRDefault="004C76F3">
      <w:pPr>
        <w:ind w:firstLineChars="200" w:firstLine="640"/>
        <w:rPr>
          <w:rFonts w:eastAsia="仿宋_GB2312"/>
          <w:sz w:val="32"/>
          <w:szCs w:val="32"/>
        </w:rPr>
      </w:pPr>
      <w:r>
        <w:rPr>
          <w:rFonts w:eastAsia="仿宋_GB2312"/>
          <w:sz w:val="32"/>
          <w:szCs w:val="32"/>
        </w:rPr>
        <w:t>3</w:t>
      </w:r>
      <w:r>
        <w:rPr>
          <w:rFonts w:eastAsia="仿宋_GB2312"/>
          <w:sz w:val="32"/>
          <w:szCs w:val="32"/>
        </w:rPr>
        <w:t>．文化旅游体育与传媒支出（类）文化和旅游（款）群众文化（项）：</w:t>
      </w:r>
      <w:r>
        <w:rPr>
          <w:rFonts w:eastAsia="仿宋_GB2312" w:cs="仿宋_GB2312" w:hint="eastAsia"/>
          <w:sz w:val="32"/>
          <w:szCs w:val="32"/>
        </w:rPr>
        <w:t>反映群众文化方面的支出，包括基层文化馆（站）、群众艺术馆支出等</w:t>
      </w:r>
      <w:r>
        <w:rPr>
          <w:rFonts w:eastAsia="仿宋_GB2312"/>
          <w:sz w:val="32"/>
          <w:szCs w:val="32"/>
        </w:rPr>
        <w:t>。</w:t>
      </w:r>
    </w:p>
    <w:p w:rsidR="00202486" w:rsidRDefault="004C76F3">
      <w:pPr>
        <w:ind w:firstLineChars="200" w:firstLine="640"/>
        <w:rPr>
          <w:rFonts w:eastAsia="仿宋_GB2312"/>
          <w:sz w:val="32"/>
          <w:szCs w:val="32"/>
        </w:rPr>
      </w:pPr>
      <w:r>
        <w:rPr>
          <w:rFonts w:eastAsia="仿宋_GB2312"/>
          <w:sz w:val="32"/>
          <w:szCs w:val="32"/>
        </w:rPr>
        <w:t>4</w:t>
      </w:r>
      <w:r>
        <w:rPr>
          <w:rFonts w:eastAsia="仿宋_GB2312"/>
          <w:sz w:val="32"/>
          <w:szCs w:val="32"/>
        </w:rPr>
        <w:t>．文化旅游体育与传媒支出（类）文化和旅游（款）其他文化和旅游支出（项）：</w:t>
      </w:r>
      <w:r>
        <w:rPr>
          <w:rFonts w:eastAsia="仿宋_GB2312" w:cs="仿宋_GB2312" w:hint="eastAsia"/>
          <w:sz w:val="32"/>
          <w:szCs w:val="32"/>
        </w:rPr>
        <w:t>反映除上述项目以外其他用于文化和旅游方面的支出。</w:t>
      </w:r>
    </w:p>
    <w:p w:rsidR="00202486" w:rsidRDefault="004C76F3">
      <w:pPr>
        <w:ind w:firstLineChars="200" w:firstLine="640"/>
        <w:rPr>
          <w:rFonts w:eastAsia="仿宋_GB2312"/>
          <w:sz w:val="32"/>
          <w:szCs w:val="32"/>
        </w:rPr>
      </w:pPr>
      <w:r>
        <w:rPr>
          <w:rFonts w:eastAsia="仿宋_GB2312"/>
          <w:sz w:val="32"/>
          <w:szCs w:val="32"/>
        </w:rPr>
        <w:t>5</w:t>
      </w:r>
      <w:r>
        <w:rPr>
          <w:rFonts w:eastAsia="仿宋_GB2312"/>
          <w:sz w:val="32"/>
          <w:szCs w:val="32"/>
        </w:rPr>
        <w:t>．文化旅游体育与传媒支出（类）其他文化旅游体育与传媒支出（款）其他文化旅游体育与传媒支出（项）：</w:t>
      </w:r>
      <w:r>
        <w:rPr>
          <w:rFonts w:eastAsia="仿宋_GB2312" w:hint="eastAsia"/>
          <w:sz w:val="32"/>
          <w:szCs w:val="32"/>
        </w:rPr>
        <w:t>反映除</w:t>
      </w:r>
      <w:r>
        <w:rPr>
          <w:rFonts w:eastAsia="仿宋_GB2312"/>
          <w:sz w:val="32"/>
          <w:szCs w:val="32"/>
        </w:rPr>
        <w:t>上述项目以外用于其他文化旅游体育与传媒方面的支出。</w:t>
      </w:r>
    </w:p>
    <w:p w:rsidR="00202486" w:rsidRDefault="004C76F3">
      <w:pPr>
        <w:ind w:firstLineChars="200" w:firstLine="640"/>
        <w:rPr>
          <w:rFonts w:eastAsia="仿宋_GB2312"/>
          <w:sz w:val="32"/>
          <w:szCs w:val="32"/>
        </w:rPr>
      </w:pPr>
      <w:r>
        <w:rPr>
          <w:rFonts w:eastAsia="仿宋_GB2312"/>
          <w:sz w:val="32"/>
          <w:szCs w:val="32"/>
        </w:rPr>
        <w:t>6</w:t>
      </w:r>
      <w:r>
        <w:rPr>
          <w:rFonts w:eastAsia="仿宋_GB2312"/>
          <w:sz w:val="32"/>
          <w:szCs w:val="32"/>
        </w:rPr>
        <w:t>．社会保障和就业</w:t>
      </w:r>
      <w:r>
        <w:rPr>
          <w:rFonts w:eastAsia="仿宋_GB2312" w:hint="eastAsia"/>
          <w:sz w:val="32"/>
          <w:szCs w:val="32"/>
        </w:rPr>
        <w:t>支出</w:t>
      </w:r>
      <w:r>
        <w:rPr>
          <w:rFonts w:eastAsia="仿宋_GB2312"/>
          <w:sz w:val="32"/>
          <w:szCs w:val="32"/>
        </w:rPr>
        <w:t>（类）人力资源和社会保障管理事务（款）其他人力资源和社会保障管理事务支出（项）：</w:t>
      </w:r>
      <w:r>
        <w:rPr>
          <w:rFonts w:eastAsia="仿宋_GB2312" w:hint="eastAsia"/>
          <w:sz w:val="32"/>
          <w:szCs w:val="32"/>
        </w:rPr>
        <w:t>反映除</w:t>
      </w:r>
      <w:r>
        <w:rPr>
          <w:rFonts w:eastAsia="仿宋_GB2312"/>
          <w:sz w:val="32"/>
          <w:szCs w:val="32"/>
        </w:rPr>
        <w:t>上述项目以外</w:t>
      </w:r>
      <w:r>
        <w:rPr>
          <w:rFonts w:eastAsia="仿宋_GB2312" w:hint="eastAsia"/>
          <w:sz w:val="32"/>
          <w:szCs w:val="32"/>
        </w:rPr>
        <w:t>其他</w:t>
      </w:r>
      <w:r>
        <w:rPr>
          <w:rFonts w:eastAsia="仿宋_GB2312"/>
          <w:sz w:val="32"/>
          <w:szCs w:val="32"/>
        </w:rPr>
        <w:t>用于</w:t>
      </w:r>
      <w:r>
        <w:rPr>
          <w:rFonts w:eastAsia="仿宋_GB2312" w:hint="eastAsia"/>
          <w:sz w:val="32"/>
          <w:szCs w:val="32"/>
        </w:rPr>
        <w:t>社会保障和就业方面的</w:t>
      </w:r>
      <w:r>
        <w:rPr>
          <w:rFonts w:eastAsia="仿宋_GB2312"/>
          <w:sz w:val="32"/>
          <w:szCs w:val="32"/>
        </w:rPr>
        <w:t>支出。</w:t>
      </w:r>
    </w:p>
    <w:p w:rsidR="00202486" w:rsidRDefault="004C76F3">
      <w:pPr>
        <w:ind w:firstLineChars="200" w:firstLine="640"/>
        <w:rPr>
          <w:rFonts w:eastAsia="仿宋_GB2312"/>
          <w:sz w:val="32"/>
          <w:szCs w:val="32"/>
        </w:rPr>
      </w:pPr>
      <w:r>
        <w:rPr>
          <w:rFonts w:eastAsia="仿宋_GB2312"/>
          <w:sz w:val="32"/>
          <w:szCs w:val="32"/>
        </w:rPr>
        <w:t>7</w:t>
      </w:r>
      <w:r>
        <w:rPr>
          <w:rFonts w:eastAsia="仿宋_GB2312"/>
          <w:sz w:val="32"/>
          <w:szCs w:val="32"/>
        </w:rPr>
        <w:t>．社会保障和就业</w:t>
      </w:r>
      <w:r>
        <w:rPr>
          <w:rFonts w:eastAsia="仿宋_GB2312" w:hint="eastAsia"/>
          <w:sz w:val="32"/>
          <w:szCs w:val="32"/>
        </w:rPr>
        <w:t>支出</w:t>
      </w:r>
      <w:r>
        <w:rPr>
          <w:rFonts w:eastAsia="仿宋_GB2312"/>
          <w:sz w:val="32"/>
          <w:szCs w:val="32"/>
        </w:rPr>
        <w:t>（类）行政事业单位养老支出（款）行政单位离退休（项）：</w:t>
      </w:r>
      <w:r>
        <w:rPr>
          <w:rFonts w:eastAsia="仿宋_GB2312" w:cs="仿宋_GB2312" w:hint="eastAsia"/>
          <w:sz w:val="32"/>
          <w:szCs w:val="32"/>
        </w:rPr>
        <w:t>反映事业单位开支的离退休经费。</w:t>
      </w:r>
    </w:p>
    <w:p w:rsidR="00202486" w:rsidRDefault="004C76F3">
      <w:pPr>
        <w:ind w:firstLineChars="200" w:firstLine="640"/>
        <w:rPr>
          <w:rFonts w:eastAsia="仿宋_GB2312"/>
          <w:sz w:val="32"/>
          <w:szCs w:val="32"/>
        </w:rPr>
      </w:pPr>
      <w:r>
        <w:rPr>
          <w:rFonts w:eastAsia="仿宋_GB2312"/>
          <w:sz w:val="32"/>
          <w:szCs w:val="32"/>
        </w:rPr>
        <w:t>8</w:t>
      </w:r>
      <w:r>
        <w:rPr>
          <w:rFonts w:eastAsia="仿宋_GB2312"/>
          <w:sz w:val="32"/>
          <w:szCs w:val="32"/>
        </w:rPr>
        <w:t>．社会保障和就业</w:t>
      </w:r>
      <w:r>
        <w:rPr>
          <w:rFonts w:eastAsia="仿宋_GB2312" w:hint="eastAsia"/>
          <w:sz w:val="32"/>
          <w:szCs w:val="32"/>
        </w:rPr>
        <w:t>支出</w:t>
      </w:r>
      <w:r>
        <w:rPr>
          <w:rFonts w:eastAsia="仿宋_GB2312"/>
          <w:sz w:val="32"/>
          <w:szCs w:val="32"/>
        </w:rPr>
        <w:t>（类）行政事业单位养老支出（款）机关事业单位基本养老保险缴费支出（项）：</w:t>
      </w:r>
      <w:r>
        <w:rPr>
          <w:rFonts w:eastAsia="仿宋_GB2312" w:cs="仿宋_GB2312" w:hint="eastAsia"/>
          <w:sz w:val="32"/>
          <w:szCs w:val="32"/>
        </w:rPr>
        <w:t>反映机关事业单位实施养老保险制度由单位缴纳的基本养老保险费支出。</w:t>
      </w:r>
    </w:p>
    <w:p w:rsidR="00202486" w:rsidRDefault="004C76F3">
      <w:pPr>
        <w:ind w:firstLineChars="200" w:firstLine="640"/>
        <w:rPr>
          <w:rFonts w:eastAsia="仿宋_GB2312"/>
          <w:sz w:val="32"/>
          <w:szCs w:val="32"/>
        </w:rPr>
      </w:pPr>
      <w:r>
        <w:rPr>
          <w:rFonts w:eastAsia="仿宋_GB2312"/>
          <w:sz w:val="32"/>
          <w:szCs w:val="32"/>
        </w:rPr>
        <w:t>9</w:t>
      </w:r>
      <w:r>
        <w:rPr>
          <w:rFonts w:eastAsia="仿宋_GB2312"/>
          <w:sz w:val="32"/>
          <w:szCs w:val="32"/>
        </w:rPr>
        <w:t>．住房保障支出（类）住房改革支出（款）住房公积金（项）：</w:t>
      </w:r>
      <w:r>
        <w:rPr>
          <w:rFonts w:eastAsia="仿宋_GB2312" w:hint="eastAsia"/>
          <w:sz w:val="32"/>
          <w:szCs w:val="32"/>
        </w:rPr>
        <w:t>反映行政事业单位</w:t>
      </w:r>
      <w:r>
        <w:rPr>
          <w:rFonts w:eastAsia="仿宋_GB2312"/>
          <w:sz w:val="32"/>
          <w:szCs w:val="32"/>
        </w:rPr>
        <w:t>按人力资源和社会保障部、财政部规定的基本工资和津贴补贴以及规定比例为职工缴纳的住房公积金。</w:t>
      </w:r>
    </w:p>
    <w:p w:rsidR="00202486" w:rsidRDefault="004C76F3">
      <w:pPr>
        <w:ind w:firstLineChars="200" w:firstLine="640"/>
        <w:rPr>
          <w:rFonts w:eastAsia="仿宋_GB2312"/>
          <w:sz w:val="32"/>
          <w:szCs w:val="32"/>
        </w:rPr>
      </w:pPr>
      <w:r>
        <w:rPr>
          <w:rFonts w:eastAsia="仿宋_GB2312"/>
          <w:sz w:val="32"/>
          <w:szCs w:val="32"/>
        </w:rPr>
        <w:t>10</w:t>
      </w:r>
      <w:r>
        <w:rPr>
          <w:rFonts w:eastAsia="仿宋_GB2312"/>
          <w:sz w:val="32"/>
          <w:szCs w:val="32"/>
        </w:rPr>
        <w:t>．基本支出：指为保障机构正常运转、完成日常工作任务而发生的人员支出和公用支</w:t>
      </w:r>
      <w:r>
        <w:rPr>
          <w:rFonts w:eastAsia="仿宋_GB2312"/>
          <w:sz w:val="32"/>
          <w:szCs w:val="32"/>
        </w:rPr>
        <w:t>出。</w:t>
      </w:r>
    </w:p>
    <w:p w:rsidR="00202486" w:rsidRDefault="004C76F3">
      <w:pPr>
        <w:ind w:firstLineChars="200" w:firstLine="640"/>
        <w:rPr>
          <w:rFonts w:eastAsia="仿宋_GB2312"/>
          <w:sz w:val="32"/>
          <w:szCs w:val="32"/>
        </w:rPr>
      </w:pPr>
      <w:r>
        <w:rPr>
          <w:rFonts w:eastAsia="仿宋_GB2312"/>
          <w:sz w:val="32"/>
          <w:szCs w:val="32"/>
        </w:rPr>
        <w:t>11</w:t>
      </w:r>
      <w:r>
        <w:rPr>
          <w:rFonts w:eastAsia="仿宋_GB2312"/>
          <w:sz w:val="32"/>
          <w:szCs w:val="32"/>
        </w:rPr>
        <w:t>．项目支出：指在基本支出之外为完成特定行政任务和事业发展目标所发生的支出。</w:t>
      </w:r>
    </w:p>
    <w:p w:rsidR="00202486" w:rsidRDefault="004C76F3">
      <w:pPr>
        <w:ind w:firstLineChars="200" w:firstLine="640"/>
        <w:rPr>
          <w:rFonts w:eastAsia="仿宋_GB2312"/>
          <w:sz w:val="32"/>
          <w:szCs w:val="32"/>
        </w:rPr>
      </w:pPr>
      <w:r>
        <w:rPr>
          <w:rFonts w:eastAsia="仿宋_GB2312"/>
          <w:sz w:val="32"/>
          <w:szCs w:val="32"/>
        </w:rPr>
        <w:t>12</w:t>
      </w:r>
      <w:r>
        <w:rPr>
          <w:rFonts w:eastAsia="仿宋_GB2312"/>
          <w:sz w:val="32"/>
          <w:szCs w:val="32"/>
        </w:rPr>
        <w:t>．</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02486" w:rsidRDefault="00202486">
      <w:pPr>
        <w:pStyle w:val="Default"/>
        <w:ind w:firstLineChars="200" w:firstLine="640"/>
        <w:rPr>
          <w:rFonts w:ascii="Times New Roman" w:eastAsia="方正仿宋_GB2312" w:hAnsi="Times New Roman" w:cs="Times New Roman"/>
          <w:color w:val="auto"/>
          <w:sz w:val="32"/>
          <w:szCs w:val="32"/>
        </w:rPr>
      </w:pPr>
    </w:p>
    <w:p w:rsidR="00202486" w:rsidRDefault="00202486">
      <w:pPr>
        <w:jc w:val="center"/>
        <w:outlineLvl w:val="0"/>
        <w:rPr>
          <w:rFonts w:eastAsia="黑体"/>
          <w:sz w:val="44"/>
          <w:szCs w:val="44"/>
        </w:rPr>
      </w:pPr>
      <w:bookmarkStart w:id="67" w:name="_Toc151"/>
      <w:bookmarkStart w:id="68" w:name="_Toc15396614"/>
      <w:bookmarkStart w:id="69" w:name="_Toc15377226"/>
    </w:p>
    <w:p w:rsidR="00202486" w:rsidRDefault="00202486">
      <w:pPr>
        <w:jc w:val="center"/>
        <w:outlineLvl w:val="0"/>
        <w:rPr>
          <w:rFonts w:eastAsia="黑体"/>
          <w:sz w:val="44"/>
          <w:szCs w:val="44"/>
        </w:rPr>
      </w:pPr>
    </w:p>
    <w:p w:rsidR="00202486" w:rsidRDefault="00202486">
      <w:pPr>
        <w:jc w:val="center"/>
        <w:outlineLvl w:val="0"/>
        <w:rPr>
          <w:rFonts w:eastAsia="黑体"/>
          <w:sz w:val="44"/>
          <w:szCs w:val="44"/>
        </w:rPr>
      </w:pPr>
    </w:p>
    <w:p w:rsidR="00202486" w:rsidRDefault="00202486">
      <w:pPr>
        <w:jc w:val="center"/>
        <w:outlineLvl w:val="0"/>
        <w:rPr>
          <w:rFonts w:eastAsia="黑体"/>
          <w:sz w:val="44"/>
          <w:szCs w:val="44"/>
        </w:rPr>
      </w:pPr>
    </w:p>
    <w:p w:rsidR="00202486" w:rsidRDefault="00202486">
      <w:pPr>
        <w:jc w:val="center"/>
        <w:outlineLvl w:val="0"/>
        <w:rPr>
          <w:rFonts w:eastAsia="黑体"/>
          <w:sz w:val="44"/>
          <w:szCs w:val="44"/>
        </w:rPr>
      </w:pPr>
    </w:p>
    <w:p w:rsidR="00202486" w:rsidRDefault="00202486">
      <w:pPr>
        <w:jc w:val="center"/>
        <w:outlineLvl w:val="0"/>
        <w:rPr>
          <w:rFonts w:eastAsia="黑体"/>
          <w:sz w:val="44"/>
          <w:szCs w:val="44"/>
        </w:rPr>
      </w:pPr>
    </w:p>
    <w:p w:rsidR="00202486" w:rsidRDefault="00202486">
      <w:pPr>
        <w:pStyle w:val="a0"/>
        <w:spacing w:before="93"/>
      </w:pPr>
    </w:p>
    <w:p w:rsidR="00202486" w:rsidRDefault="00202486">
      <w:pPr>
        <w:pStyle w:val="a0"/>
        <w:spacing w:before="93"/>
      </w:pPr>
    </w:p>
    <w:p w:rsidR="00202486" w:rsidRDefault="00202486">
      <w:pPr>
        <w:jc w:val="center"/>
        <w:outlineLvl w:val="0"/>
        <w:rPr>
          <w:rFonts w:eastAsia="黑体"/>
          <w:sz w:val="44"/>
          <w:szCs w:val="44"/>
        </w:rPr>
      </w:pPr>
    </w:p>
    <w:p w:rsidR="00202486" w:rsidRDefault="004C76F3">
      <w:pPr>
        <w:numPr>
          <w:ilvl w:val="0"/>
          <w:numId w:val="2"/>
        </w:numPr>
        <w:ind w:firstLineChars="150" w:firstLine="660"/>
        <w:jc w:val="center"/>
        <w:outlineLvl w:val="0"/>
        <w:rPr>
          <w:rStyle w:val="1Char"/>
          <w:rFonts w:eastAsia="黑体"/>
          <w:b w:val="0"/>
        </w:rPr>
      </w:pPr>
      <w:r>
        <w:rPr>
          <w:rStyle w:val="1Char"/>
          <w:rFonts w:eastAsia="黑体" w:hAnsi="黑体"/>
          <w:b w:val="0"/>
        </w:rPr>
        <w:t>附件</w:t>
      </w:r>
      <w:bookmarkStart w:id="70" w:name="_Toc15396618"/>
      <w:bookmarkEnd w:id="67"/>
      <w:bookmarkEnd w:id="68"/>
    </w:p>
    <w:p w:rsidR="00202486" w:rsidRDefault="00202486">
      <w:pPr>
        <w:outlineLvl w:val="0"/>
        <w:rPr>
          <w:rFonts w:eastAsia="方正仿宋_GB2312"/>
          <w:kern w:val="0"/>
          <w:sz w:val="32"/>
          <w:szCs w:val="32"/>
        </w:rPr>
      </w:pPr>
    </w:p>
    <w:p w:rsidR="00202486" w:rsidRDefault="004C76F3">
      <w:pPr>
        <w:ind w:firstLineChars="200" w:firstLine="640"/>
        <w:rPr>
          <w:rFonts w:eastAsia="仿宋_GB2312"/>
          <w:sz w:val="32"/>
          <w:szCs w:val="32"/>
        </w:rPr>
      </w:pPr>
      <w:r>
        <w:rPr>
          <w:rFonts w:eastAsia="仿宋_GB2312"/>
          <w:sz w:val="32"/>
          <w:szCs w:val="32"/>
        </w:rPr>
        <w:t>部门预算项目支出绩效自评表（</w:t>
      </w:r>
      <w:r>
        <w:rPr>
          <w:rFonts w:eastAsia="仿宋_GB2312"/>
          <w:sz w:val="32"/>
          <w:szCs w:val="32"/>
        </w:rPr>
        <w:t>2022</w:t>
      </w:r>
      <w:r>
        <w:rPr>
          <w:rFonts w:eastAsia="仿宋_GB2312"/>
          <w:sz w:val="32"/>
          <w:szCs w:val="32"/>
        </w:rPr>
        <w:t>年度）见附件</w:t>
      </w:r>
      <w:r>
        <w:rPr>
          <w:rFonts w:eastAsia="仿宋_GB2312"/>
          <w:sz w:val="32"/>
          <w:szCs w:val="32"/>
        </w:rPr>
        <w:t>3</w:t>
      </w:r>
      <w:r>
        <w:rPr>
          <w:rFonts w:eastAsia="仿宋_GB2312"/>
          <w:sz w:val="32"/>
          <w:szCs w:val="32"/>
        </w:rPr>
        <w:t>。</w:t>
      </w:r>
    </w:p>
    <w:p w:rsidR="00202486" w:rsidRDefault="00202486">
      <w:pPr>
        <w:jc w:val="left"/>
        <w:rPr>
          <w:rFonts w:eastAsia="仿宋_GB2312"/>
          <w:kern w:val="0"/>
          <w:sz w:val="32"/>
          <w:szCs w:val="32"/>
        </w:rPr>
      </w:pPr>
    </w:p>
    <w:p w:rsidR="00202486" w:rsidRDefault="00202486">
      <w:pPr>
        <w:pStyle w:val="a0"/>
        <w:spacing w:before="93"/>
        <w:rPr>
          <w:rFonts w:ascii="Times New Roman"/>
          <w:sz w:val="32"/>
          <w:szCs w:val="32"/>
        </w:rPr>
      </w:pPr>
    </w:p>
    <w:p w:rsidR="00202486" w:rsidRDefault="00202486">
      <w:pPr>
        <w:pStyle w:val="a0"/>
        <w:spacing w:before="93"/>
        <w:rPr>
          <w:rFonts w:ascii="Times New Roman"/>
          <w:sz w:val="32"/>
          <w:szCs w:val="32"/>
        </w:rPr>
      </w:pPr>
    </w:p>
    <w:p w:rsidR="00202486" w:rsidRDefault="00202486">
      <w:pPr>
        <w:pStyle w:val="a0"/>
        <w:spacing w:before="93"/>
        <w:rPr>
          <w:rFonts w:ascii="Times New Roman"/>
          <w:sz w:val="32"/>
          <w:szCs w:val="32"/>
        </w:rPr>
      </w:pPr>
    </w:p>
    <w:p w:rsidR="00202486" w:rsidRDefault="00202486">
      <w:pPr>
        <w:pStyle w:val="a0"/>
        <w:spacing w:before="93"/>
        <w:rPr>
          <w:rFonts w:ascii="Times New Roman"/>
          <w:sz w:val="32"/>
          <w:szCs w:val="32"/>
        </w:rPr>
      </w:pPr>
    </w:p>
    <w:p w:rsidR="00202486" w:rsidRDefault="00202486">
      <w:pPr>
        <w:pStyle w:val="a0"/>
        <w:spacing w:before="93"/>
        <w:rPr>
          <w:rFonts w:ascii="Times New Roman"/>
          <w:sz w:val="32"/>
          <w:szCs w:val="32"/>
        </w:rPr>
      </w:pPr>
    </w:p>
    <w:p w:rsidR="00202486" w:rsidRDefault="00202486">
      <w:pPr>
        <w:pStyle w:val="a0"/>
        <w:spacing w:before="93"/>
        <w:rPr>
          <w:rFonts w:ascii="Times New Roman"/>
          <w:sz w:val="32"/>
          <w:szCs w:val="32"/>
        </w:rPr>
      </w:pPr>
    </w:p>
    <w:p w:rsidR="00202486" w:rsidRDefault="00202486">
      <w:pPr>
        <w:pStyle w:val="a0"/>
        <w:spacing w:before="93"/>
        <w:rPr>
          <w:rFonts w:ascii="Times New Roman"/>
          <w:sz w:val="32"/>
          <w:szCs w:val="32"/>
        </w:rPr>
      </w:pPr>
    </w:p>
    <w:p w:rsidR="00202486" w:rsidRDefault="00202486">
      <w:pPr>
        <w:pStyle w:val="a0"/>
        <w:spacing w:before="93"/>
        <w:rPr>
          <w:rFonts w:ascii="Times New Roman"/>
          <w:sz w:val="32"/>
          <w:szCs w:val="32"/>
        </w:rPr>
      </w:pPr>
    </w:p>
    <w:p w:rsidR="00202486" w:rsidRDefault="00202486">
      <w:pPr>
        <w:pStyle w:val="a0"/>
        <w:spacing w:before="93"/>
        <w:rPr>
          <w:rFonts w:ascii="Times New Roman"/>
          <w:sz w:val="32"/>
          <w:szCs w:val="32"/>
        </w:rPr>
      </w:pPr>
    </w:p>
    <w:p w:rsidR="00202486" w:rsidRDefault="00202486">
      <w:pPr>
        <w:pStyle w:val="a0"/>
        <w:spacing w:before="93"/>
        <w:rPr>
          <w:rFonts w:ascii="Times New Roman"/>
          <w:sz w:val="32"/>
          <w:szCs w:val="32"/>
        </w:rPr>
      </w:pPr>
    </w:p>
    <w:p w:rsidR="00202486" w:rsidRDefault="00202486">
      <w:pPr>
        <w:pStyle w:val="a0"/>
        <w:spacing w:before="93"/>
        <w:rPr>
          <w:rFonts w:ascii="Times New Roman"/>
          <w:sz w:val="32"/>
          <w:szCs w:val="32"/>
        </w:rPr>
      </w:pPr>
    </w:p>
    <w:p w:rsidR="00202486" w:rsidRDefault="00202486">
      <w:pPr>
        <w:jc w:val="center"/>
        <w:outlineLvl w:val="0"/>
        <w:rPr>
          <w:rFonts w:eastAsia="黑体"/>
          <w:sz w:val="44"/>
          <w:szCs w:val="44"/>
        </w:rPr>
      </w:pPr>
      <w:bookmarkStart w:id="71" w:name="_Toc13309"/>
    </w:p>
    <w:p w:rsidR="00202486" w:rsidRDefault="00202486">
      <w:pPr>
        <w:jc w:val="center"/>
        <w:outlineLvl w:val="0"/>
        <w:rPr>
          <w:rFonts w:eastAsia="黑体"/>
          <w:sz w:val="44"/>
          <w:szCs w:val="44"/>
        </w:rPr>
      </w:pPr>
    </w:p>
    <w:p w:rsidR="00202486" w:rsidRDefault="00202486">
      <w:pPr>
        <w:jc w:val="center"/>
        <w:outlineLvl w:val="0"/>
        <w:rPr>
          <w:rFonts w:eastAsia="黑体"/>
          <w:sz w:val="44"/>
          <w:szCs w:val="44"/>
        </w:rPr>
      </w:pPr>
    </w:p>
    <w:p w:rsidR="00202486" w:rsidRDefault="00202486">
      <w:pPr>
        <w:jc w:val="center"/>
        <w:outlineLvl w:val="0"/>
        <w:rPr>
          <w:rFonts w:eastAsia="黑体"/>
          <w:sz w:val="44"/>
          <w:szCs w:val="44"/>
        </w:rPr>
      </w:pPr>
    </w:p>
    <w:p w:rsidR="00202486" w:rsidRDefault="00202486">
      <w:pPr>
        <w:jc w:val="center"/>
        <w:outlineLvl w:val="0"/>
        <w:rPr>
          <w:rFonts w:eastAsia="黑体"/>
          <w:sz w:val="44"/>
          <w:szCs w:val="44"/>
        </w:rPr>
      </w:pPr>
    </w:p>
    <w:p w:rsidR="00202486" w:rsidRDefault="004C76F3">
      <w:pPr>
        <w:jc w:val="center"/>
        <w:outlineLvl w:val="0"/>
        <w:rPr>
          <w:rFonts w:eastAsia="仿宋"/>
        </w:rPr>
      </w:pPr>
      <w:r>
        <w:rPr>
          <w:rFonts w:eastAsia="黑体" w:hAnsi="黑体"/>
          <w:sz w:val="44"/>
          <w:szCs w:val="44"/>
        </w:rPr>
        <w:t>第</w:t>
      </w:r>
      <w:r>
        <w:rPr>
          <w:rStyle w:val="1Char"/>
          <w:rFonts w:eastAsia="黑体" w:hAnsi="黑体"/>
          <w:b w:val="0"/>
        </w:rPr>
        <w:t>五部分附表</w:t>
      </w:r>
      <w:bookmarkStart w:id="72" w:name="_Toc15396619"/>
      <w:bookmarkEnd w:id="69"/>
      <w:bookmarkEnd w:id="70"/>
      <w:bookmarkEnd w:id="71"/>
    </w:p>
    <w:p w:rsidR="00202486" w:rsidRDefault="004C76F3">
      <w:pPr>
        <w:pStyle w:val="2"/>
        <w:spacing w:line="240" w:lineRule="auto"/>
        <w:rPr>
          <w:rFonts w:ascii="Times New Roman" w:eastAsia="方正仿宋_GB2312" w:hAnsi="Times New Roman" w:cs="Times New Roman"/>
        </w:rPr>
      </w:pPr>
      <w:bookmarkStart w:id="73" w:name="_Toc30316"/>
      <w:r>
        <w:rPr>
          <w:rFonts w:ascii="Times New Roman" w:eastAsia="方正仿宋_GB2312" w:hAnsi="方正仿宋_GB2312" w:cs="Times New Roman"/>
          <w:b w:val="0"/>
        </w:rPr>
        <w:t>一、收</w:t>
      </w:r>
      <w:r>
        <w:rPr>
          <w:rStyle w:val="2Char"/>
          <w:rFonts w:ascii="Times New Roman" w:eastAsia="方正仿宋_GB2312" w:hAnsi="方正仿宋_GB2312" w:cs="Times New Roman"/>
        </w:rPr>
        <w:t>入支出决算总表</w:t>
      </w:r>
      <w:bookmarkEnd w:id="72"/>
      <w:bookmarkEnd w:id="73"/>
    </w:p>
    <w:p w:rsidR="00202486" w:rsidRDefault="004C76F3">
      <w:pPr>
        <w:pStyle w:val="2"/>
        <w:spacing w:line="240" w:lineRule="auto"/>
        <w:rPr>
          <w:rFonts w:ascii="Times New Roman" w:eastAsia="方正仿宋_GB2312" w:hAnsi="Times New Roman" w:cs="Times New Roman"/>
        </w:rPr>
      </w:pPr>
      <w:bookmarkStart w:id="74" w:name="_Toc15396620"/>
      <w:bookmarkStart w:id="75" w:name="_Toc12522"/>
      <w:r>
        <w:rPr>
          <w:rFonts w:ascii="Times New Roman" w:eastAsia="方正仿宋_GB2312" w:hAnsi="方正仿宋_GB2312" w:cs="Times New Roman"/>
          <w:b w:val="0"/>
        </w:rPr>
        <w:t>二、收</w:t>
      </w:r>
      <w:r>
        <w:rPr>
          <w:rStyle w:val="2Char"/>
          <w:rFonts w:ascii="Times New Roman" w:eastAsia="方正仿宋_GB2312" w:hAnsi="方正仿宋_GB2312" w:cs="Times New Roman"/>
        </w:rPr>
        <w:t>入决算表</w:t>
      </w:r>
      <w:bookmarkEnd w:id="74"/>
      <w:bookmarkEnd w:id="75"/>
    </w:p>
    <w:p w:rsidR="00202486" w:rsidRDefault="004C76F3">
      <w:pPr>
        <w:pStyle w:val="2"/>
        <w:spacing w:line="240" w:lineRule="auto"/>
        <w:rPr>
          <w:rFonts w:ascii="Times New Roman" w:eastAsia="方正仿宋_GB2312" w:hAnsi="Times New Roman" w:cs="Times New Roman"/>
        </w:rPr>
      </w:pPr>
      <w:bookmarkStart w:id="76" w:name="_Toc15396621"/>
      <w:bookmarkStart w:id="77" w:name="_Toc29956"/>
      <w:r>
        <w:rPr>
          <w:rStyle w:val="2Char"/>
          <w:rFonts w:ascii="Times New Roman" w:eastAsia="方正仿宋_GB2312" w:hAnsi="方正仿宋_GB2312" w:cs="Times New Roman"/>
        </w:rPr>
        <w:t>三、</w:t>
      </w:r>
      <w:r>
        <w:rPr>
          <w:rFonts w:ascii="Times New Roman" w:eastAsia="方正仿宋_GB2312" w:hAnsi="方正仿宋_GB2312" w:cs="Times New Roman"/>
          <w:b w:val="0"/>
        </w:rPr>
        <w:t>支</w:t>
      </w:r>
      <w:r>
        <w:rPr>
          <w:rStyle w:val="2Char"/>
          <w:rFonts w:ascii="Times New Roman" w:eastAsia="方正仿宋_GB2312" w:hAnsi="方正仿宋_GB2312" w:cs="Times New Roman"/>
        </w:rPr>
        <w:t>出决算表</w:t>
      </w:r>
      <w:bookmarkEnd w:id="76"/>
      <w:bookmarkEnd w:id="77"/>
    </w:p>
    <w:p w:rsidR="00202486" w:rsidRDefault="004C76F3">
      <w:pPr>
        <w:pStyle w:val="2"/>
        <w:spacing w:line="240" w:lineRule="auto"/>
        <w:rPr>
          <w:rFonts w:ascii="Times New Roman" w:eastAsia="方正仿宋_GB2312" w:hAnsi="Times New Roman" w:cs="Times New Roman"/>
          <w:b w:val="0"/>
        </w:rPr>
      </w:pPr>
      <w:bookmarkStart w:id="78" w:name="_Toc15396622"/>
      <w:bookmarkStart w:id="79" w:name="_Toc9003"/>
      <w:r>
        <w:rPr>
          <w:rStyle w:val="2Char"/>
          <w:rFonts w:ascii="Times New Roman" w:eastAsia="方正仿宋_GB2312" w:hAnsi="方正仿宋_GB2312" w:cs="Times New Roman"/>
        </w:rPr>
        <w:t>四、</w:t>
      </w:r>
      <w:r>
        <w:rPr>
          <w:rFonts w:ascii="Times New Roman" w:eastAsia="方正仿宋_GB2312" w:hAnsi="方正仿宋_GB2312" w:cs="Times New Roman"/>
          <w:b w:val="0"/>
        </w:rPr>
        <w:t>财</w:t>
      </w:r>
      <w:r>
        <w:rPr>
          <w:rStyle w:val="2Char"/>
          <w:rFonts w:ascii="Times New Roman" w:eastAsia="方正仿宋_GB2312" w:hAnsi="方正仿宋_GB2312" w:cs="Times New Roman"/>
        </w:rPr>
        <w:t>政拨款收入支出决算总表</w:t>
      </w:r>
      <w:bookmarkEnd w:id="78"/>
      <w:bookmarkEnd w:id="79"/>
    </w:p>
    <w:p w:rsidR="00202486" w:rsidRDefault="004C76F3">
      <w:pPr>
        <w:pStyle w:val="2"/>
        <w:spacing w:line="240" w:lineRule="auto"/>
        <w:rPr>
          <w:rStyle w:val="2Char"/>
          <w:rFonts w:ascii="Times New Roman" w:eastAsia="方正仿宋_GB2312" w:hAnsi="Times New Roman" w:cs="Times New Roman"/>
        </w:rPr>
      </w:pPr>
      <w:bookmarkStart w:id="80" w:name="_Toc15396623"/>
      <w:bookmarkStart w:id="81" w:name="_Toc27077"/>
      <w:r>
        <w:rPr>
          <w:rStyle w:val="2Char"/>
          <w:rFonts w:ascii="Times New Roman" w:eastAsia="方正仿宋_GB2312" w:hAnsi="方正仿宋_GB2312" w:cs="Times New Roman"/>
        </w:rPr>
        <w:t>五、</w:t>
      </w:r>
      <w:r>
        <w:rPr>
          <w:rFonts w:ascii="Times New Roman" w:eastAsia="方正仿宋_GB2312" w:hAnsi="方正仿宋_GB2312" w:cs="Times New Roman"/>
          <w:b w:val="0"/>
        </w:rPr>
        <w:t>财</w:t>
      </w:r>
      <w:r>
        <w:rPr>
          <w:rStyle w:val="2Char"/>
          <w:rFonts w:ascii="Times New Roman" w:eastAsia="方正仿宋_GB2312" w:hAnsi="方正仿宋_GB2312" w:cs="Times New Roman"/>
        </w:rPr>
        <w:t>政拨款支出决算明细表</w:t>
      </w:r>
      <w:bookmarkStart w:id="82" w:name="_Toc15396624"/>
      <w:bookmarkEnd w:id="80"/>
      <w:bookmarkEnd w:id="81"/>
    </w:p>
    <w:p w:rsidR="00202486" w:rsidRDefault="004C76F3">
      <w:pPr>
        <w:pStyle w:val="2"/>
        <w:spacing w:line="240" w:lineRule="auto"/>
        <w:rPr>
          <w:rFonts w:ascii="Times New Roman" w:eastAsia="方正仿宋_GB2312" w:hAnsi="Times New Roman" w:cs="Times New Roman"/>
        </w:rPr>
      </w:pPr>
      <w:bookmarkStart w:id="83" w:name="_Toc8567"/>
      <w:r>
        <w:rPr>
          <w:rStyle w:val="2Char"/>
          <w:rFonts w:ascii="Times New Roman" w:eastAsia="方正仿宋_GB2312" w:hAnsi="方正仿宋_GB2312" w:cs="Times New Roman"/>
        </w:rPr>
        <w:t>六、</w:t>
      </w:r>
      <w:r>
        <w:rPr>
          <w:rFonts w:ascii="Times New Roman" w:eastAsia="方正仿宋_GB2312" w:hAnsi="方正仿宋_GB2312" w:cs="Times New Roman"/>
          <w:b w:val="0"/>
        </w:rPr>
        <w:t>一</w:t>
      </w:r>
      <w:r>
        <w:rPr>
          <w:rStyle w:val="2Char"/>
          <w:rFonts w:ascii="Times New Roman" w:eastAsia="方正仿宋_GB2312" w:hAnsi="方正仿宋_GB2312" w:cs="Times New Roman"/>
        </w:rPr>
        <w:t>般公共预算财政拨款支出决算表</w:t>
      </w:r>
      <w:bookmarkEnd w:id="82"/>
      <w:bookmarkEnd w:id="83"/>
    </w:p>
    <w:p w:rsidR="00202486" w:rsidRDefault="004C76F3">
      <w:pPr>
        <w:pStyle w:val="2"/>
        <w:spacing w:line="240" w:lineRule="auto"/>
        <w:rPr>
          <w:rFonts w:ascii="Times New Roman" w:eastAsia="方正仿宋_GB2312" w:hAnsi="Times New Roman" w:cs="Times New Roman"/>
        </w:rPr>
      </w:pPr>
      <w:bookmarkStart w:id="84" w:name="_Toc15396625"/>
      <w:bookmarkStart w:id="85" w:name="_Toc7120"/>
      <w:r>
        <w:rPr>
          <w:rStyle w:val="2Char"/>
          <w:rFonts w:ascii="Times New Roman" w:eastAsia="方正仿宋_GB2312" w:hAnsi="方正仿宋_GB2312" w:cs="Times New Roman"/>
        </w:rPr>
        <w:t>七、</w:t>
      </w:r>
      <w:r>
        <w:rPr>
          <w:rFonts w:ascii="Times New Roman" w:eastAsia="方正仿宋_GB2312" w:hAnsi="方正仿宋_GB2312" w:cs="Times New Roman"/>
          <w:b w:val="0"/>
        </w:rPr>
        <w:t>一</w:t>
      </w:r>
      <w:r>
        <w:rPr>
          <w:rStyle w:val="2Char"/>
          <w:rFonts w:ascii="Times New Roman" w:eastAsia="方正仿宋_GB2312" w:hAnsi="方正仿宋_GB2312" w:cs="Times New Roman"/>
        </w:rPr>
        <w:t>般公共预算财政拨款支出决算明细表</w:t>
      </w:r>
      <w:bookmarkEnd w:id="84"/>
      <w:bookmarkEnd w:id="85"/>
    </w:p>
    <w:p w:rsidR="00202486" w:rsidRDefault="004C76F3">
      <w:pPr>
        <w:pStyle w:val="2"/>
        <w:spacing w:line="240" w:lineRule="auto"/>
        <w:rPr>
          <w:rFonts w:ascii="Times New Roman" w:eastAsia="方正仿宋_GB2312" w:hAnsi="Times New Roman" w:cs="Times New Roman"/>
        </w:rPr>
      </w:pPr>
      <w:bookmarkStart w:id="86" w:name="_Toc15396626"/>
      <w:bookmarkStart w:id="87" w:name="_Toc15527"/>
      <w:r>
        <w:rPr>
          <w:rStyle w:val="2Char"/>
          <w:rFonts w:ascii="Times New Roman" w:eastAsia="方正仿宋_GB2312" w:hAnsi="方正仿宋_GB2312" w:cs="Times New Roman"/>
        </w:rPr>
        <w:t>八、</w:t>
      </w:r>
      <w:r>
        <w:rPr>
          <w:rFonts w:ascii="Times New Roman" w:eastAsia="方正仿宋_GB2312" w:hAnsi="方正仿宋_GB2312" w:cs="Times New Roman"/>
          <w:b w:val="0"/>
        </w:rPr>
        <w:t>一</w:t>
      </w:r>
      <w:r>
        <w:rPr>
          <w:rStyle w:val="2Char"/>
          <w:rFonts w:ascii="Times New Roman" w:eastAsia="方正仿宋_GB2312" w:hAnsi="方正仿宋_GB2312" w:cs="Times New Roman"/>
        </w:rPr>
        <w:t>般公共预算财政拨款基本支出决算明细表</w:t>
      </w:r>
      <w:bookmarkEnd w:id="86"/>
      <w:bookmarkEnd w:id="87"/>
    </w:p>
    <w:p w:rsidR="00202486" w:rsidRDefault="004C76F3">
      <w:pPr>
        <w:pStyle w:val="2"/>
        <w:spacing w:line="240" w:lineRule="auto"/>
        <w:rPr>
          <w:rFonts w:ascii="Times New Roman" w:eastAsia="方正仿宋_GB2312" w:hAnsi="Times New Roman" w:cs="Times New Roman"/>
        </w:rPr>
      </w:pPr>
      <w:bookmarkStart w:id="88" w:name="_Toc15396627"/>
      <w:bookmarkStart w:id="89" w:name="_Toc3563"/>
      <w:r>
        <w:rPr>
          <w:rStyle w:val="2Char"/>
          <w:rFonts w:ascii="Times New Roman" w:eastAsia="方正仿宋_GB2312" w:hAnsi="方正仿宋_GB2312" w:cs="Times New Roman"/>
        </w:rPr>
        <w:t>九、</w:t>
      </w:r>
      <w:r>
        <w:rPr>
          <w:rFonts w:ascii="Times New Roman" w:eastAsia="方正仿宋_GB2312" w:hAnsi="方正仿宋_GB2312" w:cs="Times New Roman"/>
          <w:b w:val="0"/>
        </w:rPr>
        <w:t>一</w:t>
      </w:r>
      <w:r>
        <w:rPr>
          <w:rStyle w:val="2Char"/>
          <w:rFonts w:ascii="Times New Roman" w:eastAsia="方正仿宋_GB2312" w:hAnsi="方正仿宋_GB2312" w:cs="Times New Roman"/>
        </w:rPr>
        <w:t>般公共预算财政拨款项目支出决算表</w:t>
      </w:r>
      <w:bookmarkEnd w:id="88"/>
      <w:bookmarkEnd w:id="89"/>
    </w:p>
    <w:p w:rsidR="00202486" w:rsidRDefault="004C76F3">
      <w:pPr>
        <w:pStyle w:val="2"/>
        <w:spacing w:line="240" w:lineRule="auto"/>
        <w:rPr>
          <w:rFonts w:ascii="Times New Roman" w:eastAsia="方正仿宋_GB2312" w:hAnsi="Times New Roman" w:cs="Times New Roman"/>
        </w:rPr>
      </w:pPr>
      <w:bookmarkStart w:id="90" w:name="_Toc15396628"/>
      <w:bookmarkStart w:id="91" w:name="_Toc5234"/>
      <w:r>
        <w:rPr>
          <w:rStyle w:val="2Char"/>
          <w:rFonts w:ascii="Times New Roman" w:eastAsia="方正仿宋_GB2312" w:hAnsi="方正仿宋_GB2312" w:cs="Times New Roman"/>
        </w:rPr>
        <w:t>十、</w:t>
      </w:r>
      <w:bookmarkEnd w:id="90"/>
      <w:r>
        <w:rPr>
          <w:rFonts w:ascii="Times New Roman" w:eastAsia="方正仿宋_GB2312" w:hAnsi="方正仿宋_GB2312" w:cs="Times New Roman"/>
          <w:b w:val="0"/>
        </w:rPr>
        <w:t>政</w:t>
      </w:r>
      <w:r>
        <w:rPr>
          <w:rStyle w:val="2Char"/>
          <w:rFonts w:ascii="Times New Roman" w:eastAsia="方正仿宋_GB2312" w:hAnsi="方正仿宋_GB2312" w:cs="Times New Roman"/>
        </w:rPr>
        <w:t>府性基金预算财政拨款收入支出决算表</w:t>
      </w:r>
      <w:bookmarkEnd w:id="91"/>
      <w:r>
        <w:rPr>
          <w:rStyle w:val="2Char"/>
          <w:rFonts w:ascii="Times New Roman" w:eastAsia="方正仿宋_GB2312" w:hAnsi="方正仿宋_GB2312" w:cs="Times New Roman"/>
        </w:rPr>
        <w:t>（此表无数据）</w:t>
      </w:r>
    </w:p>
    <w:p w:rsidR="00202486" w:rsidRDefault="004C76F3">
      <w:pPr>
        <w:pStyle w:val="2"/>
        <w:spacing w:line="240" w:lineRule="auto"/>
        <w:rPr>
          <w:rFonts w:ascii="Times New Roman" w:eastAsia="方正仿宋_GB2312" w:hAnsi="Times New Roman" w:cs="Times New Roman"/>
        </w:rPr>
      </w:pPr>
      <w:bookmarkStart w:id="92" w:name="_Toc15396629"/>
      <w:bookmarkStart w:id="93" w:name="_Toc4309"/>
      <w:r>
        <w:rPr>
          <w:rStyle w:val="2Char"/>
          <w:rFonts w:ascii="Times New Roman" w:eastAsia="方正仿宋_GB2312" w:hAnsi="方正仿宋_GB2312" w:cs="Times New Roman"/>
        </w:rPr>
        <w:t>十一、</w:t>
      </w:r>
      <w:bookmarkEnd w:id="92"/>
      <w:r>
        <w:rPr>
          <w:rFonts w:ascii="Times New Roman" w:eastAsia="方正仿宋_GB2312" w:hAnsi="方正仿宋_GB2312" w:cs="Times New Roman"/>
          <w:b w:val="0"/>
        </w:rPr>
        <w:t>国</w:t>
      </w:r>
      <w:r>
        <w:rPr>
          <w:rStyle w:val="2Char"/>
          <w:rFonts w:ascii="Times New Roman" w:eastAsia="方正仿宋_GB2312" w:hAnsi="方正仿宋_GB2312" w:cs="Times New Roman"/>
        </w:rPr>
        <w:t>有资本经营预算财政拨款收入支出决算表</w:t>
      </w:r>
      <w:bookmarkEnd w:id="93"/>
      <w:r>
        <w:rPr>
          <w:rStyle w:val="2Char"/>
          <w:rFonts w:ascii="Times New Roman" w:eastAsia="方正仿宋_GB2312" w:hAnsi="方正仿宋_GB2312" w:cs="Times New Roman"/>
        </w:rPr>
        <w:t>（此表无数据）</w:t>
      </w:r>
    </w:p>
    <w:p w:rsidR="00202486" w:rsidRDefault="004C76F3">
      <w:pPr>
        <w:pStyle w:val="2"/>
        <w:spacing w:line="240" w:lineRule="auto"/>
        <w:rPr>
          <w:rFonts w:ascii="Times New Roman" w:eastAsia="方正仿宋_GB2312" w:hAnsi="Times New Roman" w:cs="Times New Roman"/>
        </w:rPr>
      </w:pPr>
      <w:bookmarkStart w:id="94" w:name="_Toc15396630"/>
      <w:bookmarkStart w:id="95" w:name="_Toc12022"/>
      <w:r>
        <w:rPr>
          <w:rStyle w:val="2Char"/>
          <w:rFonts w:ascii="Times New Roman" w:eastAsia="方正仿宋_GB2312" w:hAnsi="方正仿宋_GB2312" w:cs="Times New Roman"/>
        </w:rPr>
        <w:t>十二、</w:t>
      </w:r>
      <w:bookmarkEnd w:id="94"/>
      <w:r>
        <w:rPr>
          <w:rStyle w:val="2Char"/>
          <w:rFonts w:ascii="Times New Roman" w:eastAsia="方正仿宋_GB2312" w:hAnsi="方正仿宋_GB2312" w:cs="Times New Roman"/>
        </w:rPr>
        <w:t>国有资本经营预算财政拨款支出决算表</w:t>
      </w:r>
      <w:bookmarkEnd w:id="95"/>
      <w:r>
        <w:rPr>
          <w:rStyle w:val="2Char"/>
          <w:rFonts w:ascii="Times New Roman" w:eastAsia="方正仿宋_GB2312" w:hAnsi="方正仿宋_GB2312" w:cs="Times New Roman"/>
        </w:rPr>
        <w:t>（此表无数据）</w:t>
      </w:r>
    </w:p>
    <w:p w:rsidR="00202486" w:rsidRDefault="004C76F3">
      <w:pPr>
        <w:pStyle w:val="2"/>
        <w:spacing w:line="240" w:lineRule="auto"/>
        <w:rPr>
          <w:rFonts w:ascii="Times New Roman" w:eastAsia="方正仿宋_GB2312" w:hAnsi="Times New Roman" w:cs="Times New Roman"/>
        </w:rPr>
      </w:pPr>
      <w:bookmarkStart w:id="96" w:name="_Toc15396631"/>
      <w:bookmarkStart w:id="97" w:name="_Toc4386"/>
      <w:r>
        <w:rPr>
          <w:rStyle w:val="2Char"/>
          <w:rFonts w:ascii="Times New Roman" w:eastAsia="方正仿宋_GB2312" w:hAnsi="方正仿宋_GB2312" w:cs="Times New Roman"/>
        </w:rPr>
        <w:t>十三、</w:t>
      </w:r>
      <w:bookmarkEnd w:id="96"/>
      <w:r>
        <w:rPr>
          <w:rStyle w:val="2Char"/>
          <w:rFonts w:ascii="Times New Roman" w:eastAsia="方正仿宋_GB2312" w:hAnsi="方正仿宋_GB2312" w:cs="Times New Roman"/>
        </w:rPr>
        <w:t>财政拨款</w:t>
      </w:r>
      <w:r>
        <w:rPr>
          <w:rStyle w:val="2Char"/>
          <w:rFonts w:ascii="Times New Roman" w:eastAsia="方正仿宋_GB2312" w:hAnsi="Times New Roman" w:cs="Times New Roman"/>
        </w:rPr>
        <w:t>“</w:t>
      </w:r>
      <w:r>
        <w:rPr>
          <w:rStyle w:val="2Char"/>
          <w:rFonts w:ascii="Times New Roman" w:eastAsia="方正仿宋_GB2312" w:hAnsi="方正仿宋_GB2312" w:cs="Times New Roman"/>
        </w:rPr>
        <w:t>三公</w:t>
      </w:r>
      <w:r>
        <w:rPr>
          <w:rStyle w:val="2Char"/>
          <w:rFonts w:ascii="Times New Roman" w:eastAsia="方正仿宋_GB2312" w:hAnsi="Times New Roman" w:cs="Times New Roman"/>
        </w:rPr>
        <w:t>”</w:t>
      </w:r>
      <w:r>
        <w:rPr>
          <w:rStyle w:val="2Char"/>
          <w:rFonts w:ascii="Times New Roman" w:eastAsia="方正仿宋_GB2312" w:hAnsi="方正仿宋_GB2312" w:cs="Times New Roman"/>
        </w:rPr>
        <w:t>经费支出决算表</w:t>
      </w:r>
      <w:bookmarkEnd w:id="97"/>
    </w:p>
    <w:p w:rsidR="00202486" w:rsidRDefault="00202486"/>
    <w:sectPr w:rsidR="00202486" w:rsidSect="00202486">
      <w:footerReference w:type="default" r:id="rId23"/>
      <w:footerReference w:type="first" r:id="rId24"/>
      <w:pgSz w:w="11906" w:h="16838"/>
      <w:pgMar w:top="1440" w:right="1080" w:bottom="1440" w:left="108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486" w:rsidRDefault="00202486" w:rsidP="00202486">
      <w:r>
        <w:separator/>
      </w:r>
    </w:p>
  </w:endnote>
  <w:endnote w:type="continuationSeparator" w:id="1">
    <w:p w:rsidR="00202486" w:rsidRDefault="00202486" w:rsidP="00202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4486748-3EB3-41E4-B79E-2C76B9517868}"/>
    <w:embedBold r:id="rId2" w:subsetted="1" w:fontKey="{22DD0267-3346-47BE-88BC-3A94C2D941C5}"/>
  </w:font>
  <w:font w:name="Calibri">
    <w:panose1 w:val="020F0502020204030204"/>
    <w:charset w:val="00"/>
    <w:family w:val="swiss"/>
    <w:pitch w:val="variable"/>
    <w:sig w:usb0="E00002FF" w:usb1="4000ACFF" w:usb2="00000001" w:usb3="00000000" w:csb0="0000019F" w:csb1="00000000"/>
    <w:embedRegular r:id="rId3" w:subsetted="1" w:fontKey="{D25C3637-7043-42AE-9ADE-933B127B25C6}"/>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embedRegular r:id="rId4" w:subsetted="1" w:fontKey="{112D1726-5EDC-4287-8FA7-F79B5E684EDB}"/>
  </w:font>
  <w:font w:name="仿宋">
    <w:panose1 w:val="02010609060101010101"/>
    <w:charset w:val="86"/>
    <w:family w:val="modern"/>
    <w:pitch w:val="fixed"/>
    <w:sig w:usb0="800002BF" w:usb1="38CF7CFA" w:usb2="00000016" w:usb3="00000000" w:csb0="00040001" w:csb1="00000000"/>
    <w:embedRegular r:id="rId5" w:subsetted="1" w:fontKey="{8634AB9B-1A2C-4615-A686-4859DB76C997}"/>
    <w:embedBold r:id="rId6" w:subsetted="1" w:fontKey="{69CC6687-00DE-41C7-9DAA-CEF5086A3DBC}"/>
  </w:font>
  <w:font w:name="方正小标宋_GBK">
    <w:panose1 w:val="03000509000000000000"/>
    <w:charset w:val="86"/>
    <w:family w:val="script"/>
    <w:pitch w:val="fixed"/>
    <w:sig w:usb0="00000001" w:usb1="080E0000" w:usb2="00000010" w:usb3="00000000" w:csb0="00040000" w:csb1="00000000"/>
    <w:embedRegular r:id="rId7" w:subsetted="1" w:fontKey="{455DD684-EDA7-4C15-A6E7-1E82C625B51E}"/>
  </w:font>
  <w:font w:name="方正仿宋_GB2312">
    <w:altName w:val="仿宋"/>
    <w:charset w:val="86"/>
    <w:family w:val="auto"/>
    <w:pitch w:val="default"/>
    <w:sig w:usb0="00000000" w:usb1="00000000" w:usb2="00000012" w:usb3="00000000" w:csb0="00040001" w:csb1="00000000"/>
    <w:embedRegular r:id="rId8" w:subsetted="1" w:fontKey="{1A9900F8-726B-485F-A16E-D8C8CF14D6FF}"/>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86" w:rsidRDefault="0020248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86" w:rsidRDefault="00202486">
    <w:pPr>
      <w:pStyle w:val="a5"/>
      <w:jc w:val="center"/>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202486" w:rsidRDefault="00202486">
                <w:pPr>
                  <w:pStyle w:val="a5"/>
                  <w:jc w:val="center"/>
                </w:pPr>
                <w:r>
                  <w:fldChar w:fldCharType="begin"/>
                </w:r>
                <w:r w:rsidR="004C76F3">
                  <w:instrText>PAGE   \* MERGEFORMAT</w:instrText>
                </w:r>
                <w:r>
                  <w:fldChar w:fldCharType="separate"/>
                </w:r>
                <w:r w:rsidR="004C76F3">
                  <w:rPr>
                    <w:lang w:val="zh-CN"/>
                  </w:rPr>
                  <w:t>15</w:t>
                </w:r>
                <w:r>
                  <w:fldChar w:fldCharType="end"/>
                </w:r>
              </w:p>
            </w:txbxContent>
          </v:textbox>
          <w10:wrap anchorx="margin"/>
        </v:shape>
      </w:pict>
    </w:r>
  </w:p>
  <w:p w:rsidR="00202486" w:rsidRDefault="0020248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6F3" w:rsidRDefault="004C76F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86" w:rsidRDefault="00202486">
    <w:pPr>
      <w:pStyle w:val="a5"/>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mso-width-relative:page;mso-height-relative:page" filled="f" stroked="f" strokeweight=".5pt">
          <v:textbox style="mso-fit-shape-to-text:t" inset="0,0,0,0">
            <w:txbxContent>
              <w:p w:rsidR="00202486" w:rsidRDefault="00202486">
                <w:pPr>
                  <w:pStyle w:val="a5"/>
                  <w:jc w:val="center"/>
                </w:pPr>
                <w:r>
                  <w:fldChar w:fldCharType="begin"/>
                </w:r>
                <w:r w:rsidR="004C76F3">
                  <w:instrText>PAGE   \* MERGEFORMAT</w:instrText>
                </w:r>
                <w:r>
                  <w:fldChar w:fldCharType="separate"/>
                </w:r>
                <w:r w:rsidR="004C76F3">
                  <w:rPr>
                    <w:lang w:val="zh-CN"/>
                  </w:rPr>
                  <w:t>15</w:t>
                </w:r>
                <w:r>
                  <w:fldChar w:fldCharType="end"/>
                </w:r>
              </w:p>
              <w:p w:rsidR="00202486" w:rsidRDefault="00202486">
                <w:pPr>
                  <w:pStyle w:val="a0"/>
                  <w:spacing w:before="72"/>
                </w:pPr>
              </w:p>
            </w:txbxContent>
          </v:textbox>
          <w10:wrap anchorx="margin"/>
        </v:shape>
      </w:pict>
    </w:r>
  </w:p>
  <w:p w:rsidR="00202486" w:rsidRDefault="00202486">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86" w:rsidRDefault="00202486">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62336;mso-wrap-style:none;mso-position-horizontal:center;mso-position-horizontal-relative:margin;mso-width-relative:page;mso-height-relative:page" filled="f" stroked="f" strokeweight=".5pt">
          <v:textbox style="mso-fit-shape-to-text:t" inset="0,0,0,0">
            <w:txbxContent>
              <w:p w:rsidR="00202486" w:rsidRDefault="00202486">
                <w:pPr>
                  <w:pStyle w:val="a5"/>
                </w:pPr>
                <w:r>
                  <w:fldChar w:fldCharType="begin"/>
                </w:r>
                <w:r w:rsidR="004C76F3">
                  <w:instrText xml:space="preserve"> PAGE  \* MERGEFORMAT </w:instrText>
                </w:r>
                <w:r>
                  <w:fldChar w:fldCharType="separate"/>
                </w:r>
                <w:r w:rsidR="004C76F3">
                  <w:rPr>
                    <w:noProof/>
                  </w:rPr>
                  <w:t>2</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86" w:rsidRDefault="00202486">
    <w:pPr>
      <w:pStyle w:val="a5"/>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filled="f" stroked="f" strokeweight=".5pt">
          <v:textbox style="mso-fit-shape-to-text:t" inset="0,0,0,0">
            <w:txbxContent>
              <w:sdt>
                <w:sdtPr>
                  <w:id w:val="-1994781956"/>
                </w:sdtPr>
                <w:sdtContent>
                  <w:p w:rsidR="00202486" w:rsidRDefault="00202486">
                    <w:pPr>
                      <w:pStyle w:val="a5"/>
                      <w:jc w:val="center"/>
                    </w:pPr>
                    <w:r>
                      <w:fldChar w:fldCharType="begin"/>
                    </w:r>
                    <w:r w:rsidR="004C76F3">
                      <w:instrText>PAGE   \* MERGEFORMAT</w:instrText>
                    </w:r>
                    <w:r>
                      <w:fldChar w:fldCharType="separate"/>
                    </w:r>
                    <w:r w:rsidR="004C76F3" w:rsidRPr="004C76F3">
                      <w:rPr>
                        <w:noProof/>
                        <w:lang w:val="zh-CN"/>
                      </w:rPr>
                      <w:t>17</w:t>
                    </w:r>
                    <w:r>
                      <w:fldChar w:fldCharType="end"/>
                    </w:r>
                  </w:p>
                </w:sdtContent>
              </w:sdt>
              <w:p w:rsidR="00202486" w:rsidRDefault="00202486">
                <w:pPr>
                  <w:pStyle w:val="a0"/>
                  <w:spacing w:before="72"/>
                </w:pPr>
              </w:p>
            </w:txbxContent>
          </v:textbox>
          <w10:wrap anchorx="margin"/>
        </v:shape>
      </w:pict>
    </w:r>
  </w:p>
  <w:p w:rsidR="00202486" w:rsidRDefault="00202486">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86" w:rsidRDefault="00202486">
    <w:pPr>
      <w:pStyle w:val="a5"/>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mso-width-relative:page;mso-height-relative:page" filled="f" stroked="f" strokeweight=".5pt">
          <v:textbox style="mso-fit-shape-to-text:t" inset="0,0,0,0">
            <w:txbxContent>
              <w:p w:rsidR="00202486" w:rsidRDefault="00202486">
                <w:pPr>
                  <w:pStyle w:val="a5"/>
                </w:pPr>
                <w:r>
                  <w:fldChar w:fldCharType="begin"/>
                </w:r>
                <w:r w:rsidR="004C76F3">
                  <w:instrText xml:space="preserve"> PAGE  \* MERGEFORMAT </w:instrText>
                </w:r>
                <w:r>
                  <w:fldChar w:fldCharType="separate"/>
                </w:r>
                <w:r w:rsidR="004C76F3">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486" w:rsidRDefault="00202486" w:rsidP="00202486">
      <w:r>
        <w:separator/>
      </w:r>
    </w:p>
  </w:footnote>
  <w:footnote w:type="continuationSeparator" w:id="1">
    <w:p w:rsidR="00202486" w:rsidRDefault="00202486" w:rsidP="00202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86" w:rsidRDefault="002024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86" w:rsidRDefault="00202486">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6F3" w:rsidRDefault="004C76F3" w:rsidP="004C76F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2EBBDC"/>
    <w:multiLevelType w:val="singleLevel"/>
    <w:tmpl w:val="962EBBDC"/>
    <w:lvl w:ilvl="0">
      <w:start w:val="4"/>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3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VmOTI3YTc4NDYwNTNlOTE3YjdkYWU4ZDk5YTU5NjEifQ=="/>
  </w:docVars>
  <w:rsids>
    <w:rsidRoot w:val="7A0D776D"/>
    <w:rsid w:val="00040272"/>
    <w:rsid w:val="00060C33"/>
    <w:rsid w:val="00144EC6"/>
    <w:rsid w:val="001F6A7D"/>
    <w:rsid w:val="00202486"/>
    <w:rsid w:val="003C7990"/>
    <w:rsid w:val="004C76F3"/>
    <w:rsid w:val="006115B8"/>
    <w:rsid w:val="006240C3"/>
    <w:rsid w:val="007E25CD"/>
    <w:rsid w:val="00953743"/>
    <w:rsid w:val="00AF4438"/>
    <w:rsid w:val="00B73D64"/>
    <w:rsid w:val="00C630B8"/>
    <w:rsid w:val="00C744B9"/>
    <w:rsid w:val="00CA3B66"/>
    <w:rsid w:val="00D62097"/>
    <w:rsid w:val="00E80536"/>
    <w:rsid w:val="00EF22BC"/>
    <w:rsid w:val="00F02AD1"/>
    <w:rsid w:val="00F82F5C"/>
    <w:rsid w:val="00FC6FFA"/>
    <w:rsid w:val="00FE2E93"/>
    <w:rsid w:val="04352CB9"/>
    <w:rsid w:val="04CB559B"/>
    <w:rsid w:val="09385C0D"/>
    <w:rsid w:val="0DE97FB1"/>
    <w:rsid w:val="13197B1C"/>
    <w:rsid w:val="1E8A260F"/>
    <w:rsid w:val="2108070B"/>
    <w:rsid w:val="2A1B77AD"/>
    <w:rsid w:val="2DE76771"/>
    <w:rsid w:val="305C66DF"/>
    <w:rsid w:val="328A577B"/>
    <w:rsid w:val="342414B3"/>
    <w:rsid w:val="3891486E"/>
    <w:rsid w:val="3E7C38CA"/>
    <w:rsid w:val="41243590"/>
    <w:rsid w:val="4714323A"/>
    <w:rsid w:val="49283521"/>
    <w:rsid w:val="50487AB0"/>
    <w:rsid w:val="514D361B"/>
    <w:rsid w:val="561E2C36"/>
    <w:rsid w:val="5C4C5CA1"/>
    <w:rsid w:val="5C810EF2"/>
    <w:rsid w:val="606D7AE9"/>
    <w:rsid w:val="608C4704"/>
    <w:rsid w:val="63D7745D"/>
    <w:rsid w:val="64F14763"/>
    <w:rsid w:val="6C81537D"/>
    <w:rsid w:val="6F413BF1"/>
    <w:rsid w:val="6F723081"/>
    <w:rsid w:val="70E85334"/>
    <w:rsid w:val="75324707"/>
    <w:rsid w:val="77155B11"/>
    <w:rsid w:val="7A0D776D"/>
    <w:rsid w:val="7B4D16A8"/>
    <w:rsid w:val="7C444D20"/>
    <w:rsid w:val="7EFF6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0248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024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024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rsid w:val="002024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202486"/>
    <w:pPr>
      <w:spacing w:beforeLines="30"/>
    </w:pPr>
    <w:rPr>
      <w:rFonts w:ascii="仿宋_GB2312" w:eastAsia="仿宋_GB2312"/>
      <w:kern w:val="0"/>
      <w:sz w:val="30"/>
    </w:rPr>
  </w:style>
  <w:style w:type="paragraph" w:styleId="a4">
    <w:name w:val="Balloon Text"/>
    <w:basedOn w:val="a"/>
    <w:link w:val="Char"/>
    <w:qFormat/>
    <w:rsid w:val="00202486"/>
    <w:rPr>
      <w:sz w:val="18"/>
      <w:szCs w:val="18"/>
    </w:rPr>
  </w:style>
  <w:style w:type="paragraph" w:styleId="a5">
    <w:name w:val="footer"/>
    <w:basedOn w:val="a"/>
    <w:uiPriority w:val="99"/>
    <w:qFormat/>
    <w:rsid w:val="00202486"/>
    <w:pPr>
      <w:tabs>
        <w:tab w:val="center" w:pos="4153"/>
        <w:tab w:val="right" w:pos="8306"/>
      </w:tabs>
      <w:snapToGrid w:val="0"/>
      <w:jc w:val="left"/>
    </w:pPr>
    <w:rPr>
      <w:rFonts w:ascii="Calibri" w:hAnsi="Calibri"/>
      <w:kern w:val="0"/>
      <w:sz w:val="18"/>
      <w:szCs w:val="18"/>
    </w:rPr>
  </w:style>
  <w:style w:type="paragraph" w:styleId="a6">
    <w:name w:val="header"/>
    <w:basedOn w:val="a"/>
    <w:uiPriority w:val="99"/>
    <w:semiHidden/>
    <w:qFormat/>
    <w:rsid w:val="0020248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202486"/>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202486"/>
    <w:pPr>
      <w:tabs>
        <w:tab w:val="right" w:leader="dot" w:pos="8296"/>
      </w:tabs>
      <w:ind w:leftChars="200" w:left="420"/>
    </w:pPr>
  </w:style>
  <w:style w:type="character" w:styleId="a7">
    <w:name w:val="Strong"/>
    <w:basedOn w:val="a1"/>
    <w:uiPriority w:val="99"/>
    <w:qFormat/>
    <w:rsid w:val="00202486"/>
    <w:rPr>
      <w:b/>
    </w:rPr>
  </w:style>
  <w:style w:type="character" w:customStyle="1" w:styleId="1Char">
    <w:name w:val="标题 1 Char"/>
    <w:basedOn w:val="a1"/>
    <w:link w:val="1"/>
    <w:uiPriority w:val="9"/>
    <w:qFormat/>
    <w:rsid w:val="00202486"/>
    <w:rPr>
      <w:b/>
      <w:bCs/>
      <w:kern w:val="44"/>
      <w:sz w:val="44"/>
      <w:szCs w:val="44"/>
    </w:rPr>
  </w:style>
  <w:style w:type="character" w:customStyle="1" w:styleId="2Char">
    <w:name w:val="标题 2 Char"/>
    <w:basedOn w:val="a1"/>
    <w:link w:val="2"/>
    <w:uiPriority w:val="9"/>
    <w:qFormat/>
    <w:rsid w:val="00202486"/>
    <w:rPr>
      <w:rFonts w:asciiTheme="majorHAnsi" w:eastAsiaTheme="majorEastAsia" w:hAnsiTheme="majorHAnsi" w:cstheme="majorBidi"/>
      <w:b/>
      <w:bCs/>
      <w:sz w:val="32"/>
      <w:szCs w:val="32"/>
    </w:rPr>
  </w:style>
  <w:style w:type="paragraph" w:styleId="a8">
    <w:name w:val="List Paragraph"/>
    <w:basedOn w:val="a"/>
    <w:uiPriority w:val="34"/>
    <w:qFormat/>
    <w:rsid w:val="00202486"/>
    <w:pPr>
      <w:ind w:firstLineChars="200" w:firstLine="420"/>
    </w:pPr>
  </w:style>
  <w:style w:type="paragraph" w:customStyle="1" w:styleId="Default">
    <w:name w:val="Default"/>
    <w:uiPriority w:val="99"/>
    <w:qFormat/>
    <w:rsid w:val="00202486"/>
    <w:pPr>
      <w:widowControl w:val="0"/>
      <w:autoSpaceDE w:val="0"/>
      <w:autoSpaceDN w:val="0"/>
      <w:adjustRightInd w:val="0"/>
    </w:pPr>
    <w:rPr>
      <w:rFonts w:ascii="仿宋" w:eastAsia="仿宋" w:hAnsi="Calibri" w:cs="仿宋"/>
      <w:color w:val="000000"/>
      <w:sz w:val="24"/>
      <w:szCs w:val="24"/>
    </w:rPr>
  </w:style>
  <w:style w:type="character" w:customStyle="1" w:styleId="Char">
    <w:name w:val="批注框文本 Char"/>
    <w:basedOn w:val="a1"/>
    <w:link w:val="a4"/>
    <w:qFormat/>
    <w:rsid w:val="0020248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hart" Target="charts/chart7.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2&#24180;&#20915;&#31639;&#22270;&#34920;-&#26412;&#324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2270;&#34920;-&#26412;&#324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2&#24180;&#20915;&#31639;&#22270;&#34920;-&#26412;&#324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2&#24180;&#20915;&#31639;&#22270;&#34920;-&#26412;&#324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2&#24180;&#20915;&#31639;&#22270;&#34920;-&#26412;&#32423;.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Administrator\Desktop\2022&#24180;&#20915;&#31639;&#22270;&#34920;-&#26412;&#32423;.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2&#24180;&#20915;&#31639;&#22270;&#34920;-&#26412;&#324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收、支决算总计变动情况图</a:t>
            </a:r>
          </a:p>
        </c:rich>
      </c:tx>
    </c:title>
    <c:plotArea>
      <c:layout/>
      <c:barChart>
        <c:barDir val="col"/>
        <c:grouping val="clustered"/>
        <c:ser>
          <c:idx val="0"/>
          <c:order val="0"/>
          <c:tx>
            <c:strRef>
              <c:f>'[2022年决算图表-本级.xlsx]收支决算总计'!$A$2</c:f>
              <c:strCache>
                <c:ptCount val="1"/>
                <c:pt idx="0">
                  <c:v>全年收入总计</c:v>
                </c:pt>
              </c:strCache>
            </c:strRef>
          </c:tx>
          <c:cat>
            <c:strRef>
              <c:f>'[2022年决算图表-本级.xlsx]收支决算总计'!$B$1:$E$1</c:f>
              <c:strCache>
                <c:ptCount val="4"/>
                <c:pt idx="0">
                  <c:v>2021年</c:v>
                </c:pt>
                <c:pt idx="1">
                  <c:v>2022年</c:v>
                </c:pt>
                <c:pt idx="2">
                  <c:v>同比增减额</c:v>
                </c:pt>
                <c:pt idx="3">
                  <c:v>同比增减率</c:v>
                </c:pt>
              </c:strCache>
            </c:strRef>
          </c:cat>
          <c:val>
            <c:numRef>
              <c:f>'[2022年决算图表-本级.xlsx]收支决算总计'!$B$2:$E$2</c:f>
              <c:numCache>
                <c:formatCode>#,##0.00</c:formatCode>
                <c:ptCount val="4"/>
                <c:pt idx="0">
                  <c:v>761.8</c:v>
                </c:pt>
                <c:pt idx="1">
                  <c:v>741.25</c:v>
                </c:pt>
                <c:pt idx="2" formatCode="0.00_ ">
                  <c:v>-20.55</c:v>
                </c:pt>
                <c:pt idx="3" formatCode="0.00%">
                  <c:v>-2.6975584142819611E-2</c:v>
                </c:pt>
              </c:numCache>
            </c:numRef>
          </c:val>
        </c:ser>
        <c:ser>
          <c:idx val="1"/>
          <c:order val="1"/>
          <c:tx>
            <c:strRef>
              <c:f>'[2022年决算图表-本级.xlsx]收支决算总计'!$A$3</c:f>
              <c:strCache>
                <c:ptCount val="1"/>
                <c:pt idx="0">
                  <c:v>全年支出总计</c:v>
                </c:pt>
              </c:strCache>
            </c:strRef>
          </c:tx>
          <c:cat>
            <c:strRef>
              <c:f>'[2022年决算图表-本级.xlsx]收支决算总计'!$B$1:$E$1</c:f>
              <c:strCache>
                <c:ptCount val="4"/>
                <c:pt idx="0">
                  <c:v>2021年</c:v>
                </c:pt>
                <c:pt idx="1">
                  <c:v>2022年</c:v>
                </c:pt>
                <c:pt idx="2">
                  <c:v>同比增减额</c:v>
                </c:pt>
                <c:pt idx="3">
                  <c:v>同比增减率</c:v>
                </c:pt>
              </c:strCache>
            </c:strRef>
          </c:cat>
          <c:val>
            <c:numRef>
              <c:f>'[2022年决算图表-本级.xlsx]收支决算总计'!$B$3:$E$3</c:f>
              <c:numCache>
                <c:formatCode>#,##0.00</c:formatCode>
                <c:ptCount val="4"/>
                <c:pt idx="0">
                  <c:v>761.8</c:v>
                </c:pt>
                <c:pt idx="1">
                  <c:v>741.25</c:v>
                </c:pt>
                <c:pt idx="2" formatCode="0.00_ ">
                  <c:v>-20.55</c:v>
                </c:pt>
                <c:pt idx="3" formatCode="0.00%">
                  <c:v>-2.6975584142819611E-2</c:v>
                </c:pt>
              </c:numCache>
            </c:numRef>
          </c:val>
        </c:ser>
        <c:dLbls/>
        <c:axId val="88426368"/>
        <c:axId val="88427904"/>
        <c:extLst>
          <c:ext xmlns:c15="http://schemas.microsoft.com/office/drawing/2012/chart" uri="{02D57815-91ED-43cb-92C2-25804820EDAC}">
            <c15:filteredBarSeries>
              <c15:ser>
                <c:idx val="2"/>
                <c:order val="2"/>
                <c:tx>
                  <c:strRef>
                    <c:extLst>
                      <c:ext uri="{02D57815-91ED-43cb-92C2-25804820EDAC}">
                        <c15:formulaRef>
                          <c15:sqref>'[2022年决算图表-本级.xlsx]收支决算总计'!#REF!</c15:sqref>
                        </c15:formulaRef>
                      </c:ext>
                    </c:extLst>
                    <c:strCache>
                      <c:ptCount val="1"/>
                      <c:pt idx="0">
                        <c:v/>
                      </c:pt>
                    </c:strCache>
                  </c:strRef>
                </c:tx>
                <c:invertIfNegative val="0"/>
                <c:dLbls>
                  <c:delete val="1"/>
                </c:dLbls>
                <c:cat>
                  <c:strRef>
                    <c:extLst>
                      <c:ext uri="{02D57815-91ED-43cb-92C2-25804820EDAC}">
                        <c15:fullRef>
                          <c15:sqref/>
                        </c15:fullRef>
                        <c15:formulaRef>
                          <c15:sqref>'[2022年决算图表-本级.xlsx]收支决算总计'!$B$1:$E$1</c15:sqref>
                        </c15:formulaRef>
                      </c:ext>
                    </c:extLst>
                    <c:strCache>
                      <c:ptCount val="4"/>
                      <c:pt idx="0">
                        <c:v>2021年</c:v>
                      </c:pt>
                      <c:pt idx="1">
                        <c:v>2022年</c:v>
                      </c:pt>
                      <c:pt idx="2">
                        <c:v>同比增减额</c:v>
                      </c:pt>
                      <c:pt idx="3">
                        <c:v>同比增减率</c:v>
                      </c:pt>
                    </c:strCache>
                  </c:strRef>
                </c:cat>
                <c:val>
                  <c:numRef>
                    <c:extLst>
                      <c:ext uri="{02D57815-91ED-43cb-92C2-25804820EDAC}">
                        <c15:formulaRef>
                          <c15:sqref>{1}</c15:sqref>
                        </c15:formulaRef>
                      </c:ext>
                    </c:extLst>
                    <c:numCache>
                      <c:formatCode>General</c:formatCode>
                      <c:ptCount val="1"/>
                      <c:pt idx="0">
                        <c:v>1</c:v>
                      </c:pt>
                    </c:numCache>
                  </c:numRef>
                </c:val>
              </c15:ser>
            </c15:filteredBarSeries>
          </c:ext>
        </c:extLst>
      </c:barChart>
      <c:catAx>
        <c:axId val="88426368"/>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8427904"/>
        <c:crosses val="autoZero"/>
        <c:auto val="1"/>
        <c:lblAlgn val="ctr"/>
        <c:lblOffset val="100"/>
      </c:catAx>
      <c:valAx>
        <c:axId val="88427904"/>
        <c:scaling>
          <c:orientation val="minMax"/>
        </c:scaling>
        <c:axPos val="l"/>
        <c:majorGridlines/>
        <c:title>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numFmt formatCode="#,##0.00"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842636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dTable>
    </c:plotArea>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800" b="1" i="0" u="none" strike="noStrike" kern="1200" cap="all" baseline="0">
                <a:solidFill>
                  <a:schemeClr val="tx1">
                    <a:lumMod val="65000"/>
                    <a:lumOff val="35000"/>
                  </a:schemeClr>
                </a:solidFill>
                <a:latin typeface="+mn-lt"/>
                <a:ea typeface="+mn-ea"/>
                <a:cs typeface="+mn-cs"/>
              </a:defRPr>
            </a:pPr>
            <a:r>
              <a:t>收入决算结构图</a:t>
            </a:r>
          </a:p>
        </c:rich>
      </c:tx>
      <c:layout>
        <c:manualLayout>
          <c:xMode val="edge"/>
          <c:yMode val="edge"/>
          <c:x val="0.36097222222222208"/>
          <c:y val="2.7777777777777905E-2"/>
        </c:manualLayout>
      </c:layout>
      <c:spPr>
        <a:noFill/>
        <a:ln>
          <a:noFill/>
        </a:ln>
        <a:effectLst/>
      </c:spPr>
    </c:title>
    <c:view3D>
      <c:rotX val="30"/>
      <c:depthPercent val="100"/>
      <c:perspective val="30"/>
    </c:view3D>
    <c:floor>
      <c:spPr>
        <a:noFill/>
        <a:effectLst/>
      </c:spPr>
    </c:floor>
    <c:sideWall>
      <c:spPr>
        <a:noFill/>
        <a:effectLst/>
      </c:spPr>
    </c:sideWall>
    <c:backWall>
      <c:spPr>
        <a:noFill/>
        <a:effectLst/>
      </c:spPr>
    </c:backWall>
    <c:plotArea>
      <c:layout/>
      <c:pie3DChart>
        <c:varyColors val="1"/>
        <c:ser>
          <c:idx val="0"/>
          <c:order val="0"/>
          <c:tx>
            <c:strRef>
              <c:f>'[2022年决算图表-本级.xlsx]收入决算结构'!$A$1</c:f>
              <c:strCache>
                <c:ptCount val="1"/>
                <c:pt idx="0">
                  <c:v>一般公共预算财政拨款收入</c:v>
                </c:pt>
              </c:strCache>
            </c:strRef>
          </c:tx>
          <c:spPr>
            <a:scene3d>
              <a:camera prst="orthographicFront"/>
              <a:lightRig rig="threePt" dir="t"/>
            </a:scene3d>
            <a:sp3d contourW="19050"/>
          </c:spPr>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c:spPr>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c:spPr>
          </c:dPt>
          <c:dLbls>
            <c:dLbl>
              <c:idx val="0"/>
              <c:delete val="1"/>
            </c:dLbl>
            <c:dLbl>
              <c:idx val="1"/>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2"/>
                        </a:solidFill>
                        <a:effectLst/>
                        <a:latin typeface="+mn-lt"/>
                        <a:ea typeface="+mn-ea"/>
                        <a:cs typeface="+mn-cs"/>
                      </a:defRPr>
                    </a:pPr>
                    <a:r>
                      <a:t>一般公共预算财政拨款收入</a:t>
                    </a:r>
                    <a:r>
                      <a:rPr lang="en-US" altLang="zh-CN"/>
                      <a:t>100</a:t>
                    </a:r>
                    <a:r>
                      <a:t>%</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dLblPos val="inEnd"/>
              <c:showCatName val="1"/>
              <c:showPercent val="1"/>
              <c:separator>
</c:separator>
              <c:extLst>
                <c:ext xmlns:c15="http://schemas.microsoft.com/office/drawing/2012/chart" uri="{CE6537A1-D6FC-4f65-9D91-7224C49458BB}">
                  <c15:layout>
                    <c:manualLayout>
                      <c:w val="0.391944444444444"/>
                      <c:h val="0.125462962962963"/>
                    </c:manualLayout>
                  </c15:layout>
                </c:ext>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inEnd"/>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'[2022年决算图表-本级.xlsx]收入决算结构'!$B$1:$C$1</c:f>
              <c:numCache>
                <c:formatCode>_ * #,##0.00_ ;_ * \-#,##0.00_ ;_ * "-"??_ ;_ @_ </c:formatCode>
                <c:ptCount val="2"/>
                <c:pt idx="0" formatCode="0.00%">
                  <c:v>1</c:v>
                </c:pt>
                <c:pt idx="1">
                  <c:v>727.85999999999888</c:v>
                </c:pt>
              </c:numCache>
            </c:numRef>
          </c:val>
        </c:ser>
        <c:ser>
          <c:idx val="1"/>
          <c:order val="1"/>
          <c:tx>
            <c:strRef>
              <c:f>'[2022年决算图表-本级.xlsx]收入决算结构'!$A$2</c:f>
              <c:strCache>
                <c:ptCount val="1"/>
                <c:pt idx="0">
                  <c:v>其他收入</c:v>
                </c:pt>
              </c:strCache>
            </c:strRef>
          </c:tx>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c:spPr>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inEnd"/>
              <c:showCatName val="1"/>
              <c:showPercent val="1"/>
              <c:separator>
</c:separator>
              <c:extLst>
                <c:ext xmlns:c15="http://schemas.microsoft.com/office/drawing/2012/chart" uri="{CE6537A1-D6FC-4f65-9D91-7224C49458BB}"/>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endParaRPr lang="zh-CN"/>
              </a:p>
            </c:txPr>
            <c:dLblPos val="inEnd"/>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'[2022年决算图表-本级.xlsx]收入决算结构'!$B$2:$C$2</c:f>
              <c:numCache>
                <c:formatCode>_ * #,##0.00_ ;_ * \-#,##0.00_ ;_ * "-"??_ ;_ @_ </c:formatCode>
                <c:ptCount val="2"/>
                <c:pt idx="0" formatCode="0.00%">
                  <c:v>0</c:v>
                </c:pt>
                <c:pt idx="1">
                  <c:v>0</c:v>
                </c:pt>
              </c:numCache>
            </c:numRef>
          </c:val>
        </c:ser>
        <c:ser>
          <c:idx val="2"/>
          <c:order val="2"/>
          <c:tx>
            <c:strRef>
              <c:f>'[2022年决算图表-本级.xlsx]收入决算结构'!$A$3</c:f>
              <c:strCache>
                <c:ptCount val="1"/>
                <c:pt idx="0">
                  <c:v>合计</c:v>
                </c:pt>
              </c:strCache>
            </c:strRef>
          </c:tx>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c:spPr>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bestFit"/>
              <c:showSerName val="1"/>
              <c:showPercent val="1"/>
              <c:extLst>
                <c:ext xmlns:c15="http://schemas.microsoft.com/office/drawing/2012/chart" uri="{CE6537A1-D6FC-4f65-9D91-7224C49458BB}"/>
              </c:extLst>
            </c:dLbl>
            <c:dLbl>
              <c:idx val="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endParaRPr lang="zh-CN"/>
                </a:p>
              </c:txPr>
              <c:dLblPos val="bestFit"/>
              <c:showSerName val="1"/>
              <c:showPercent val="1"/>
              <c:extLst>
                <c:ext xmlns:c15="http://schemas.microsoft.com/office/drawing/2012/chart" uri="{CE6537A1-D6FC-4f65-9D91-7224C49458BB}"/>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olidFill>
                    <a:effectLst/>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'[2022年决算图表-本级.xlsx]收入决算结构'!$B$3:$C$3</c:f>
              <c:numCache>
                <c:formatCode>_ * #,##0.00_ ;_ * \-#,##0.00_ ;_ * "-"??_ ;_ @_ </c:formatCode>
                <c:ptCount val="2"/>
                <c:pt idx="1">
                  <c:v>727.85999999999888</c:v>
                </c:pt>
              </c:numCache>
            </c:numRef>
          </c:val>
        </c:ser>
        <c:ser>
          <c:idx val="3"/>
          <c:order val="3"/>
          <c:tx>
            <c:strRef>
              <c:f>'[2022年决算图表-本级.xlsx]收入决算结构'!$A$4</c:f>
              <c:strCache>
                <c:ptCount val="1"/>
              </c:strCache>
            </c:strRef>
          </c:tx>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c:spPr>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bestFit"/>
              <c:showSerName val="1"/>
              <c:showPercent val="1"/>
              <c:extLst>
                <c:ext xmlns:c15="http://schemas.microsoft.com/office/drawing/2012/chart" uri="{CE6537A1-D6FC-4f65-9D91-7224C49458BB}"/>
              </c:extLst>
            </c:dLbl>
            <c:dLbl>
              <c:idx val="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endParaRPr lang="zh-CN"/>
                </a:p>
              </c:txPr>
              <c:dLblPos val="bestFit"/>
              <c:showSerName val="1"/>
              <c:showPercent val="1"/>
              <c:extLst>
                <c:ext xmlns:c15="http://schemas.microsoft.com/office/drawing/2012/chart" uri="{CE6537A1-D6FC-4f65-9D91-7224C49458BB}"/>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4"/>
                    </a:solidFill>
                    <a:effectLst/>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'[2022年决算图表-本级.xlsx]收入决算结构'!$B$4:$C$4</c:f>
              <c:numCache>
                <c:formatCode>General</c:formatCode>
                <c:ptCount val="2"/>
              </c:numCache>
            </c:numRef>
          </c:val>
        </c:ser>
        <c:dLbls>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style val="7"/>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支出决算结构图</a:t>
            </a:r>
          </a:p>
        </c:rich>
      </c:tx>
    </c:title>
    <c:view3D>
      <c:rotX val="30"/>
      <c:depthPercent val="100"/>
      <c:perspective val="30"/>
    </c:view3D>
    <c:plotArea>
      <c:layout/>
      <c:pie3DChart>
        <c:varyColors val="1"/>
        <c:ser>
          <c:idx val="0"/>
          <c:order val="0"/>
          <c:dPt>
            <c:idx val="0"/>
          </c:dPt>
          <c:dPt>
            <c:idx val="1"/>
          </c:dPt>
          <c:dLbls>
            <c:dLbl>
              <c:idx val="0"/>
              <c:tx>
                <c:rich>
                  <a:bodyPr/>
                  <a:lstStyle/>
                  <a:p>
                    <a:r>
                      <a:rPr lang="zh-CN" altLang="en-US"/>
                      <a:t>基本支出
</a:t>
                    </a:r>
                    <a:r>
                      <a:rPr lang="en-US" altLang="zh-CN"/>
                      <a:t>96.63%</a:t>
                    </a:r>
                    <a:endParaRPr lang="zh-CN" altLang="en-US"/>
                  </a:p>
                </c:rich>
              </c:tx>
              <c:dLblPos val="bestFit"/>
              <c:showCatName val="1"/>
              <c:showPercent val="1"/>
              <c:separator>
</c:separator>
              <c:extLst>
                <c:ext xmlns:c15="http://schemas.microsoft.com/office/drawing/2012/chart" uri="{CE6537A1-D6FC-4f65-9D91-7224C49458BB}"/>
              </c:extLst>
            </c:dLbl>
            <c:dLbl>
              <c:idx val="1"/>
              <c:tx>
                <c:rich>
                  <a:bodyPr/>
                  <a:lstStyle/>
                  <a:p>
                    <a:r>
                      <a:rPr lang="zh-CN" altLang="en-US"/>
                      <a:t>项目支出
</a:t>
                    </a:r>
                    <a:r>
                      <a:rPr lang="en-US" altLang="zh-CN"/>
                      <a:t>3.37%</a:t>
                    </a:r>
                  </a:p>
                </c:rich>
              </c:tx>
              <c:dLblPos val="bestFit"/>
              <c:showCatName val="1"/>
              <c:showPercent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'[2022年决算图表-本级.xlsx]支出决算结构'!$A$1:$A$2</c:f>
              <c:strCache>
                <c:ptCount val="2"/>
                <c:pt idx="0">
                  <c:v>基本支出</c:v>
                </c:pt>
                <c:pt idx="1">
                  <c:v>项目支出</c:v>
                </c:pt>
              </c:strCache>
            </c:strRef>
          </c:cat>
          <c:val>
            <c:numRef>
              <c:f>'[2022年决算图表-本级.xlsx]支出决算结构'!$B$1:$B$2</c:f>
              <c:numCache>
                <c:formatCode>0.00%</c:formatCode>
                <c:ptCount val="2"/>
                <c:pt idx="0">
                  <c:v>0.76021585160202509</c:v>
                </c:pt>
                <c:pt idx="1">
                  <c:v>0.23978414839797604</c:v>
                </c:pt>
              </c:numCache>
            </c:numRef>
          </c:val>
        </c:ser>
        <c:dLbls>
          <c:showCatName val="1"/>
          <c:showPercent val="1"/>
        </c:dLbls>
      </c:pie3DChart>
    </c:plotArea>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p>
        </c:rich>
      </c:tx>
    </c:title>
    <c:plotArea>
      <c:layout/>
      <c:barChart>
        <c:barDir val="col"/>
        <c:grouping val="clustered"/>
        <c:ser>
          <c:idx val="0"/>
          <c:order val="0"/>
          <c:tx>
            <c:strRef>
              <c:f>'[2022年决算图表-本级.xlsx]财政拨款收、支决算总计变动'!$A$2</c:f>
              <c:strCache>
                <c:ptCount val="1"/>
                <c:pt idx="0">
                  <c:v>财政拨款收入总计</c:v>
                </c:pt>
              </c:strCache>
            </c:strRef>
          </c:tx>
          <c:cat>
            <c:strRef>
              <c:f>'[2022年决算图表-本级.xlsx]财政拨款收、支决算总计变动'!$B$1:$E$1</c:f>
              <c:strCache>
                <c:ptCount val="4"/>
                <c:pt idx="0">
                  <c:v>2021年</c:v>
                </c:pt>
                <c:pt idx="1">
                  <c:v>2022年</c:v>
                </c:pt>
                <c:pt idx="2">
                  <c:v>同比增减额</c:v>
                </c:pt>
                <c:pt idx="3">
                  <c:v>同比增减率</c:v>
                </c:pt>
              </c:strCache>
            </c:strRef>
          </c:cat>
          <c:val>
            <c:numRef>
              <c:f>'[2022年决算图表-本级.xlsx]财政拨款收、支决算总计变动'!$B$2:$E$2</c:f>
              <c:numCache>
                <c:formatCode>_ * #,##0.00_ ;_ * \-#,##0.00_ ;_ * "-"??_ ;_ @_ </c:formatCode>
                <c:ptCount val="4"/>
                <c:pt idx="0">
                  <c:v>761.76</c:v>
                </c:pt>
                <c:pt idx="1">
                  <c:v>741.25</c:v>
                </c:pt>
                <c:pt idx="2" formatCode="0.00_ ">
                  <c:v>-20.51</c:v>
                </c:pt>
                <c:pt idx="3" formatCode="0.00%">
                  <c:v>-2.6924490653224113E-2</c:v>
                </c:pt>
              </c:numCache>
            </c:numRef>
          </c:val>
        </c:ser>
        <c:ser>
          <c:idx val="1"/>
          <c:order val="1"/>
          <c:tx>
            <c:strRef>
              <c:f>'[2022年决算图表-本级.xlsx]财政拨款收、支决算总计变动'!$A$3</c:f>
              <c:strCache>
                <c:ptCount val="1"/>
                <c:pt idx="0">
                  <c:v>财政拨款支出总计</c:v>
                </c:pt>
              </c:strCache>
            </c:strRef>
          </c:tx>
          <c:cat>
            <c:strRef>
              <c:f>'[2022年决算图表-本级.xlsx]财政拨款收、支决算总计变动'!$B$1:$E$1</c:f>
              <c:strCache>
                <c:ptCount val="4"/>
                <c:pt idx="0">
                  <c:v>2021年</c:v>
                </c:pt>
                <c:pt idx="1">
                  <c:v>2022年</c:v>
                </c:pt>
                <c:pt idx="2">
                  <c:v>同比增减额</c:v>
                </c:pt>
                <c:pt idx="3">
                  <c:v>同比增减率</c:v>
                </c:pt>
              </c:strCache>
            </c:strRef>
          </c:cat>
          <c:val>
            <c:numRef>
              <c:f>'[2022年决算图表-本级.xlsx]财政拨款收、支决算总计变动'!$B$3:$E$3</c:f>
              <c:numCache>
                <c:formatCode>_ * #,##0.00_ ;_ * \-#,##0.00_ ;_ * "-"??_ ;_ @_ </c:formatCode>
                <c:ptCount val="4"/>
                <c:pt idx="0">
                  <c:v>761.76</c:v>
                </c:pt>
                <c:pt idx="1">
                  <c:v>741.25</c:v>
                </c:pt>
                <c:pt idx="2" formatCode="0.00_ ">
                  <c:v>-20.51</c:v>
                </c:pt>
                <c:pt idx="3" formatCode="0.00%">
                  <c:v>-2.6924490653224113E-2</c:v>
                </c:pt>
              </c:numCache>
            </c:numRef>
          </c:val>
        </c:ser>
        <c:dLbls/>
        <c:axId val="64369792"/>
        <c:axId val="64371328"/>
      </c:barChart>
      <c:catAx>
        <c:axId val="64369792"/>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4371328"/>
        <c:crosses val="autoZero"/>
        <c:auto val="1"/>
        <c:lblAlgn val="ctr"/>
        <c:lblOffset val="100"/>
      </c:catAx>
      <c:valAx>
        <c:axId val="64371328"/>
        <c:scaling>
          <c:orientation val="minMax"/>
        </c:scaling>
        <c:axPos val="l"/>
        <c:majorGridlines/>
        <c:title>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numFmt formatCode="_ * #,##0.00_ ;_ * \-#,##0.00_ ;_ * &quot;-&quot;??_ ;_ @_ "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436979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dTable>
    </c:plotArea>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p>
        </c:rich>
      </c:tx>
    </c:title>
    <c:plotArea>
      <c:layout>
        <c:manualLayout>
          <c:layoutTarget val="inner"/>
          <c:xMode val="edge"/>
          <c:yMode val="edge"/>
          <c:x val="4.4444444444444502E-2"/>
          <c:y val="0.21722748264061903"/>
          <c:w val="0.9388888888888911"/>
          <c:h val="0.77153327353068413"/>
        </c:manualLayout>
      </c:layout>
      <c:barChart>
        <c:barDir val="col"/>
        <c:grouping val="clustered"/>
        <c:ser>
          <c:idx val="0"/>
          <c:order val="0"/>
          <c:tx>
            <c:strRef>
              <c:f>'[2022年决算图表-本级.xlsx]一般公共预算财政拨款支出'!$A$2</c:f>
              <c:strCache>
                <c:ptCount val="1"/>
                <c:pt idx="0">
                  <c:v>一般公共预算财政拨款支出</c:v>
                </c:pt>
              </c:strCache>
            </c:strRef>
          </c:tx>
          <c:dLbls>
            <c:dLbl>
              <c:idx val="0"/>
              <c:layout>
                <c:manualLayout>
                  <c:x val="-1.6666666666666705E-2"/>
                  <c:y val="0"/>
                </c:manualLayout>
              </c:layout>
              <c:dLblPos val="outEnd"/>
              <c:showVal val="1"/>
              <c:extLst>
                <c:ext xmlns:c15="http://schemas.microsoft.com/office/drawing/2012/chart" uri="{CE6537A1-D6FC-4f65-9D91-7224C49458BB}">
                  <c15:layout/>
                </c:ext>
              </c:extLst>
            </c:dLbl>
            <c:dLbl>
              <c:idx val="1"/>
              <c:layout>
                <c:manualLayout>
                  <c:x val="-8.3333333333333419E-3"/>
                  <c:y val="0"/>
                </c:manualLayout>
              </c:layout>
              <c:dLblPos val="outEnd"/>
              <c:showVal val="1"/>
              <c:extLst>
                <c:ext xmlns:c15="http://schemas.microsoft.com/office/drawing/2012/chart" uri="{CE6537A1-D6FC-4f65-9D91-7224C49458BB}">
                  <c15:layout/>
                </c:ext>
              </c:extLst>
            </c:dLbl>
            <c:dLbl>
              <c:idx val="2"/>
              <c:layout>
                <c:manualLayout>
                  <c:x val="-2.7083333333333307E-2"/>
                  <c:y val="0"/>
                </c:manualLayout>
              </c:layout>
              <c:dLblPos val="outEnd"/>
              <c:showVal val="1"/>
              <c:extLst>
                <c:ext xmlns:c15="http://schemas.microsoft.com/office/drawing/2012/chart" uri="{CE6537A1-D6FC-4f65-9D91-7224C49458BB}">
                  <c15:layout/>
                </c:ext>
              </c:extLst>
            </c:dLbl>
            <c:dLbl>
              <c:idx val="3"/>
              <c:layout>
                <c:manualLayout>
                  <c:x val="4.8608923884513808E-3"/>
                  <c:y val="-5.485165620120271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'[2022年决算图表-本级.xlsx]一般公共预算财政拨款支出'!$B$1:$E$1</c:f>
              <c:strCache>
                <c:ptCount val="4"/>
                <c:pt idx="0">
                  <c:v>2021年</c:v>
                </c:pt>
                <c:pt idx="1">
                  <c:v>2022年</c:v>
                </c:pt>
                <c:pt idx="2">
                  <c:v>同比减少</c:v>
                </c:pt>
                <c:pt idx="3">
                  <c:v>同比减少</c:v>
                </c:pt>
              </c:strCache>
            </c:strRef>
          </c:cat>
          <c:val>
            <c:numRef>
              <c:f>'[2022年决算图表-本级.xlsx]一般公共预算财政拨款支出'!$B$2:$E$2</c:f>
              <c:numCache>
                <c:formatCode>_ * #,##0.00_ ;_ * \-#,##0.00_ ;_ * "-"??_ ;_ @_ </c:formatCode>
                <c:ptCount val="4"/>
                <c:pt idx="0">
                  <c:v>761.76</c:v>
                </c:pt>
                <c:pt idx="1">
                  <c:v>741.25</c:v>
                </c:pt>
                <c:pt idx="2" formatCode="0.00_ ">
                  <c:v>-20.51</c:v>
                </c:pt>
                <c:pt idx="3" formatCode="0.00%">
                  <c:v>-2.6924490653224113E-2</c:v>
                </c:pt>
              </c:numCache>
            </c:numRef>
          </c:val>
        </c:ser>
        <c:ser>
          <c:idx val="1"/>
          <c:order val="1"/>
          <c:tx>
            <c:strRef>
              <c:f>'[2022年决算图表-本级.xlsx]一般公共预算财政拨款支出'!$A$3</c:f>
              <c:strCache>
                <c:ptCount val="1"/>
                <c:pt idx="0">
                  <c:v>全年支出</c:v>
                </c:pt>
              </c:strCache>
            </c:strRef>
          </c:tx>
          <c:dLbls>
            <c:dLbl>
              <c:idx val="0"/>
              <c:layout>
                <c:manualLayout>
                  <c:x val="2.5000000000000005E-2"/>
                  <c:y val="-2.5316455696202507E-2"/>
                </c:manualLayout>
              </c:layout>
              <c:dLblPos val="outEnd"/>
              <c:showVal val="1"/>
              <c:extLst>
                <c:ext xmlns:c15="http://schemas.microsoft.com/office/drawing/2012/chart" uri="{CE6537A1-D6FC-4f65-9D91-7224C49458BB}">
                  <c15:layout/>
                </c:ext>
              </c:extLst>
            </c:dLbl>
            <c:dLbl>
              <c:idx val="1"/>
              <c:layout>
                <c:manualLayout>
                  <c:x val="2.2916666666666707E-2"/>
                  <c:y val="-3.1645569620253208E-2"/>
                </c:manualLayout>
              </c:layout>
              <c:dLblPos val="outEnd"/>
              <c:showVal val="1"/>
              <c:extLst>
                <c:ext xmlns:c15="http://schemas.microsoft.com/office/drawing/2012/chart" uri="{CE6537A1-D6FC-4f65-9D91-7224C49458BB}">
                  <c15:layout/>
                </c:ext>
              </c:extLst>
            </c:dLbl>
            <c:dLbl>
              <c:idx val="2"/>
              <c:layout>
                <c:manualLayout>
                  <c:x val="2.3611111111111104E-2"/>
                  <c:y val="0"/>
                </c:manualLayout>
              </c:layout>
              <c:dLblPos val="outEnd"/>
              <c:showVal val="1"/>
              <c:extLst>
                <c:ext xmlns:c15="http://schemas.microsoft.com/office/drawing/2012/chart" uri="{CE6537A1-D6FC-4f65-9D91-7224C49458BB}">
                  <c15:layout/>
                </c:ext>
              </c:extLst>
            </c:dLbl>
            <c:dLbl>
              <c:idx val="3"/>
              <c:layout>
                <c:manualLayout>
                  <c:x val="3.6712962962962004E-2"/>
                  <c:y val="-4.9577062360875807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'[2022年决算图表-本级.xlsx]一般公共预算财政拨款支出'!$B$1:$E$1</c:f>
              <c:strCache>
                <c:ptCount val="4"/>
                <c:pt idx="0">
                  <c:v>2021年</c:v>
                </c:pt>
                <c:pt idx="1">
                  <c:v>2022年</c:v>
                </c:pt>
                <c:pt idx="2">
                  <c:v>同比减少</c:v>
                </c:pt>
                <c:pt idx="3">
                  <c:v>同比减少</c:v>
                </c:pt>
              </c:strCache>
            </c:strRef>
          </c:cat>
          <c:val>
            <c:numRef>
              <c:f>'[2022年决算图表-本级.xlsx]一般公共预算财政拨款支出'!$B$3:$E$3</c:f>
              <c:numCache>
                <c:formatCode>_ * #,##0.00_ ;_ * \-#,##0.00_ ;_ * "-"??_ ;_ @_ </c:formatCode>
                <c:ptCount val="4"/>
                <c:pt idx="0">
                  <c:v>761.8</c:v>
                </c:pt>
                <c:pt idx="1">
                  <c:v>741.25</c:v>
                </c:pt>
                <c:pt idx="2" formatCode="0.00_ ">
                  <c:v>-20.55</c:v>
                </c:pt>
                <c:pt idx="3" formatCode="0.00%">
                  <c:v>-2.6975584142819611E-2</c:v>
                </c:pt>
              </c:numCache>
            </c:numRef>
          </c:val>
        </c:ser>
        <c:dLbls>
          <c:showVal val="1"/>
        </c:dLbls>
        <c:overlap val="-25"/>
        <c:axId val="64849408"/>
        <c:axId val="64850944"/>
      </c:barChart>
      <c:catAx>
        <c:axId val="64849408"/>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4850944"/>
        <c:crosses val="autoZero"/>
        <c:auto val="1"/>
        <c:lblAlgn val="ctr"/>
        <c:lblOffset val="100"/>
      </c:catAx>
      <c:valAx>
        <c:axId val="64850944"/>
        <c:scaling>
          <c:orientation val="minMax"/>
        </c:scaling>
        <c:delete val="1"/>
        <c:axPos val="l"/>
        <c:numFmt formatCode="_ * #,##0.00_ ;_ * \-#,##0.00_ ;_ * &quot;-&quot;??_ ;_ @_ " sourceLinked="1"/>
        <c:majorTickMark val="none"/>
        <c:tickLblPos val="nextTo"/>
        <c:crossAx val="64849408"/>
        <c:crosses val="autoZero"/>
        <c:crossBetween val="between"/>
      </c:valAx>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600" b="1" i="0" u="none" strike="noStrike" kern="1200" spc="0" baseline="0">
                <a:solidFill>
                  <a:srgbClr val="616161"/>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一般公共预算财政拨款支出决算结构图</a:t>
            </a:r>
          </a:p>
        </c:rich>
      </c:tx>
      <c:spPr>
        <a:noFill/>
        <a:ln>
          <a:noFill/>
        </a:ln>
        <a:effectLst/>
      </c:spPr>
    </c:title>
    <c:plotArea>
      <c:layout>
        <c:manualLayout>
          <c:layoutTarget val="inner"/>
          <c:xMode val="edge"/>
          <c:yMode val="edge"/>
          <c:x val="0.31212437940946014"/>
          <c:y val="0.19492833517089306"/>
          <c:w val="0.38359027959237008"/>
          <c:h val="0.64740904079382711"/>
        </c:manualLayout>
      </c:layout>
      <c:pieChart>
        <c:varyColors val="1"/>
        <c:ser>
          <c:idx val="0"/>
          <c:order val="0"/>
          <c:spPr>
            <a:ln w="12700">
              <a:solidFill>
                <a:srgbClr val="FBFFFF"/>
              </a:solidFill>
            </a:ln>
            <a:sp3d contourW="12700"/>
          </c:spPr>
          <c:dPt>
            <c:idx val="0"/>
            <c:spPr>
              <a:solidFill>
                <a:srgbClr val="26A0FC"/>
              </a:solidFill>
              <a:ln w="12700">
                <a:solidFill>
                  <a:srgbClr val="FBFFFF"/>
                </a:solidFill>
              </a:ln>
              <a:effectLst/>
              <a:sp3d contourW="12700"/>
            </c:spPr>
          </c:dPt>
          <c:dPt>
            <c:idx val="1"/>
            <c:spPr>
              <a:solidFill>
                <a:srgbClr val="35DB97"/>
              </a:solidFill>
              <a:ln w="12700">
                <a:solidFill>
                  <a:srgbClr val="FBFFFF"/>
                </a:solidFill>
              </a:ln>
              <a:effectLst/>
              <a:sp3d contourW="12700"/>
            </c:spPr>
          </c:dPt>
          <c:dPt>
            <c:idx val="2"/>
            <c:spPr>
              <a:solidFill>
                <a:srgbClr val="FFBC3F"/>
              </a:solidFill>
              <a:ln w="12700">
                <a:solidFill>
                  <a:srgbClr val="FBFFFF"/>
                </a:solidFill>
              </a:ln>
              <a:effectLst/>
              <a:sp3d contourW="12700"/>
            </c:spPr>
          </c:dPt>
          <c:dLbls>
            <c:dLbl>
              <c:idx val="0"/>
              <c:dLblPos val="ctr"/>
              <c:showVal val="1"/>
              <c:separator> </c:separator>
              <c:extLst>
                <c:ext xmlns:c15="http://schemas.microsoft.com/office/drawing/2012/chart" uri="{CE6537A1-D6FC-4f65-9D91-7224C49458BB}"/>
              </c:extLst>
            </c:dLbl>
            <c:dLbl>
              <c:idx val="1"/>
              <c:dLblPos val="ctr"/>
              <c:showVal val="1"/>
              <c:separator> </c:separator>
              <c:extLst>
                <c:ext xmlns:c15="http://schemas.microsoft.com/office/drawing/2012/chart" uri="{CE6537A1-D6FC-4f65-9D91-7224C49458BB}"/>
              </c:extLst>
            </c:dLbl>
            <c:dLbl>
              <c:idx val="2"/>
              <c:dLblPos val="ctr"/>
              <c:showVal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endParaRPr lang="zh-CN"/>
              </a:p>
            </c:txPr>
            <c:dLblPos val="ctr"/>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'[2022年决算图表-本级.xlsx]一般公共预算财政拨款支出决算结构'!$A$1:$A$3</c:f>
              <c:strCache>
                <c:ptCount val="3"/>
                <c:pt idx="0">
                  <c:v>文化旅游体育与传媒支出</c:v>
                </c:pt>
                <c:pt idx="1">
                  <c:v>社会保障和就业支出</c:v>
                </c:pt>
                <c:pt idx="2">
                  <c:v>住房保障支出</c:v>
                </c:pt>
              </c:strCache>
            </c:strRef>
          </c:cat>
          <c:val>
            <c:numRef>
              <c:f>'[2022年决算图表-本级.xlsx]一般公共预算财政拨款支出决算结构'!$B$1:$B$3</c:f>
              <c:numCache>
                <c:formatCode>0.00%</c:formatCode>
                <c:ptCount val="3"/>
                <c:pt idx="0">
                  <c:v>0.83170000000000111</c:v>
                </c:pt>
                <c:pt idx="1">
                  <c:v>0.1144</c:v>
                </c:pt>
                <c:pt idx="2">
                  <c:v>5.3900000000000003E-2</c:v>
                </c:pt>
              </c:numCache>
            </c:numRef>
          </c:val>
        </c:ser>
        <c:ser>
          <c:idx val="1"/>
          <c:order val="1"/>
          <c:spPr>
            <a:ln w="12700">
              <a:solidFill>
                <a:srgbClr val="FBFFFF"/>
              </a:solidFill>
            </a:ln>
            <a:sp3d contourW="12700"/>
          </c:spPr>
          <c:dPt>
            <c:idx val="0"/>
            <c:spPr>
              <a:solidFill>
                <a:srgbClr val="26A0FC"/>
              </a:solidFill>
              <a:ln w="12700">
                <a:solidFill>
                  <a:srgbClr val="FBFFFF"/>
                </a:solidFill>
              </a:ln>
              <a:effectLst/>
              <a:sp3d contourW="12700"/>
            </c:spPr>
          </c:dPt>
          <c:dPt>
            <c:idx val="1"/>
            <c:spPr>
              <a:solidFill>
                <a:srgbClr val="35DB97"/>
              </a:solidFill>
              <a:ln w="12700">
                <a:solidFill>
                  <a:srgbClr val="FBFFFF"/>
                </a:solidFill>
              </a:ln>
              <a:effectLst/>
              <a:sp3d contourW="12700"/>
            </c:spPr>
          </c:dPt>
          <c:dPt>
            <c:idx val="2"/>
            <c:spPr>
              <a:solidFill>
                <a:srgbClr val="FFBC3F"/>
              </a:solidFill>
              <a:ln w="12700">
                <a:solidFill>
                  <a:srgbClr val="FBFFFF"/>
                </a:solidFill>
              </a:ln>
              <a:effectLst/>
              <a:sp3d contourW="127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endParaRPr lang="zh-CN"/>
              </a:p>
            </c:txPr>
            <c:dLblPos val="ctr"/>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'[2022年决算图表-本级.xlsx]一般公共预算财政拨款支出决算结构'!$A$1:$A$3</c:f>
              <c:strCache>
                <c:ptCount val="3"/>
                <c:pt idx="0">
                  <c:v>文化旅游体育与传媒支出</c:v>
                </c:pt>
                <c:pt idx="1">
                  <c:v>社会保障和就业支出</c:v>
                </c:pt>
                <c:pt idx="2">
                  <c:v>住房保障支出</c:v>
                </c:pt>
              </c:strCache>
            </c:strRef>
          </c:cat>
          <c:val>
            <c:numRef>
              <c:f>'[2022年决算图表-本级.xlsx]一般公共预算财政拨款支出决算结构'!$C$1:$C$3</c:f>
              <c:numCache>
                <c:formatCode>_ * #,##0.00_ ;_ * \-#,##0.00_ ;_ * "-"??_ ;_ @_ </c:formatCode>
                <c:ptCount val="3"/>
                <c:pt idx="0">
                  <c:v>616.51</c:v>
                </c:pt>
                <c:pt idx="1">
                  <c:v>84.82</c:v>
                </c:pt>
                <c:pt idx="2">
                  <c:v>39.93</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forceAA="0"/>
        <a:lstStyle/>
        <a:p>
          <a:pPr>
            <a:defRPr lang="zh-CN" sz="1000" b="0" i="0" u="none" strike="noStrike" kern="1200" baseline="0">
              <a:solidFill>
                <a:schemeClr val="tx1">
                  <a:lumMod val="50000"/>
                  <a:lumOff val="50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endParaRPr lang="zh-CN"/>
        </a:p>
      </c:txPr>
    </c:legend>
    <c:plotVisOnly val="1"/>
    <c:dispBlanksAs val="zero"/>
  </c:chart>
  <c:spPr>
    <a:solidFill>
      <a:sysClr val="window" lastClr="FFFFFF"/>
    </a:solidFill>
    <a:ln w="9525" cap="sq" cmpd="sng" algn="ctr">
      <a:noFill/>
      <a:prstDash val="solid"/>
      <a:round/>
    </a:ln>
    <a:effectLst/>
  </c:spPr>
  <c:txPr>
    <a:bodyPr/>
    <a:lstStyle/>
    <a:p>
      <a:pPr>
        <a:defRPr lang="zh-CN">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“三公”经费财政拨款支出结构</a:t>
            </a:r>
          </a:p>
        </c:rich>
      </c:tx>
    </c:title>
    <c:view3D>
      <c:rotX val="30"/>
      <c:depthPercent val="100"/>
      <c:perspective val="30"/>
    </c:view3D>
    <c:plotArea>
      <c:layout>
        <c:manualLayout>
          <c:layoutTarget val="inner"/>
          <c:xMode val="edge"/>
          <c:yMode val="edge"/>
          <c:x val="8.6888888888888904E-2"/>
          <c:y val="0.240166666666667"/>
          <c:w val="0.82622222222222197"/>
          <c:h val="0.66040740740740811"/>
        </c:manualLayout>
      </c:layout>
      <c:pie3DChart>
        <c:varyColors val="1"/>
        <c:ser>
          <c:idx val="0"/>
          <c:order val="0"/>
          <c:explosion val="25"/>
          <c:dPt>
            <c:idx val="0"/>
          </c:dPt>
          <c:dPt>
            <c:idx val="1"/>
          </c:dPt>
          <c:dLbls>
            <c:dLbl>
              <c:idx val="0"/>
              <c:tx>
                <c:rich>
                  <a:bodyPr/>
                  <a:lstStyle/>
                  <a:p>
                    <a:r>
                      <a:rPr lang="zh-CN" altLang="en-US"/>
                      <a:t>公务用车购置及运行维护费支出</a:t>
                    </a:r>
                    <a:r>
                      <a:rPr lang="en-US" altLang="zh-CN"/>
                      <a:t>91.95%</a:t>
                    </a:r>
                  </a:p>
                </c:rich>
              </c:tx>
              <c:dLblPos val="bestFit"/>
              <c:showCatName val="1"/>
              <c:showPercent val="1"/>
              <c:separator>
</c:separator>
              <c:extLst>
                <c:ext xmlns:c15="http://schemas.microsoft.com/office/drawing/2012/chart" uri="{CE6537A1-D6FC-4f65-9D91-7224C49458BB}">
                  <c15:layout>
                    <c:manualLayout>
                      <c:w val="0.24375"/>
                      <c:h val="0.180555555555556"/>
                    </c:manualLayout>
                  </c15:layout>
                </c:ext>
              </c:extLst>
            </c:dLbl>
            <c:dLbl>
              <c:idx val="1"/>
              <c:layout>
                <c:manualLayout>
                  <c:x val="-8.4209876147511117E-2"/>
                  <c:y val="-9.2920676582090422E-4"/>
                </c:manualLayout>
              </c:layout>
              <c:tx>
                <c:rich>
                  <a:bodyPr/>
                  <a:lstStyle/>
                  <a:p>
                    <a:r>
                      <a:rPr lang="zh-CN" altLang="en-US"/>
                      <a:t>公务接待费支出</a:t>
                    </a:r>
                    <a:r>
                      <a:rPr lang="en-US" altLang="zh-CN"/>
                      <a:t>8.05%</a:t>
                    </a:r>
                  </a:p>
                </c:rich>
              </c:tx>
              <c:dLblPos val="bestFit"/>
              <c:showCatName val="1"/>
              <c:showPercent val="1"/>
              <c:separator>
</c:separator>
              <c:extLst>
                <c:ext xmlns:c15="http://schemas.microsoft.com/office/drawing/2012/chart" uri="{CE6537A1-D6FC-4f65-9D91-7224C49458BB}">
                  <c15:layout>
                    <c:manualLayout>
                      <c:w val="0.20625"/>
                      <c:h val="0.18055555555555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'[2022年决算图表-本级.xlsx]“三公”经费财政拨款支出结构'!$A$1:$A$2</c:f>
              <c:strCache>
                <c:ptCount val="2"/>
                <c:pt idx="0">
                  <c:v>公务用车购置及运行维护费支出</c:v>
                </c:pt>
                <c:pt idx="1">
                  <c:v>公务接待费支出</c:v>
                </c:pt>
              </c:strCache>
            </c:strRef>
          </c:cat>
          <c:val>
            <c:numRef>
              <c:f>'[2022年决算图表-本级.xlsx]“三公”经费财政拨款支出结构'!$B$1:$B$2</c:f>
              <c:numCache>
                <c:formatCode>0.00%</c:formatCode>
                <c:ptCount val="2"/>
                <c:pt idx="0">
                  <c:v>0.91949999999999998</c:v>
                </c:pt>
                <c:pt idx="1">
                  <c:v>8.0500000000000113E-2</c:v>
                </c:pt>
              </c:numCache>
            </c:numRef>
          </c:val>
        </c:ser>
        <c:dLbls>
          <c:showCatName val="1"/>
          <c:showPercent val="1"/>
        </c:dLbls>
      </c:pie3DChart>
    </c:plotArea>
    <c:legend>
      <c:legendPos val="l"/>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textRotate="1"/>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4750</Words>
  <Characters>2097</Characters>
  <Application>Microsoft Office Word</Application>
  <DocSecurity>0</DocSecurity>
  <Lines>17</Lines>
  <Paragraphs>13</Paragraphs>
  <ScaleCrop>false</ScaleCrop>
  <Company>Microsoft</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月阙</dc:creator>
  <cp:lastModifiedBy>王国钢</cp:lastModifiedBy>
  <cp:revision>11</cp:revision>
  <dcterms:created xsi:type="dcterms:W3CDTF">2023-08-17T02:36:00Z</dcterms:created>
  <dcterms:modified xsi:type="dcterms:W3CDTF">2023-09-14T02:58:00Z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078E7FED820D422C8FA95926826A9415_11</vt:lpwstr>
  </property>
</Properties>
</file>