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3D" w:rsidRDefault="0018623D">
      <w:pPr>
        <w:spacing w:line="600" w:lineRule="exact"/>
        <w:jc w:val="left"/>
        <w:rPr>
          <w:rFonts w:eastAsia="方正小标宋简体"/>
          <w:szCs w:val="21"/>
        </w:rPr>
      </w:pPr>
      <w:bookmarkStart w:id="0" w:name="_Toc15306267"/>
    </w:p>
    <w:p w:rsidR="0018623D" w:rsidRDefault="0018623D">
      <w:pPr>
        <w:spacing w:line="600" w:lineRule="exact"/>
        <w:jc w:val="center"/>
        <w:rPr>
          <w:rFonts w:eastAsia="方正小标宋简体"/>
          <w:sz w:val="72"/>
          <w:szCs w:val="72"/>
        </w:rPr>
      </w:pPr>
    </w:p>
    <w:p w:rsidR="0018623D" w:rsidRDefault="0018623D">
      <w:pPr>
        <w:spacing w:line="600" w:lineRule="exact"/>
        <w:jc w:val="center"/>
        <w:rPr>
          <w:rFonts w:eastAsia="方正小标宋简体"/>
          <w:sz w:val="72"/>
          <w:szCs w:val="72"/>
        </w:rPr>
      </w:pPr>
    </w:p>
    <w:p w:rsidR="0018623D" w:rsidRDefault="00971571">
      <w:pPr>
        <w:adjustRightInd w:val="0"/>
        <w:snapToGrid w:val="0"/>
        <w:spacing w:line="360" w:lineRule="auto"/>
        <w:jc w:val="center"/>
        <w:rPr>
          <w:rFonts w:eastAsia="方正小标宋简体"/>
          <w:sz w:val="72"/>
          <w:szCs w:val="72"/>
        </w:rPr>
      </w:pPr>
      <w:bookmarkStart w:id="1" w:name="_Toc15377425"/>
      <w:bookmarkStart w:id="2" w:name="_Toc15378441"/>
      <w:bookmarkStart w:id="3" w:name="_Toc15396475"/>
      <w:bookmarkStart w:id="4" w:name="_Toc15396597"/>
      <w:bookmarkStart w:id="5" w:name="_Toc15377193"/>
      <w:r>
        <w:rPr>
          <w:rFonts w:eastAsia="方正小标宋简体"/>
          <w:sz w:val="72"/>
          <w:szCs w:val="72"/>
        </w:rPr>
        <w:t>2022</w:t>
      </w:r>
      <w:r>
        <w:rPr>
          <w:rFonts w:eastAsia="方正小标宋简体" w:hAnsi="方正小标宋简体"/>
          <w:sz w:val="72"/>
          <w:szCs w:val="72"/>
        </w:rPr>
        <w:t>年度</w:t>
      </w:r>
      <w:bookmarkEnd w:id="1"/>
      <w:bookmarkEnd w:id="2"/>
      <w:bookmarkEnd w:id="3"/>
      <w:bookmarkEnd w:id="4"/>
      <w:bookmarkEnd w:id="5"/>
    </w:p>
    <w:p w:rsidR="0018623D" w:rsidRDefault="00971571">
      <w:pPr>
        <w:adjustRightInd w:val="0"/>
        <w:snapToGrid w:val="0"/>
        <w:spacing w:line="360" w:lineRule="auto"/>
        <w:jc w:val="center"/>
        <w:rPr>
          <w:rFonts w:eastAsia="方正小标宋简体"/>
          <w:w w:val="80"/>
          <w:sz w:val="72"/>
          <w:szCs w:val="72"/>
        </w:rPr>
      </w:pPr>
      <w:bookmarkStart w:id="6" w:name="_Toc15396598"/>
      <w:bookmarkStart w:id="7" w:name="_Toc15377194"/>
      <w:bookmarkStart w:id="8" w:name="_Toc15377426"/>
      <w:bookmarkStart w:id="9" w:name="_Toc15378442"/>
      <w:bookmarkStart w:id="10" w:name="_Toc15396476"/>
      <w:r>
        <w:rPr>
          <w:rFonts w:eastAsia="方正小标宋简体" w:hAnsi="方正小标宋简体"/>
          <w:w w:val="80"/>
          <w:sz w:val="72"/>
          <w:szCs w:val="72"/>
        </w:rPr>
        <w:t>攀枝花</w:t>
      </w:r>
      <w:bookmarkStart w:id="11" w:name="_Toc15306268"/>
      <w:bookmarkEnd w:id="0"/>
      <w:r>
        <w:rPr>
          <w:rFonts w:eastAsia="方正小标宋简体" w:hAnsi="方正小标宋简体"/>
          <w:w w:val="80"/>
          <w:sz w:val="72"/>
          <w:szCs w:val="72"/>
        </w:rPr>
        <w:t>中国三线建设博物馆</w:t>
      </w:r>
    </w:p>
    <w:p w:rsidR="0018623D" w:rsidRDefault="00971571">
      <w:pPr>
        <w:adjustRightInd w:val="0"/>
        <w:snapToGrid w:val="0"/>
        <w:spacing w:line="360" w:lineRule="auto"/>
        <w:jc w:val="center"/>
        <w:rPr>
          <w:rFonts w:eastAsia="方正小标宋简体"/>
          <w:sz w:val="72"/>
          <w:szCs w:val="72"/>
        </w:rPr>
      </w:pPr>
      <w:r>
        <w:rPr>
          <w:rFonts w:eastAsia="方正小标宋简体" w:hAnsi="方正小标宋简体"/>
          <w:sz w:val="72"/>
          <w:szCs w:val="72"/>
        </w:rPr>
        <w:t>单位决算</w:t>
      </w:r>
      <w:bookmarkEnd w:id="6"/>
      <w:bookmarkEnd w:id="7"/>
      <w:bookmarkEnd w:id="8"/>
      <w:bookmarkEnd w:id="9"/>
      <w:bookmarkEnd w:id="10"/>
      <w:bookmarkEnd w:id="11"/>
    </w:p>
    <w:p w:rsidR="0018623D" w:rsidRDefault="00971571">
      <w:pPr>
        <w:widowControl/>
        <w:jc w:val="center"/>
        <w:rPr>
          <w:rFonts w:eastAsia="黑体"/>
          <w:sz w:val="48"/>
          <w:szCs w:val="48"/>
        </w:rPr>
      </w:pPr>
      <w:r>
        <w:rPr>
          <w:rFonts w:eastAsia="方正小标宋简体"/>
          <w:sz w:val="36"/>
          <w:szCs w:val="36"/>
        </w:rPr>
        <w:br w:type="page"/>
      </w:r>
      <w:r>
        <w:rPr>
          <w:rFonts w:eastAsia="黑体" w:hAnsi="黑体"/>
          <w:sz w:val="48"/>
          <w:szCs w:val="48"/>
        </w:rPr>
        <w:lastRenderedPageBreak/>
        <w:t>目录</w:t>
      </w:r>
    </w:p>
    <w:p w:rsidR="0018623D" w:rsidRDefault="00971571">
      <w:pPr>
        <w:pStyle w:val="10"/>
        <w:rPr>
          <w:rFonts w:ascii="Times New Roman" w:hAnsi="Times New Roman"/>
        </w:rPr>
      </w:pPr>
      <w:r>
        <w:rPr>
          <w:rFonts w:ascii="Times New Roman"/>
        </w:rPr>
        <w:t>公开时间：</w:t>
      </w:r>
      <w:r>
        <w:rPr>
          <w:rFonts w:ascii="Times New Roman" w:hAnsi="Times New Roman"/>
        </w:rPr>
        <w:t>2023</w:t>
      </w:r>
      <w:r>
        <w:rPr>
          <w:rFonts w:ascii="Times New Roman"/>
        </w:rPr>
        <w:t>年</w:t>
      </w:r>
      <w:r>
        <w:rPr>
          <w:rFonts w:ascii="Times New Roman" w:hAnsi="Times New Roman"/>
        </w:rPr>
        <w:t>9</w:t>
      </w:r>
      <w:r>
        <w:rPr>
          <w:rFonts w:ascii="Times New Roman"/>
        </w:rPr>
        <w:t>月</w:t>
      </w:r>
      <w:r>
        <w:rPr>
          <w:rFonts w:ascii="Times New Roman" w:hAnsi="Times New Roman"/>
        </w:rPr>
        <w:t>1</w:t>
      </w:r>
      <w:r>
        <w:rPr>
          <w:rFonts w:ascii="Times New Roman" w:hAnsi="Times New Roman" w:hint="eastAsia"/>
        </w:rPr>
        <w:t>4</w:t>
      </w:r>
      <w:r>
        <w:rPr>
          <w:rFonts w:ascii="Times New Roman"/>
        </w:rPr>
        <w:t>日</w:t>
      </w:r>
    </w:p>
    <w:sdt>
      <w:sdtPr>
        <w:rPr>
          <w:rFonts w:ascii="Times New Roman" w:eastAsia="宋体" w:hAnsi="Times New Roman"/>
          <w:sz w:val="21"/>
          <w:szCs w:val="24"/>
        </w:rPr>
        <w:id w:val="147454332"/>
        <w:docPartObj>
          <w:docPartGallery w:val="Table of Contents"/>
          <w:docPartUnique/>
        </w:docPartObj>
      </w:sdtPr>
      <w:sdtEndPr>
        <w:rPr>
          <w:b/>
        </w:rPr>
      </w:sdtEndPr>
      <w:sdtContent>
        <w:p w:rsidR="0018623D" w:rsidRDefault="0018623D">
          <w:pPr>
            <w:pStyle w:val="10"/>
            <w:tabs>
              <w:tab w:val="clear" w:pos="8296"/>
              <w:tab w:val="right" w:leader="dot" w:pos="8306"/>
            </w:tabs>
            <w:spacing w:line="288" w:lineRule="auto"/>
            <w:rPr>
              <w:rFonts w:ascii="宋体" w:eastAsia="宋体" w:hAnsi="宋体" w:cs="宋体"/>
              <w:sz w:val="24"/>
              <w:szCs w:val="24"/>
            </w:rPr>
          </w:pPr>
          <w:r w:rsidRPr="0018623D">
            <w:rPr>
              <w:rFonts w:ascii="Times New Roman" w:hAnsi="Times New Roman"/>
            </w:rPr>
            <w:fldChar w:fldCharType="begin"/>
          </w:r>
          <w:r w:rsidR="00971571">
            <w:rPr>
              <w:rFonts w:ascii="Times New Roman" w:hAnsi="Times New Roman"/>
            </w:rPr>
            <w:instrText xml:space="preserve">TOC \o "1-2" \h \u </w:instrText>
          </w:r>
          <w:r w:rsidRPr="0018623D">
            <w:rPr>
              <w:rFonts w:ascii="Times New Roman" w:hAnsi="Times New Roman"/>
            </w:rPr>
            <w:fldChar w:fldCharType="separate"/>
          </w:r>
          <w:hyperlink w:anchor="_Toc3933" w:history="1">
            <w:r w:rsidR="00971571">
              <w:rPr>
                <w:rFonts w:ascii="宋体" w:eastAsia="宋体" w:hAnsi="宋体" w:cs="宋体" w:hint="eastAsia"/>
                <w:sz w:val="24"/>
                <w:szCs w:val="24"/>
              </w:rPr>
              <w:t>第一部分</w:t>
            </w:r>
            <w:r w:rsidR="00971571">
              <w:rPr>
                <w:rFonts w:ascii="宋体" w:eastAsia="宋体" w:hAnsi="宋体" w:cs="宋体" w:hint="eastAsia"/>
                <w:sz w:val="24"/>
                <w:szCs w:val="24"/>
              </w:rPr>
              <w:t xml:space="preserve"> </w:t>
            </w:r>
            <w:r w:rsidR="00971571">
              <w:rPr>
                <w:rFonts w:ascii="宋体" w:eastAsia="宋体" w:hAnsi="宋体" w:cs="宋体" w:hint="eastAsia"/>
                <w:sz w:val="24"/>
                <w:szCs w:val="24"/>
              </w:rPr>
              <w:t>单位概况</w:t>
            </w:r>
            <w:r w:rsidR="00971571">
              <w:rPr>
                <w:rFonts w:ascii="宋体" w:eastAsia="宋体" w:hAnsi="宋体" w:cs="宋体" w:hint="eastAsia"/>
                <w:sz w:val="24"/>
                <w:szCs w:val="24"/>
              </w:rPr>
              <w:tab/>
            </w:r>
            <w:r>
              <w:rPr>
                <w:rFonts w:ascii="宋体" w:eastAsia="宋体" w:hAnsi="宋体" w:cs="宋体" w:hint="eastAsia"/>
                <w:sz w:val="24"/>
                <w:szCs w:val="24"/>
              </w:rPr>
              <w:fldChar w:fldCharType="begin"/>
            </w:r>
            <w:r w:rsidR="00971571">
              <w:rPr>
                <w:rFonts w:ascii="宋体" w:eastAsia="宋体" w:hAnsi="宋体" w:cs="宋体" w:hint="eastAsia"/>
                <w:sz w:val="24"/>
                <w:szCs w:val="24"/>
              </w:rPr>
              <w:instrText xml:space="preserve"> PAGEREF _Toc3933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971571">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3261" w:history="1">
            <w:r w:rsidR="00971571">
              <w:rPr>
                <w:rFonts w:ascii="宋体" w:hAnsi="宋体" w:cs="宋体" w:hint="eastAsia"/>
                <w:sz w:val="24"/>
              </w:rPr>
              <w:t>一、主要职责</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_Toc3261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3</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0148" w:history="1">
            <w:r w:rsidR="00971571">
              <w:rPr>
                <w:rFonts w:ascii="宋体" w:hAnsi="宋体" w:cs="宋体" w:hint="eastAsia"/>
                <w:sz w:val="24"/>
              </w:rPr>
              <w:t>二、机构设置</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_Toc10148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3</w:t>
            </w:r>
            <w:r>
              <w:rPr>
                <w:rFonts w:ascii="宋体" w:hAnsi="宋体" w:cs="宋体" w:hint="eastAsia"/>
                <w:sz w:val="24"/>
              </w:rPr>
              <w:fldChar w:fldCharType="end"/>
            </w:r>
          </w:hyperlink>
        </w:p>
        <w:p w:rsidR="0018623D" w:rsidRDefault="0018623D">
          <w:pPr>
            <w:pStyle w:val="10"/>
            <w:tabs>
              <w:tab w:val="clear" w:pos="8296"/>
              <w:tab w:val="right" w:leader="dot" w:pos="8306"/>
            </w:tabs>
            <w:spacing w:line="288" w:lineRule="auto"/>
            <w:rPr>
              <w:rFonts w:ascii="宋体" w:eastAsia="宋体" w:hAnsi="宋体" w:cs="宋体"/>
              <w:sz w:val="24"/>
              <w:szCs w:val="24"/>
            </w:rPr>
          </w:pPr>
          <w:hyperlink w:anchor="_Toc19147" w:history="1">
            <w:r w:rsidR="00971571">
              <w:rPr>
                <w:rFonts w:ascii="宋体" w:eastAsia="宋体" w:hAnsi="宋体" w:cs="宋体" w:hint="eastAsia"/>
                <w:sz w:val="24"/>
                <w:szCs w:val="24"/>
              </w:rPr>
              <w:t>第二部分</w:t>
            </w:r>
            <w:r w:rsidR="00971571">
              <w:rPr>
                <w:rFonts w:ascii="宋体" w:eastAsia="宋体" w:hAnsi="宋体" w:cs="宋体" w:hint="eastAsia"/>
                <w:sz w:val="24"/>
                <w:szCs w:val="24"/>
              </w:rPr>
              <w:t xml:space="preserve"> 2022</w:t>
            </w:r>
            <w:r w:rsidR="00971571">
              <w:rPr>
                <w:rFonts w:ascii="宋体" w:eastAsia="宋体" w:hAnsi="宋体" w:cs="宋体" w:hint="eastAsia"/>
                <w:sz w:val="24"/>
                <w:szCs w:val="24"/>
              </w:rPr>
              <w:t>年度</w:t>
            </w:r>
            <w:r w:rsidR="00971571">
              <w:rPr>
                <w:rFonts w:ascii="宋体" w:eastAsia="宋体" w:hAnsi="宋体" w:cs="宋体" w:hint="eastAsia"/>
                <w:bCs/>
                <w:sz w:val="24"/>
                <w:szCs w:val="24"/>
              </w:rPr>
              <w:t>单位决算情况说明</w:t>
            </w:r>
            <w:r w:rsidR="00971571">
              <w:rPr>
                <w:rFonts w:ascii="宋体" w:eastAsia="宋体" w:hAnsi="宋体" w:cs="宋体" w:hint="eastAsia"/>
                <w:sz w:val="24"/>
                <w:szCs w:val="24"/>
              </w:rPr>
              <w:tab/>
            </w:r>
            <w:r>
              <w:rPr>
                <w:rFonts w:ascii="宋体" w:eastAsia="宋体" w:hAnsi="宋体" w:cs="宋体" w:hint="eastAsia"/>
                <w:sz w:val="24"/>
                <w:szCs w:val="24"/>
              </w:rPr>
              <w:fldChar w:fldCharType="begin"/>
            </w:r>
            <w:r w:rsidR="00971571">
              <w:rPr>
                <w:rFonts w:ascii="宋体" w:eastAsia="宋体" w:hAnsi="宋体" w:cs="宋体" w:hint="eastAsia"/>
                <w:sz w:val="24"/>
                <w:szCs w:val="24"/>
              </w:rPr>
              <w:instrText xml:space="preserve"> PAGEREF _Toc19147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971571">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6113" w:history="1">
            <w:r w:rsidR="00971571">
              <w:rPr>
                <w:rFonts w:ascii="宋体" w:hAnsi="宋体" w:cs="宋体" w:hint="eastAsia"/>
                <w:sz w:val="24"/>
              </w:rPr>
              <w:t>一、收入支出决算总体情况说明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_Toc16113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4</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24094" w:history="1">
            <w:r w:rsidR="00971571">
              <w:rPr>
                <w:rFonts w:ascii="宋体" w:hAnsi="宋体" w:cs="宋体" w:hint="eastAsia"/>
                <w:sz w:val="24"/>
              </w:rPr>
              <w:t>二、收入决算情况说明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_Toc24094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4</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4197" w:history="1">
            <w:r w:rsidR="00971571">
              <w:rPr>
                <w:rFonts w:ascii="宋体" w:hAnsi="宋体" w:cs="宋体" w:hint="eastAsia"/>
                <w:sz w:val="24"/>
              </w:rPr>
              <w:t>三、支出决算情况说明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_Toc4197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5</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536" w:history="1">
            <w:r w:rsidR="00971571">
              <w:rPr>
                <w:rFonts w:ascii="宋体" w:hAnsi="宋体" w:cs="宋体" w:hint="eastAsia"/>
                <w:sz w:val="24"/>
              </w:rPr>
              <w:t>四、财政拨款收入支出决算总体情况说明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_Toc536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5</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1158" w:history="1">
            <w:r w:rsidR="00971571">
              <w:rPr>
                <w:rFonts w:ascii="宋体" w:hAnsi="宋体" w:cs="宋体" w:hint="eastAsia"/>
                <w:sz w:val="24"/>
              </w:rPr>
              <w:t>五、一般公共预算财政拨款支出决算情况说明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_Toc11158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6</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0952" w:history="1">
            <w:r w:rsidR="00971571">
              <w:rPr>
                <w:rFonts w:ascii="宋体" w:hAnsi="宋体" w:cs="宋体" w:hint="eastAsia"/>
                <w:sz w:val="24"/>
              </w:rPr>
              <w:t>六、一般公共预算财政拨款基本支出决算情况说明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w:instrText>
            </w:r>
            <w:r w:rsidR="00971571">
              <w:rPr>
                <w:rFonts w:ascii="宋体" w:hAnsi="宋体" w:cs="宋体" w:hint="eastAsia"/>
                <w:sz w:val="24"/>
              </w:rPr>
              <w:instrText xml:space="preserve">Toc10952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5091" w:history="1">
            <w:r w:rsidR="00971571">
              <w:rPr>
                <w:rFonts w:ascii="宋体" w:hAnsi="宋体" w:cs="宋体" w:hint="eastAsia"/>
                <w:sz w:val="24"/>
              </w:rPr>
              <w:t>七、财政拨款“三公”经费支出决算情况说明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_Toc5091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10</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22385" w:history="1">
            <w:r w:rsidR="00971571">
              <w:rPr>
                <w:rFonts w:ascii="宋体" w:hAnsi="宋体" w:cs="宋体" w:hint="eastAsia"/>
                <w:sz w:val="24"/>
              </w:rPr>
              <w:t>八、政府性基金预算支出决算情况说明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_Toc22385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12</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4166" w:history="1">
            <w:r w:rsidR="00971571">
              <w:rPr>
                <w:rFonts w:ascii="宋体" w:hAnsi="宋体" w:cs="宋体" w:hint="eastAsia"/>
                <w:sz w:val="24"/>
              </w:rPr>
              <w:t>九、国有资本经营预算支出决算情况说明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_Toc14166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12</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25192" w:history="1">
            <w:r w:rsidR="00971571">
              <w:rPr>
                <w:rFonts w:ascii="宋体" w:hAnsi="宋体" w:cs="宋体" w:hint="eastAsia"/>
                <w:sz w:val="24"/>
              </w:rPr>
              <w:t>十、其他重要事项的情况说明</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_Toc25192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12</w:t>
            </w:r>
            <w:r>
              <w:rPr>
                <w:rFonts w:ascii="宋体" w:hAnsi="宋体" w:cs="宋体" w:hint="eastAsia"/>
                <w:sz w:val="24"/>
              </w:rPr>
              <w:fldChar w:fldCharType="end"/>
            </w:r>
          </w:hyperlink>
        </w:p>
        <w:p w:rsidR="0018623D" w:rsidRDefault="0018623D">
          <w:pPr>
            <w:pStyle w:val="10"/>
            <w:tabs>
              <w:tab w:val="clear" w:pos="8296"/>
              <w:tab w:val="right" w:leader="dot" w:pos="8306"/>
            </w:tabs>
            <w:spacing w:line="288" w:lineRule="auto"/>
            <w:rPr>
              <w:rFonts w:ascii="宋体" w:eastAsia="宋体" w:hAnsi="宋体" w:cs="宋体"/>
              <w:sz w:val="24"/>
              <w:szCs w:val="24"/>
            </w:rPr>
          </w:pPr>
          <w:hyperlink w:anchor="_Toc24994" w:history="1">
            <w:r w:rsidR="00971571">
              <w:rPr>
                <w:rFonts w:ascii="宋体" w:eastAsia="宋体" w:hAnsi="宋体" w:cs="宋体" w:hint="eastAsia"/>
                <w:sz w:val="24"/>
                <w:szCs w:val="24"/>
              </w:rPr>
              <w:t>第三部分</w:t>
            </w:r>
            <w:r w:rsidR="00971571">
              <w:rPr>
                <w:rFonts w:ascii="宋体" w:eastAsia="宋体" w:hAnsi="宋体" w:cs="宋体" w:hint="eastAsia"/>
                <w:sz w:val="24"/>
                <w:szCs w:val="24"/>
              </w:rPr>
              <w:t xml:space="preserve"> </w:t>
            </w:r>
            <w:r w:rsidR="00971571">
              <w:rPr>
                <w:rFonts w:ascii="宋体" w:eastAsia="宋体" w:hAnsi="宋体" w:cs="宋体" w:hint="eastAsia"/>
                <w:sz w:val="24"/>
                <w:szCs w:val="24"/>
              </w:rPr>
              <w:t>名词解释</w:t>
            </w:r>
            <w:r w:rsidR="00971571">
              <w:rPr>
                <w:rFonts w:ascii="宋体" w:eastAsia="宋体" w:hAnsi="宋体" w:cs="宋体" w:hint="eastAsia"/>
                <w:sz w:val="24"/>
                <w:szCs w:val="24"/>
              </w:rPr>
              <w:tab/>
            </w:r>
            <w:r>
              <w:rPr>
                <w:rFonts w:ascii="宋体" w:eastAsia="宋体" w:hAnsi="宋体" w:cs="宋体" w:hint="eastAsia"/>
                <w:sz w:val="24"/>
                <w:szCs w:val="24"/>
              </w:rPr>
              <w:fldChar w:fldCharType="begin"/>
            </w:r>
            <w:r w:rsidR="00971571">
              <w:rPr>
                <w:rFonts w:ascii="宋体" w:eastAsia="宋体" w:hAnsi="宋体" w:cs="宋体" w:hint="eastAsia"/>
                <w:sz w:val="24"/>
                <w:szCs w:val="24"/>
              </w:rPr>
              <w:instrText xml:space="preserve"> PAGEREF _Toc24994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971571">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18623D" w:rsidRDefault="0018623D">
          <w:pPr>
            <w:pStyle w:val="10"/>
            <w:tabs>
              <w:tab w:val="clear" w:pos="8296"/>
              <w:tab w:val="right" w:leader="dot" w:pos="8306"/>
            </w:tabs>
            <w:spacing w:line="288" w:lineRule="auto"/>
            <w:rPr>
              <w:rFonts w:ascii="宋体" w:eastAsia="宋体" w:hAnsi="宋体" w:cs="宋体"/>
              <w:sz w:val="24"/>
              <w:szCs w:val="24"/>
            </w:rPr>
          </w:pPr>
          <w:hyperlink w:anchor="_Toc151" w:history="1">
            <w:r w:rsidR="00971571">
              <w:rPr>
                <w:rFonts w:ascii="宋体" w:eastAsia="宋体" w:hAnsi="宋体" w:cs="宋体" w:hint="eastAsia"/>
                <w:sz w:val="24"/>
                <w:szCs w:val="24"/>
              </w:rPr>
              <w:t>第四部分</w:t>
            </w:r>
            <w:r w:rsidR="00971571">
              <w:rPr>
                <w:rFonts w:ascii="宋体" w:eastAsia="宋体" w:hAnsi="宋体" w:cs="宋体" w:hint="eastAsia"/>
                <w:sz w:val="24"/>
                <w:szCs w:val="24"/>
              </w:rPr>
              <w:t xml:space="preserve"> </w:t>
            </w:r>
            <w:r w:rsidR="00971571">
              <w:rPr>
                <w:rFonts w:ascii="宋体" w:eastAsia="宋体" w:hAnsi="宋体" w:cs="宋体" w:hint="eastAsia"/>
                <w:sz w:val="24"/>
                <w:szCs w:val="24"/>
              </w:rPr>
              <w:t>附件</w:t>
            </w:r>
            <w:r w:rsidR="00971571">
              <w:rPr>
                <w:rFonts w:ascii="宋体" w:eastAsia="宋体" w:hAnsi="宋体" w:cs="宋体" w:hint="eastAsia"/>
                <w:sz w:val="24"/>
                <w:szCs w:val="24"/>
              </w:rPr>
              <w:tab/>
            </w:r>
            <w:r>
              <w:rPr>
                <w:rFonts w:ascii="宋体" w:eastAsia="宋体" w:hAnsi="宋体" w:cs="宋体" w:hint="eastAsia"/>
                <w:sz w:val="24"/>
                <w:szCs w:val="24"/>
              </w:rPr>
              <w:fldChar w:fldCharType="begin"/>
            </w:r>
            <w:r w:rsidR="00971571">
              <w:rPr>
                <w:rFonts w:ascii="宋体" w:eastAsia="宋体" w:hAnsi="宋体" w:cs="宋体" w:hint="eastAsia"/>
                <w:sz w:val="24"/>
                <w:szCs w:val="24"/>
              </w:rPr>
              <w:instrText xml:space="preserve"> PAGEREF _Toc151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971571">
              <w:rPr>
                <w:rFonts w:ascii="宋体" w:eastAsia="宋体" w:hAnsi="宋体" w:cs="宋体" w:hint="eastAsia"/>
                <w:sz w:val="24"/>
                <w:szCs w:val="24"/>
              </w:rPr>
              <w:t>18</w:t>
            </w:r>
            <w:r>
              <w:rPr>
                <w:rFonts w:ascii="宋体" w:eastAsia="宋体" w:hAnsi="宋体" w:cs="宋体" w:hint="eastAsia"/>
                <w:sz w:val="24"/>
                <w:szCs w:val="24"/>
              </w:rPr>
              <w:fldChar w:fldCharType="end"/>
            </w:r>
          </w:hyperlink>
        </w:p>
        <w:p w:rsidR="0018623D" w:rsidRDefault="0018623D">
          <w:pPr>
            <w:pStyle w:val="10"/>
            <w:tabs>
              <w:tab w:val="clear" w:pos="8296"/>
              <w:tab w:val="right" w:leader="dot" w:pos="8306"/>
            </w:tabs>
            <w:spacing w:line="288" w:lineRule="auto"/>
            <w:rPr>
              <w:rFonts w:ascii="宋体" w:eastAsia="宋体" w:hAnsi="宋体" w:cs="宋体"/>
              <w:sz w:val="24"/>
              <w:szCs w:val="24"/>
            </w:rPr>
          </w:pPr>
          <w:hyperlink w:anchor="_Toc13309" w:history="1">
            <w:r w:rsidR="00971571">
              <w:rPr>
                <w:rFonts w:ascii="宋体" w:eastAsia="宋体" w:hAnsi="宋体" w:cs="宋体" w:hint="eastAsia"/>
                <w:sz w:val="24"/>
                <w:szCs w:val="24"/>
              </w:rPr>
              <w:t>第五部分</w:t>
            </w:r>
            <w:r w:rsidR="00971571">
              <w:rPr>
                <w:rFonts w:ascii="宋体" w:eastAsia="宋体" w:hAnsi="宋体" w:cs="宋体" w:hint="eastAsia"/>
                <w:sz w:val="24"/>
                <w:szCs w:val="24"/>
              </w:rPr>
              <w:t xml:space="preserve"> </w:t>
            </w:r>
            <w:r w:rsidR="00971571">
              <w:rPr>
                <w:rFonts w:ascii="宋体" w:eastAsia="宋体" w:hAnsi="宋体" w:cs="宋体" w:hint="eastAsia"/>
                <w:sz w:val="24"/>
                <w:szCs w:val="24"/>
              </w:rPr>
              <w:t>附表</w:t>
            </w:r>
            <w:r w:rsidR="00971571">
              <w:rPr>
                <w:rFonts w:ascii="宋体" w:eastAsia="宋体" w:hAnsi="宋体" w:cs="宋体" w:hint="eastAsia"/>
                <w:sz w:val="24"/>
                <w:szCs w:val="24"/>
              </w:rPr>
              <w:tab/>
            </w:r>
            <w:r>
              <w:rPr>
                <w:rFonts w:ascii="宋体" w:eastAsia="宋体" w:hAnsi="宋体" w:cs="宋体" w:hint="eastAsia"/>
                <w:sz w:val="24"/>
                <w:szCs w:val="24"/>
              </w:rPr>
              <w:fldChar w:fldCharType="begin"/>
            </w:r>
            <w:r w:rsidR="00971571">
              <w:rPr>
                <w:rFonts w:ascii="宋体" w:eastAsia="宋体" w:hAnsi="宋体" w:cs="宋体" w:hint="eastAsia"/>
                <w:sz w:val="24"/>
                <w:szCs w:val="24"/>
              </w:rPr>
              <w:instrText xml:space="preserve"> PAGEREF _Toc13309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971571">
              <w:rPr>
                <w:rFonts w:ascii="宋体" w:eastAsia="宋体" w:hAnsi="宋体" w:cs="宋体" w:hint="eastAsia"/>
                <w:sz w:val="24"/>
                <w:szCs w:val="24"/>
              </w:rPr>
              <w:t>19</w:t>
            </w:r>
            <w:r>
              <w:rPr>
                <w:rFonts w:ascii="宋体" w:eastAsia="宋体" w:hAnsi="宋体" w:cs="宋体" w:hint="eastAsia"/>
                <w:sz w:val="24"/>
                <w:szCs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30316" w:history="1">
            <w:r w:rsidR="00971571">
              <w:rPr>
                <w:rFonts w:ascii="宋体" w:hAnsi="宋体" w:cs="宋体" w:hint="eastAsia"/>
                <w:sz w:val="24"/>
              </w:rPr>
              <w:t>一、收入支出决算总表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_Toc30316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2522" w:history="1">
            <w:r w:rsidR="00971571">
              <w:rPr>
                <w:rFonts w:ascii="宋体" w:hAnsi="宋体" w:cs="宋体" w:hint="eastAsia"/>
                <w:sz w:val="24"/>
              </w:rPr>
              <w:t>二、收入决算表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_Toc12522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29956" w:history="1">
            <w:r w:rsidR="00971571">
              <w:rPr>
                <w:rFonts w:ascii="宋体" w:hAnsi="宋体" w:cs="宋体" w:hint="eastAsia"/>
                <w:sz w:val="24"/>
              </w:rPr>
              <w:t>三、支出决算表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_Toc29956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9003" w:history="1">
            <w:r w:rsidR="00971571">
              <w:rPr>
                <w:rFonts w:ascii="宋体" w:hAnsi="宋体" w:cs="宋体" w:hint="eastAsia"/>
                <w:sz w:val="24"/>
              </w:rPr>
              <w:t>四、财政拨款收入支出决算总表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_Toc9003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27077" w:history="1">
            <w:r w:rsidR="00971571">
              <w:rPr>
                <w:rFonts w:ascii="宋体" w:hAnsi="宋体" w:cs="宋体" w:hint="eastAsia"/>
                <w:sz w:val="24"/>
              </w:rPr>
              <w:t>五、财政拨款支出决算明细表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_Toc27077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8567" w:history="1">
            <w:r w:rsidR="00971571">
              <w:rPr>
                <w:rFonts w:ascii="宋体" w:hAnsi="宋体" w:cs="宋体" w:hint="eastAsia"/>
                <w:sz w:val="24"/>
              </w:rPr>
              <w:t>六、一般公共预算财政拨款支出决算表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_Toc8567 \h</w:instrText>
            </w:r>
            <w:r w:rsidR="00971571">
              <w:rPr>
                <w:rFonts w:ascii="宋体" w:hAnsi="宋体" w:cs="宋体" w:hint="eastAsia"/>
                <w:sz w:val="24"/>
              </w:rPr>
              <w:instrText xml:space="preserve">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7120" w:history="1">
            <w:r w:rsidR="00971571">
              <w:rPr>
                <w:rFonts w:ascii="宋体" w:hAnsi="宋体" w:cs="宋体" w:hint="eastAsia"/>
                <w:sz w:val="24"/>
              </w:rPr>
              <w:t>七、一般公共预算财政拨款支出决算明细表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_Toc7120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5527" w:history="1">
            <w:r w:rsidR="00971571">
              <w:rPr>
                <w:rFonts w:ascii="宋体" w:hAnsi="宋体" w:cs="宋体" w:hint="eastAsia"/>
                <w:sz w:val="24"/>
              </w:rPr>
              <w:t>八、一般公共预算财政拨款基本支出决算明细表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w:instrText>
            </w:r>
            <w:r w:rsidR="00971571">
              <w:rPr>
                <w:rFonts w:ascii="宋体" w:hAnsi="宋体" w:cs="宋体" w:hint="eastAsia"/>
                <w:sz w:val="24"/>
              </w:rPr>
              <w:instrText xml:space="preserve">EF _Toc15527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3563" w:history="1">
            <w:r w:rsidR="00971571">
              <w:rPr>
                <w:rFonts w:ascii="宋体" w:hAnsi="宋体" w:cs="宋体" w:hint="eastAsia"/>
                <w:sz w:val="24"/>
              </w:rPr>
              <w:t>九、一般公共预算财政拨款项目支出决算表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_Toc3563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5234" w:history="1">
            <w:r w:rsidR="00971571">
              <w:rPr>
                <w:rFonts w:ascii="宋体" w:hAnsi="宋体" w:cs="宋体" w:hint="eastAsia"/>
                <w:sz w:val="24"/>
              </w:rPr>
              <w:t>十、政府性基金预算财政拨款</w:t>
            </w:r>
            <w:r w:rsidR="00971571">
              <w:rPr>
                <w:rFonts w:ascii="宋体" w:hAnsi="宋体" w:cs="宋体" w:hint="eastAsia"/>
                <w:sz w:val="24"/>
              </w:rPr>
              <w:t>收入支出决算表（此表无数据）</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_Toc5234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4309" w:history="1">
            <w:r w:rsidR="00971571">
              <w:rPr>
                <w:rFonts w:ascii="宋体" w:hAnsi="宋体" w:cs="宋体" w:hint="eastAsia"/>
                <w:sz w:val="24"/>
              </w:rPr>
              <w:t>十一、国有资本经营预算财政拨款收入支出决算表（此表无数据）</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_Toc4309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rPr>
              <w:rFonts w:ascii="宋体" w:hAnsi="宋体" w:cs="宋体"/>
              <w:sz w:val="24"/>
            </w:rPr>
          </w:pPr>
          <w:hyperlink w:anchor="_Toc12022" w:history="1">
            <w:r w:rsidR="00971571">
              <w:rPr>
                <w:rFonts w:ascii="宋体" w:hAnsi="宋体" w:cs="宋体" w:hint="eastAsia"/>
                <w:sz w:val="24"/>
              </w:rPr>
              <w:t>十二、国有资本经营预算财政拨款支出决算表（此表无数据）</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PAGEREF _Toc12022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pPr>
            <w:pStyle w:val="20"/>
            <w:tabs>
              <w:tab w:val="clear" w:pos="8296"/>
              <w:tab w:val="right" w:leader="dot" w:pos="8306"/>
            </w:tabs>
            <w:spacing w:line="288" w:lineRule="auto"/>
          </w:pPr>
          <w:hyperlink w:anchor="_Toc4386" w:history="1">
            <w:r w:rsidR="00971571">
              <w:rPr>
                <w:rFonts w:ascii="宋体" w:hAnsi="宋体" w:cs="宋体" w:hint="eastAsia"/>
                <w:sz w:val="24"/>
              </w:rPr>
              <w:t>十三、财政拨款“三公”经费支出决算表</w:t>
            </w:r>
            <w:r w:rsidR="00971571">
              <w:rPr>
                <w:rFonts w:ascii="宋体" w:hAnsi="宋体" w:cs="宋体" w:hint="eastAsia"/>
                <w:sz w:val="24"/>
              </w:rPr>
              <w:tab/>
            </w:r>
            <w:r>
              <w:rPr>
                <w:rFonts w:ascii="宋体" w:hAnsi="宋体" w:cs="宋体" w:hint="eastAsia"/>
                <w:sz w:val="24"/>
              </w:rPr>
              <w:fldChar w:fldCharType="begin"/>
            </w:r>
            <w:r w:rsidR="00971571">
              <w:rPr>
                <w:rFonts w:ascii="宋体" w:hAnsi="宋体" w:cs="宋体" w:hint="eastAsia"/>
                <w:sz w:val="24"/>
              </w:rPr>
              <w:instrText xml:space="preserve"> PAGE</w:instrText>
            </w:r>
            <w:r w:rsidR="00971571">
              <w:rPr>
                <w:rFonts w:ascii="宋体" w:hAnsi="宋体" w:cs="宋体" w:hint="eastAsia"/>
                <w:sz w:val="24"/>
              </w:rPr>
              <w:instrText xml:space="preserve">REF _Toc4386 \h </w:instrText>
            </w:r>
            <w:r>
              <w:rPr>
                <w:rFonts w:ascii="宋体" w:hAnsi="宋体" w:cs="宋体" w:hint="eastAsia"/>
                <w:sz w:val="24"/>
              </w:rPr>
            </w:r>
            <w:r>
              <w:rPr>
                <w:rFonts w:ascii="宋体" w:hAnsi="宋体" w:cs="宋体" w:hint="eastAsia"/>
                <w:sz w:val="24"/>
              </w:rPr>
              <w:fldChar w:fldCharType="separate"/>
            </w:r>
            <w:r w:rsidR="00971571">
              <w:rPr>
                <w:rFonts w:ascii="宋体" w:hAnsi="宋体" w:cs="宋体" w:hint="eastAsia"/>
                <w:sz w:val="24"/>
              </w:rPr>
              <w:t>19</w:t>
            </w:r>
            <w:r>
              <w:rPr>
                <w:rFonts w:ascii="宋体" w:hAnsi="宋体" w:cs="宋体" w:hint="eastAsia"/>
                <w:sz w:val="24"/>
              </w:rPr>
              <w:fldChar w:fldCharType="end"/>
            </w:r>
          </w:hyperlink>
        </w:p>
        <w:p w:rsidR="0018623D" w:rsidRDefault="0018623D">
          <w:r>
            <w:fldChar w:fldCharType="end"/>
          </w:r>
        </w:p>
      </w:sdtContent>
    </w:sdt>
    <w:p w:rsidR="0018623D" w:rsidRDefault="0018623D">
      <w:pPr>
        <w:pStyle w:val="1"/>
        <w:jc w:val="center"/>
        <w:rPr>
          <w:rFonts w:eastAsia="黑体"/>
          <w:b w:val="0"/>
        </w:rPr>
        <w:sectPr w:rsidR="0018623D">
          <w:headerReference w:type="default" r:id="rId8"/>
          <w:footerReference w:type="default" r:id="rId9"/>
          <w:pgSz w:w="11906" w:h="16838"/>
          <w:pgMar w:top="1440" w:right="1800" w:bottom="1440" w:left="1800" w:header="851" w:footer="992" w:gutter="0"/>
          <w:pgNumType w:start="1"/>
          <w:cols w:space="425"/>
          <w:titlePg/>
          <w:docGrid w:type="lines" w:linePitch="312"/>
        </w:sectPr>
      </w:pPr>
      <w:bookmarkStart w:id="12" w:name="_Toc15396599"/>
      <w:bookmarkStart w:id="13" w:name="_Toc3933"/>
      <w:bookmarkStart w:id="14" w:name="_Toc15377196"/>
    </w:p>
    <w:p w:rsidR="0018623D" w:rsidRDefault="00971571">
      <w:pPr>
        <w:pStyle w:val="1"/>
        <w:jc w:val="center"/>
        <w:rPr>
          <w:rStyle w:val="1Char"/>
          <w:rFonts w:eastAsia="黑体"/>
          <w:b/>
        </w:rPr>
      </w:pPr>
      <w:r>
        <w:rPr>
          <w:rFonts w:eastAsia="黑体" w:hAnsi="黑体"/>
          <w:b w:val="0"/>
        </w:rPr>
        <w:lastRenderedPageBreak/>
        <w:t>第一部分单位</w:t>
      </w:r>
      <w:r>
        <w:rPr>
          <w:rStyle w:val="1Char"/>
          <w:rFonts w:eastAsia="黑体" w:hAnsi="黑体"/>
        </w:rPr>
        <w:t>概况</w:t>
      </w:r>
      <w:bookmarkEnd w:id="12"/>
      <w:bookmarkEnd w:id="13"/>
      <w:bookmarkEnd w:id="14"/>
    </w:p>
    <w:p w:rsidR="0018623D" w:rsidRDefault="0018623D">
      <w:pPr>
        <w:widowControl/>
        <w:jc w:val="left"/>
        <w:rPr>
          <w:rFonts w:eastAsia="黑体"/>
          <w:sz w:val="32"/>
          <w:szCs w:val="32"/>
        </w:rPr>
      </w:pPr>
    </w:p>
    <w:p w:rsidR="0018623D" w:rsidRDefault="00971571">
      <w:pPr>
        <w:pStyle w:val="2"/>
        <w:numPr>
          <w:ilvl w:val="0"/>
          <w:numId w:val="1"/>
        </w:numPr>
        <w:ind w:firstLineChars="200" w:firstLine="640"/>
        <w:rPr>
          <w:rStyle w:val="2Char"/>
          <w:rFonts w:ascii="Times New Roman" w:eastAsia="黑体" w:hAnsi="Times New Roman" w:cs="Times New Roman"/>
        </w:rPr>
      </w:pPr>
      <w:bookmarkStart w:id="15" w:name="_Toc3261"/>
      <w:bookmarkStart w:id="16" w:name="_Toc15377197"/>
      <w:bookmarkStart w:id="17" w:name="_Toc15396600"/>
      <w:r>
        <w:rPr>
          <w:rStyle w:val="2Char"/>
          <w:rFonts w:ascii="Times New Roman" w:eastAsia="黑体" w:hAnsi="黑体" w:cs="Times New Roman"/>
        </w:rPr>
        <w:t>主要职责</w:t>
      </w:r>
      <w:bookmarkEnd w:id="15"/>
    </w:p>
    <w:p w:rsidR="0018623D" w:rsidRDefault="00971571">
      <w:pPr>
        <w:pStyle w:val="a0"/>
        <w:adjustRightInd w:val="0"/>
        <w:spacing w:beforeLines="0" w:line="560" w:lineRule="exact"/>
        <w:ind w:firstLineChars="200" w:firstLine="640"/>
        <w:rPr>
          <w:rFonts w:ascii="Times New Roman"/>
        </w:rPr>
      </w:pPr>
      <w:r>
        <w:rPr>
          <w:rFonts w:ascii="Times New Roman"/>
          <w:sz w:val="32"/>
        </w:rPr>
        <w:t>攀枝花中国三线建设博物馆承担历史文物和三线建设实物标本的收集、采集、整理、保管、典藏和展示陈列，及其鉴定、研究与开发利用工作，以及承担文物发掘、保护职能。</w:t>
      </w:r>
    </w:p>
    <w:p w:rsidR="0018623D" w:rsidRDefault="00971571">
      <w:pPr>
        <w:pStyle w:val="2"/>
        <w:ind w:firstLineChars="200" w:firstLine="640"/>
        <w:rPr>
          <w:rFonts w:ascii="Times New Roman" w:eastAsia="黑体" w:hAnsi="Times New Roman" w:cs="Times New Roman"/>
          <w:b w:val="0"/>
        </w:rPr>
      </w:pPr>
      <w:bookmarkStart w:id="18" w:name="_Toc10148"/>
      <w:r>
        <w:rPr>
          <w:rFonts w:ascii="Times New Roman" w:eastAsia="黑体" w:hAnsi="黑体" w:cs="Times New Roman"/>
          <w:b w:val="0"/>
        </w:rPr>
        <w:t>二、机构设置</w:t>
      </w:r>
      <w:bookmarkEnd w:id="18"/>
    </w:p>
    <w:bookmarkEnd w:id="16"/>
    <w:bookmarkEnd w:id="17"/>
    <w:p w:rsidR="0018623D" w:rsidRDefault="00971571">
      <w:pPr>
        <w:widowControl/>
        <w:spacing w:line="560" w:lineRule="exact"/>
        <w:ind w:firstLineChars="200" w:firstLine="640"/>
        <w:jc w:val="left"/>
        <w:rPr>
          <w:rFonts w:eastAsia="仿宋"/>
          <w:kern w:val="0"/>
          <w:sz w:val="32"/>
          <w:szCs w:val="32"/>
        </w:rPr>
      </w:pPr>
      <w:r>
        <w:rPr>
          <w:rFonts w:eastAsia="仿宋_GB2312"/>
          <w:kern w:val="0"/>
          <w:sz w:val="32"/>
        </w:rPr>
        <w:t>攀枝花中国三线建设博物馆是全额拨款的事业单位，下属非独立核算单位</w:t>
      </w:r>
      <w:r>
        <w:rPr>
          <w:rFonts w:eastAsia="仿宋_GB2312"/>
          <w:kern w:val="0"/>
          <w:sz w:val="32"/>
        </w:rPr>
        <w:t>0</w:t>
      </w:r>
      <w:r>
        <w:rPr>
          <w:rFonts w:eastAsia="仿宋_GB2312"/>
          <w:kern w:val="0"/>
          <w:sz w:val="32"/>
        </w:rPr>
        <w:t>个。</w:t>
      </w:r>
      <w:r>
        <w:rPr>
          <w:rFonts w:eastAsia="仿宋_GB2312"/>
          <w:kern w:val="0"/>
          <w:sz w:val="32"/>
        </w:rPr>
        <w:t>2020</w:t>
      </w:r>
      <w:r>
        <w:rPr>
          <w:rFonts w:eastAsia="仿宋_GB2312"/>
          <w:kern w:val="0"/>
          <w:sz w:val="32"/>
        </w:rPr>
        <w:t>年因机构改革，攀枝花中国三线建设博物馆从副县级单位升级为正县级单位，单位内设机构数</w:t>
      </w:r>
      <w:r>
        <w:rPr>
          <w:rFonts w:eastAsia="仿宋_GB2312"/>
          <w:kern w:val="0"/>
          <w:sz w:val="32"/>
        </w:rPr>
        <w:t>6</w:t>
      </w:r>
      <w:r>
        <w:rPr>
          <w:rFonts w:eastAsia="仿宋_GB2312"/>
          <w:kern w:val="0"/>
          <w:sz w:val="32"/>
        </w:rPr>
        <w:t>个，编制数</w:t>
      </w:r>
      <w:r>
        <w:rPr>
          <w:rFonts w:eastAsia="仿宋_GB2312"/>
          <w:kern w:val="0"/>
          <w:sz w:val="32"/>
        </w:rPr>
        <w:t>30</w:t>
      </w:r>
      <w:r>
        <w:rPr>
          <w:rFonts w:eastAsia="仿宋_GB2312"/>
          <w:kern w:val="0"/>
          <w:sz w:val="32"/>
        </w:rPr>
        <w:t>名。</w:t>
      </w:r>
      <w:r>
        <w:rPr>
          <w:rFonts w:eastAsia="仿宋"/>
          <w:sz w:val="32"/>
          <w:szCs w:val="32"/>
        </w:rPr>
        <w:br w:type="page"/>
      </w:r>
    </w:p>
    <w:p w:rsidR="0018623D" w:rsidRDefault="00971571">
      <w:pPr>
        <w:pStyle w:val="1"/>
        <w:ind w:right="440"/>
        <w:jc w:val="center"/>
        <w:rPr>
          <w:rStyle w:val="1Char"/>
          <w:rFonts w:eastAsia="黑体"/>
          <w:bCs/>
        </w:rPr>
      </w:pPr>
      <w:bookmarkStart w:id="19" w:name="_Toc19147"/>
      <w:bookmarkStart w:id="20" w:name="_Toc15396602"/>
      <w:bookmarkStart w:id="21" w:name="_Toc15377204"/>
      <w:r>
        <w:rPr>
          <w:rFonts w:eastAsia="黑体" w:hAnsi="黑体"/>
          <w:b w:val="0"/>
        </w:rPr>
        <w:lastRenderedPageBreak/>
        <w:t>第二部分</w:t>
      </w:r>
      <w:r>
        <w:rPr>
          <w:rFonts w:eastAsia="黑体"/>
          <w:b w:val="0"/>
        </w:rPr>
        <w:t xml:space="preserve"> 2022</w:t>
      </w:r>
      <w:r>
        <w:rPr>
          <w:rFonts w:eastAsia="黑体" w:hAnsi="黑体"/>
          <w:b w:val="0"/>
        </w:rPr>
        <w:t>年度</w:t>
      </w:r>
      <w:r>
        <w:rPr>
          <w:rStyle w:val="1Char"/>
          <w:rFonts w:eastAsia="黑体" w:hAnsi="黑体"/>
          <w:bCs/>
        </w:rPr>
        <w:t>单位决算情况说明</w:t>
      </w:r>
      <w:bookmarkEnd w:id="19"/>
      <w:bookmarkEnd w:id="20"/>
      <w:bookmarkEnd w:id="21"/>
    </w:p>
    <w:p w:rsidR="0018623D" w:rsidRDefault="0018623D"/>
    <w:p w:rsidR="0018623D" w:rsidRDefault="00971571">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2" w:name="_Toc16113"/>
      <w:bookmarkStart w:id="23" w:name="_Toc15396603"/>
      <w:bookmarkStart w:id="24" w:name="_Toc15377205"/>
      <w:r>
        <w:rPr>
          <w:rFonts w:eastAsia="黑体" w:hAnsi="黑体"/>
          <w:sz w:val="32"/>
          <w:szCs w:val="32"/>
        </w:rPr>
        <w:t>收</w:t>
      </w:r>
      <w:r>
        <w:rPr>
          <w:rStyle w:val="2Char"/>
          <w:rFonts w:ascii="Times New Roman" w:eastAsia="黑体" w:hAnsi="黑体" w:cs="Times New Roman"/>
          <w:b w:val="0"/>
        </w:rPr>
        <w:t>入支出决算总体情况说明</w:t>
      </w:r>
      <w:bookmarkEnd w:id="22"/>
      <w:bookmarkEnd w:id="23"/>
      <w:bookmarkEnd w:id="24"/>
    </w:p>
    <w:p w:rsidR="0018623D" w:rsidRDefault="00971571">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年度收、支总计</w:t>
      </w:r>
      <w:r>
        <w:rPr>
          <w:rFonts w:eastAsia="仿宋"/>
          <w:sz w:val="32"/>
          <w:szCs w:val="32"/>
        </w:rPr>
        <w:t>1130.90</w:t>
      </w:r>
      <w:r>
        <w:rPr>
          <w:rFonts w:eastAsia="仿宋" w:hAnsi="仿宋"/>
          <w:sz w:val="32"/>
          <w:szCs w:val="32"/>
        </w:rPr>
        <w:t>万元。与</w:t>
      </w:r>
      <w:r>
        <w:rPr>
          <w:rFonts w:eastAsia="仿宋"/>
          <w:sz w:val="32"/>
          <w:szCs w:val="32"/>
        </w:rPr>
        <w:t>2021</w:t>
      </w:r>
      <w:r>
        <w:rPr>
          <w:rFonts w:eastAsia="仿宋" w:hAnsi="仿宋"/>
          <w:sz w:val="32"/>
          <w:szCs w:val="32"/>
        </w:rPr>
        <w:t>年相比，收入增加</w:t>
      </w:r>
      <w:r>
        <w:rPr>
          <w:rFonts w:eastAsia="仿宋"/>
          <w:sz w:val="32"/>
          <w:szCs w:val="32"/>
        </w:rPr>
        <w:t>101.28</w:t>
      </w:r>
      <w:r>
        <w:rPr>
          <w:rFonts w:eastAsia="仿宋" w:hAnsi="仿宋"/>
          <w:sz w:val="32"/>
          <w:szCs w:val="32"/>
        </w:rPr>
        <w:t>万元，增长</w:t>
      </w:r>
      <w:r>
        <w:rPr>
          <w:rFonts w:eastAsia="仿宋"/>
          <w:sz w:val="32"/>
          <w:szCs w:val="32"/>
        </w:rPr>
        <w:t>9.84%</w:t>
      </w:r>
      <w:r>
        <w:rPr>
          <w:rFonts w:eastAsia="仿宋" w:hAnsi="仿宋"/>
          <w:sz w:val="32"/>
          <w:szCs w:val="32"/>
        </w:rPr>
        <w:t>；支出增加</w:t>
      </w:r>
      <w:r>
        <w:rPr>
          <w:rFonts w:eastAsia="仿宋"/>
          <w:sz w:val="32"/>
          <w:szCs w:val="32"/>
        </w:rPr>
        <w:t>101.28</w:t>
      </w:r>
      <w:r>
        <w:rPr>
          <w:rFonts w:eastAsia="仿宋" w:hAnsi="仿宋"/>
          <w:sz w:val="32"/>
          <w:szCs w:val="32"/>
        </w:rPr>
        <w:t>万元，增长</w:t>
      </w:r>
      <w:r>
        <w:rPr>
          <w:rFonts w:eastAsia="仿宋"/>
          <w:sz w:val="32"/>
          <w:szCs w:val="32"/>
        </w:rPr>
        <w:t>9.84%</w:t>
      </w:r>
      <w:r>
        <w:rPr>
          <w:rFonts w:eastAsia="仿宋" w:hAnsi="仿宋"/>
          <w:sz w:val="32"/>
          <w:szCs w:val="32"/>
        </w:rPr>
        <w:t>。主要变动原因是</w:t>
      </w:r>
      <w:r>
        <w:rPr>
          <w:rFonts w:eastAsia="仿宋"/>
          <w:sz w:val="32"/>
          <w:szCs w:val="32"/>
        </w:rPr>
        <w:t>2022</w:t>
      </w:r>
      <w:r>
        <w:rPr>
          <w:rFonts w:eastAsia="仿宋" w:hAnsi="仿宋"/>
          <w:sz w:val="32"/>
          <w:szCs w:val="32"/>
        </w:rPr>
        <w:t>年年初财政结转结余与</w:t>
      </w:r>
      <w:r>
        <w:rPr>
          <w:rFonts w:eastAsia="仿宋"/>
          <w:sz w:val="32"/>
          <w:szCs w:val="32"/>
        </w:rPr>
        <w:t>2021</w:t>
      </w:r>
      <w:r>
        <w:rPr>
          <w:rFonts w:eastAsia="仿宋" w:hAnsi="仿宋"/>
          <w:sz w:val="32"/>
          <w:szCs w:val="32"/>
        </w:rPr>
        <w:t>年相比增加</w:t>
      </w:r>
      <w:r>
        <w:rPr>
          <w:rFonts w:eastAsia="仿宋"/>
          <w:sz w:val="32"/>
          <w:szCs w:val="32"/>
        </w:rPr>
        <w:t>66.40</w:t>
      </w:r>
      <w:r>
        <w:rPr>
          <w:rFonts w:eastAsia="仿宋" w:hAnsi="仿宋"/>
          <w:sz w:val="32"/>
          <w:szCs w:val="32"/>
        </w:rPr>
        <w:t>万元，</w:t>
      </w:r>
      <w:r>
        <w:rPr>
          <w:rFonts w:eastAsia="仿宋"/>
          <w:sz w:val="32"/>
          <w:szCs w:val="32"/>
        </w:rPr>
        <w:t>2022</w:t>
      </w:r>
      <w:r>
        <w:rPr>
          <w:rFonts w:eastAsia="仿宋" w:hAnsi="仿宋"/>
          <w:sz w:val="32"/>
          <w:szCs w:val="32"/>
        </w:rPr>
        <w:t>年本年收入与</w:t>
      </w:r>
      <w:r>
        <w:rPr>
          <w:rFonts w:eastAsia="仿宋"/>
          <w:sz w:val="32"/>
          <w:szCs w:val="32"/>
        </w:rPr>
        <w:t>2021</w:t>
      </w:r>
      <w:r>
        <w:rPr>
          <w:rFonts w:eastAsia="仿宋" w:hAnsi="仿宋"/>
          <w:sz w:val="32"/>
          <w:szCs w:val="32"/>
        </w:rPr>
        <w:t>年相比增加</w:t>
      </w:r>
      <w:r>
        <w:rPr>
          <w:rFonts w:eastAsia="仿宋"/>
          <w:sz w:val="32"/>
          <w:szCs w:val="32"/>
        </w:rPr>
        <w:t>34.88</w:t>
      </w:r>
      <w:r>
        <w:rPr>
          <w:rFonts w:eastAsia="仿宋" w:hAnsi="仿宋"/>
          <w:sz w:val="32"/>
          <w:szCs w:val="32"/>
        </w:rPr>
        <w:t>万元造成的。</w:t>
      </w:r>
    </w:p>
    <w:p w:rsidR="0018623D" w:rsidRDefault="00971571">
      <w:pPr>
        <w:pStyle w:val="a0"/>
        <w:spacing w:before="93"/>
        <w:jc w:val="center"/>
        <w:rPr>
          <w:rFonts w:ascii="Times New Roman"/>
        </w:rPr>
      </w:pPr>
      <w:r>
        <w:rPr>
          <w:rFonts w:ascii="Times New Roman"/>
          <w:noProof/>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623D" w:rsidRDefault="00971571">
      <w:pPr>
        <w:spacing w:line="600" w:lineRule="exact"/>
        <w:ind w:firstLineChars="200" w:firstLine="640"/>
        <w:jc w:val="center"/>
        <w:rPr>
          <w:rFonts w:eastAsia="仿宋"/>
          <w:sz w:val="32"/>
          <w:szCs w:val="32"/>
        </w:rPr>
      </w:pPr>
      <w:r>
        <w:rPr>
          <w:rFonts w:eastAsia="仿宋" w:hAnsi="仿宋"/>
          <w:sz w:val="32"/>
          <w:szCs w:val="32"/>
        </w:rPr>
        <w:t>（图</w:t>
      </w:r>
      <w:r>
        <w:rPr>
          <w:rFonts w:eastAsia="仿宋"/>
          <w:sz w:val="32"/>
          <w:szCs w:val="32"/>
        </w:rPr>
        <w:t>1</w:t>
      </w:r>
      <w:r>
        <w:rPr>
          <w:rFonts w:eastAsia="仿宋" w:hAnsi="仿宋"/>
          <w:sz w:val="32"/>
          <w:szCs w:val="32"/>
        </w:rPr>
        <w:t>：收、支决算总计变动情况图）</w:t>
      </w:r>
    </w:p>
    <w:p w:rsidR="0018623D" w:rsidRDefault="0018623D">
      <w:pPr>
        <w:spacing w:line="600" w:lineRule="exact"/>
        <w:ind w:firstLineChars="200" w:firstLine="640"/>
        <w:jc w:val="left"/>
        <w:rPr>
          <w:rFonts w:eastAsia="仿宋_GB2312"/>
          <w:sz w:val="32"/>
          <w:szCs w:val="32"/>
        </w:rPr>
      </w:pPr>
    </w:p>
    <w:p w:rsidR="0018623D" w:rsidRDefault="00971571">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5" w:name="_Toc15377206"/>
      <w:bookmarkStart w:id="26" w:name="_Toc15396604"/>
      <w:bookmarkStart w:id="27" w:name="_Toc24094"/>
      <w:r>
        <w:rPr>
          <w:rFonts w:eastAsia="黑体" w:hAnsi="黑体"/>
          <w:sz w:val="32"/>
          <w:szCs w:val="32"/>
        </w:rPr>
        <w:t>收</w:t>
      </w:r>
      <w:r>
        <w:rPr>
          <w:rStyle w:val="2Char"/>
          <w:rFonts w:ascii="Times New Roman" w:eastAsia="黑体" w:hAnsi="黑体" w:cs="Times New Roman"/>
          <w:b w:val="0"/>
        </w:rPr>
        <w:t>入决算情况说明</w:t>
      </w:r>
      <w:bookmarkEnd w:id="25"/>
      <w:bookmarkEnd w:id="26"/>
      <w:bookmarkEnd w:id="27"/>
    </w:p>
    <w:p w:rsidR="0018623D" w:rsidRDefault="00971571">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年本年收入合计</w:t>
      </w:r>
      <w:r>
        <w:rPr>
          <w:rFonts w:eastAsia="仿宋"/>
          <w:sz w:val="32"/>
          <w:szCs w:val="32"/>
        </w:rPr>
        <w:t>1003.53</w:t>
      </w:r>
      <w:r>
        <w:rPr>
          <w:rFonts w:eastAsia="仿宋" w:hAnsi="仿宋"/>
          <w:sz w:val="32"/>
          <w:szCs w:val="32"/>
        </w:rPr>
        <w:t>万元，其中：一般公共预算财政拨款收入</w:t>
      </w:r>
      <w:r>
        <w:rPr>
          <w:rFonts w:eastAsia="仿宋"/>
          <w:sz w:val="32"/>
          <w:szCs w:val="32"/>
        </w:rPr>
        <w:t>1000.53</w:t>
      </w:r>
      <w:r>
        <w:rPr>
          <w:rFonts w:eastAsia="仿宋" w:hAnsi="仿宋"/>
          <w:sz w:val="32"/>
          <w:szCs w:val="32"/>
        </w:rPr>
        <w:t>万元，占</w:t>
      </w:r>
      <w:r>
        <w:rPr>
          <w:rFonts w:eastAsia="仿宋"/>
          <w:sz w:val="32"/>
          <w:szCs w:val="32"/>
        </w:rPr>
        <w:t>99.70%</w:t>
      </w:r>
      <w:r>
        <w:rPr>
          <w:rFonts w:eastAsia="仿宋" w:hAnsi="仿宋"/>
          <w:sz w:val="32"/>
          <w:szCs w:val="32"/>
        </w:rPr>
        <w:t>；其他收入</w:t>
      </w:r>
      <w:r>
        <w:rPr>
          <w:rFonts w:eastAsia="仿宋"/>
          <w:sz w:val="32"/>
          <w:szCs w:val="32"/>
        </w:rPr>
        <w:t>3.00</w:t>
      </w:r>
      <w:r>
        <w:rPr>
          <w:rFonts w:eastAsia="仿宋" w:hAnsi="仿宋"/>
          <w:sz w:val="32"/>
          <w:szCs w:val="32"/>
        </w:rPr>
        <w:t>万元，占</w:t>
      </w:r>
      <w:r>
        <w:rPr>
          <w:rFonts w:eastAsia="仿宋"/>
          <w:sz w:val="32"/>
          <w:szCs w:val="32"/>
        </w:rPr>
        <w:t>0.30%</w:t>
      </w:r>
      <w:r>
        <w:rPr>
          <w:rFonts w:eastAsia="仿宋" w:hAnsi="仿宋"/>
          <w:sz w:val="32"/>
          <w:szCs w:val="32"/>
        </w:rPr>
        <w:t>。</w:t>
      </w:r>
    </w:p>
    <w:p w:rsidR="0018623D" w:rsidRDefault="0018623D">
      <w:pPr>
        <w:spacing w:line="600" w:lineRule="exact"/>
        <w:ind w:firstLineChars="200" w:firstLine="640"/>
        <w:rPr>
          <w:rFonts w:eastAsia="仿宋"/>
          <w:sz w:val="32"/>
          <w:szCs w:val="32"/>
        </w:rPr>
      </w:pPr>
    </w:p>
    <w:p w:rsidR="0018623D" w:rsidRDefault="00971571">
      <w:pPr>
        <w:pStyle w:val="a0"/>
        <w:spacing w:before="93"/>
        <w:jc w:val="center"/>
        <w:rPr>
          <w:rFonts w:ascii="Times New Roman" w:eastAsia="仿宋"/>
          <w:sz w:val="32"/>
          <w:szCs w:val="32"/>
        </w:rPr>
      </w:pPr>
      <w:r>
        <w:rPr>
          <w:rFonts w:ascii="Times New Roman"/>
          <w:noProof/>
        </w:rP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623D" w:rsidRDefault="00971571">
      <w:pPr>
        <w:spacing w:line="600" w:lineRule="exact"/>
        <w:ind w:firstLineChars="200" w:firstLine="640"/>
        <w:jc w:val="center"/>
        <w:rPr>
          <w:rFonts w:eastAsia="仿宋"/>
          <w:sz w:val="32"/>
          <w:szCs w:val="32"/>
        </w:rPr>
      </w:pPr>
      <w:r>
        <w:rPr>
          <w:rFonts w:eastAsia="仿宋" w:hAnsi="仿宋"/>
          <w:sz w:val="32"/>
          <w:szCs w:val="32"/>
        </w:rPr>
        <w:t>（图</w:t>
      </w:r>
      <w:r>
        <w:rPr>
          <w:rFonts w:eastAsia="仿宋"/>
          <w:sz w:val="32"/>
          <w:szCs w:val="32"/>
        </w:rPr>
        <w:t>2</w:t>
      </w:r>
      <w:r>
        <w:rPr>
          <w:rFonts w:eastAsia="仿宋" w:hAnsi="仿宋"/>
          <w:sz w:val="32"/>
          <w:szCs w:val="32"/>
        </w:rPr>
        <w:t>：收入决算结构图）</w:t>
      </w:r>
    </w:p>
    <w:p w:rsidR="0018623D" w:rsidRDefault="0018623D">
      <w:pPr>
        <w:spacing w:line="600" w:lineRule="exact"/>
        <w:ind w:firstLineChars="200" w:firstLine="640"/>
        <w:rPr>
          <w:rFonts w:eastAsia="仿宋_GB2312"/>
          <w:sz w:val="32"/>
          <w:szCs w:val="32"/>
        </w:rPr>
      </w:pPr>
    </w:p>
    <w:p w:rsidR="0018623D" w:rsidRDefault="00971571">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8" w:name="_Toc4197"/>
      <w:bookmarkStart w:id="29" w:name="_Toc15377207"/>
      <w:bookmarkStart w:id="30" w:name="_Toc15396605"/>
      <w:r>
        <w:rPr>
          <w:rFonts w:eastAsia="黑体" w:hAnsi="黑体"/>
          <w:sz w:val="32"/>
          <w:szCs w:val="32"/>
        </w:rPr>
        <w:t>支</w:t>
      </w:r>
      <w:r>
        <w:rPr>
          <w:rStyle w:val="2Char"/>
          <w:rFonts w:ascii="Times New Roman" w:eastAsia="黑体" w:hAnsi="黑体" w:cs="Times New Roman"/>
          <w:b w:val="0"/>
        </w:rPr>
        <w:t>出决算情况说明</w:t>
      </w:r>
      <w:bookmarkEnd w:id="28"/>
      <w:bookmarkEnd w:id="29"/>
      <w:bookmarkEnd w:id="30"/>
    </w:p>
    <w:p w:rsidR="0018623D" w:rsidRDefault="00971571">
      <w:pPr>
        <w:spacing w:line="600" w:lineRule="exact"/>
        <w:ind w:firstLineChars="200" w:firstLine="640"/>
        <w:rPr>
          <w:rFonts w:eastAsia="仿宋"/>
          <w:sz w:val="32"/>
          <w:szCs w:val="32"/>
          <w:shd w:val="pct10" w:color="auto" w:fill="FFFFFF"/>
        </w:rPr>
      </w:pPr>
      <w:r>
        <w:rPr>
          <w:rFonts w:eastAsia="仿宋"/>
          <w:sz w:val="32"/>
          <w:szCs w:val="32"/>
        </w:rPr>
        <w:t>2022</w:t>
      </w:r>
      <w:r>
        <w:rPr>
          <w:rFonts w:eastAsia="仿宋" w:hAnsi="仿宋"/>
          <w:sz w:val="32"/>
          <w:szCs w:val="32"/>
        </w:rPr>
        <w:t>年本年支出合计</w:t>
      </w:r>
      <w:r>
        <w:rPr>
          <w:rFonts w:eastAsia="仿宋"/>
          <w:sz w:val="32"/>
          <w:szCs w:val="32"/>
        </w:rPr>
        <w:t>1130.90</w:t>
      </w:r>
      <w:r>
        <w:rPr>
          <w:rFonts w:eastAsia="仿宋" w:hAnsi="仿宋"/>
          <w:sz w:val="32"/>
          <w:szCs w:val="32"/>
        </w:rPr>
        <w:t>万元，其中：基本支出</w:t>
      </w:r>
      <w:r>
        <w:rPr>
          <w:rFonts w:eastAsia="仿宋"/>
          <w:sz w:val="32"/>
          <w:szCs w:val="32"/>
        </w:rPr>
        <w:t>472.05</w:t>
      </w:r>
      <w:r>
        <w:rPr>
          <w:rFonts w:eastAsia="仿宋" w:hAnsi="仿宋"/>
          <w:sz w:val="32"/>
          <w:szCs w:val="32"/>
        </w:rPr>
        <w:t>万元，占</w:t>
      </w:r>
      <w:r>
        <w:rPr>
          <w:rFonts w:eastAsia="仿宋"/>
          <w:sz w:val="32"/>
          <w:szCs w:val="32"/>
        </w:rPr>
        <w:t>41.74%</w:t>
      </w:r>
      <w:r>
        <w:rPr>
          <w:rFonts w:eastAsia="仿宋" w:hAnsi="仿宋"/>
          <w:sz w:val="32"/>
          <w:szCs w:val="32"/>
        </w:rPr>
        <w:t>；项目支出</w:t>
      </w:r>
      <w:r>
        <w:rPr>
          <w:rFonts w:eastAsia="仿宋"/>
          <w:sz w:val="32"/>
          <w:szCs w:val="32"/>
        </w:rPr>
        <w:t>658.85</w:t>
      </w:r>
      <w:r>
        <w:rPr>
          <w:rFonts w:eastAsia="仿宋" w:hAnsi="仿宋"/>
          <w:sz w:val="32"/>
          <w:szCs w:val="32"/>
        </w:rPr>
        <w:t>万元，占</w:t>
      </w:r>
      <w:r>
        <w:rPr>
          <w:rFonts w:eastAsia="仿宋"/>
          <w:sz w:val="32"/>
          <w:szCs w:val="32"/>
        </w:rPr>
        <w:t>58.26%</w:t>
      </w:r>
      <w:r>
        <w:rPr>
          <w:rFonts w:eastAsia="仿宋" w:hAnsi="仿宋"/>
          <w:sz w:val="32"/>
          <w:szCs w:val="32"/>
        </w:rPr>
        <w:t>。</w:t>
      </w:r>
    </w:p>
    <w:p w:rsidR="0018623D" w:rsidRDefault="00971571">
      <w:pPr>
        <w:pStyle w:val="a0"/>
        <w:spacing w:before="93"/>
        <w:jc w:val="center"/>
        <w:rPr>
          <w:rFonts w:ascii="Times New Roman"/>
        </w:rPr>
      </w:pPr>
      <w:r>
        <w:rPr>
          <w:rFonts w:ascii="Times New Roman"/>
          <w:noProof/>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623D" w:rsidRDefault="00971571">
      <w:pPr>
        <w:spacing w:line="600" w:lineRule="exact"/>
        <w:ind w:firstLineChars="200" w:firstLine="640"/>
        <w:jc w:val="center"/>
        <w:rPr>
          <w:rFonts w:eastAsia="仿宋"/>
          <w:sz w:val="32"/>
          <w:szCs w:val="32"/>
        </w:rPr>
      </w:pPr>
      <w:r>
        <w:rPr>
          <w:rFonts w:eastAsia="仿宋" w:hAnsi="仿宋"/>
          <w:sz w:val="32"/>
          <w:szCs w:val="32"/>
        </w:rPr>
        <w:t>（图</w:t>
      </w:r>
      <w:r>
        <w:rPr>
          <w:rFonts w:eastAsia="仿宋"/>
          <w:sz w:val="32"/>
          <w:szCs w:val="32"/>
        </w:rPr>
        <w:t>3</w:t>
      </w:r>
      <w:r>
        <w:rPr>
          <w:rFonts w:eastAsia="仿宋" w:hAnsi="仿宋"/>
          <w:sz w:val="32"/>
          <w:szCs w:val="32"/>
        </w:rPr>
        <w:t>：支出决算结构图）</w:t>
      </w:r>
    </w:p>
    <w:p w:rsidR="0018623D" w:rsidRDefault="0018623D">
      <w:pPr>
        <w:spacing w:line="600" w:lineRule="exact"/>
        <w:ind w:firstLineChars="200" w:firstLine="640"/>
        <w:rPr>
          <w:rFonts w:eastAsia="仿宋_GB2312"/>
          <w:sz w:val="32"/>
          <w:szCs w:val="32"/>
        </w:rPr>
      </w:pPr>
    </w:p>
    <w:p w:rsidR="0018623D" w:rsidRDefault="00971571">
      <w:pPr>
        <w:spacing w:line="600" w:lineRule="exact"/>
        <w:ind w:firstLineChars="200" w:firstLine="640"/>
        <w:outlineLvl w:val="1"/>
        <w:rPr>
          <w:rStyle w:val="2Char"/>
          <w:rFonts w:ascii="Times New Roman" w:eastAsia="黑体" w:hAnsi="Times New Roman" w:cs="Times New Roman"/>
          <w:b w:val="0"/>
        </w:rPr>
      </w:pPr>
      <w:bookmarkStart w:id="31" w:name="_Toc15377208"/>
      <w:bookmarkStart w:id="32" w:name="_Toc15396606"/>
      <w:bookmarkStart w:id="33" w:name="_Toc536"/>
      <w:r>
        <w:rPr>
          <w:rFonts w:eastAsia="黑体" w:hAnsi="黑体"/>
          <w:sz w:val="32"/>
          <w:szCs w:val="32"/>
        </w:rPr>
        <w:t>四、财</w:t>
      </w:r>
      <w:r>
        <w:rPr>
          <w:rStyle w:val="2Char"/>
          <w:rFonts w:ascii="Times New Roman" w:eastAsia="黑体" w:hAnsi="黑体" w:cs="Times New Roman"/>
          <w:b w:val="0"/>
        </w:rPr>
        <w:t>政拨款收入支出决算总体情况说明</w:t>
      </w:r>
      <w:bookmarkEnd w:id="31"/>
      <w:bookmarkEnd w:id="32"/>
      <w:bookmarkEnd w:id="33"/>
    </w:p>
    <w:p w:rsidR="0018623D" w:rsidRDefault="00971571">
      <w:pPr>
        <w:spacing w:line="600" w:lineRule="exact"/>
        <w:ind w:firstLine="640"/>
        <w:rPr>
          <w:rFonts w:eastAsia="仿宋"/>
          <w:sz w:val="32"/>
          <w:szCs w:val="32"/>
        </w:rPr>
      </w:pPr>
      <w:r>
        <w:rPr>
          <w:rFonts w:eastAsia="仿宋"/>
          <w:sz w:val="32"/>
          <w:szCs w:val="32"/>
        </w:rPr>
        <w:t>2022</w:t>
      </w:r>
      <w:r>
        <w:rPr>
          <w:rFonts w:eastAsia="仿宋" w:hAnsi="仿宋"/>
          <w:sz w:val="32"/>
          <w:szCs w:val="32"/>
        </w:rPr>
        <w:t>年财政拨款收、支总计</w:t>
      </w:r>
      <w:r>
        <w:rPr>
          <w:rFonts w:eastAsia="仿宋"/>
          <w:sz w:val="32"/>
          <w:szCs w:val="32"/>
        </w:rPr>
        <w:t>1127.90</w:t>
      </w:r>
      <w:r>
        <w:rPr>
          <w:rFonts w:eastAsia="仿宋" w:hAnsi="仿宋"/>
          <w:sz w:val="32"/>
          <w:szCs w:val="32"/>
        </w:rPr>
        <w:t>万元。与</w:t>
      </w:r>
      <w:r>
        <w:rPr>
          <w:rFonts w:eastAsia="仿宋"/>
          <w:sz w:val="32"/>
          <w:szCs w:val="32"/>
        </w:rPr>
        <w:t>2021</w:t>
      </w:r>
      <w:r>
        <w:rPr>
          <w:rFonts w:eastAsia="仿宋" w:hAnsi="仿宋"/>
          <w:sz w:val="32"/>
          <w:szCs w:val="32"/>
        </w:rPr>
        <w:t>年相比，财政拨款收入增加</w:t>
      </w:r>
      <w:r>
        <w:rPr>
          <w:rFonts w:eastAsia="仿宋"/>
          <w:sz w:val="32"/>
          <w:szCs w:val="32"/>
        </w:rPr>
        <w:t>132.23</w:t>
      </w:r>
      <w:r>
        <w:rPr>
          <w:rFonts w:eastAsia="仿宋" w:hAnsi="仿宋"/>
          <w:sz w:val="32"/>
          <w:szCs w:val="32"/>
        </w:rPr>
        <w:t>万元，增长</w:t>
      </w:r>
      <w:r>
        <w:rPr>
          <w:rFonts w:eastAsia="仿宋"/>
          <w:sz w:val="32"/>
          <w:szCs w:val="32"/>
        </w:rPr>
        <w:t>13.28%</w:t>
      </w:r>
      <w:r>
        <w:rPr>
          <w:rFonts w:eastAsia="仿宋" w:hAnsi="仿宋"/>
          <w:sz w:val="32"/>
          <w:szCs w:val="32"/>
        </w:rPr>
        <w:t>；财政拨款支出增加</w:t>
      </w:r>
      <w:r>
        <w:rPr>
          <w:rFonts w:eastAsia="仿宋"/>
          <w:sz w:val="32"/>
          <w:szCs w:val="32"/>
        </w:rPr>
        <w:t>132.23</w:t>
      </w:r>
      <w:r>
        <w:rPr>
          <w:rFonts w:eastAsia="仿宋" w:hAnsi="仿宋"/>
          <w:sz w:val="32"/>
          <w:szCs w:val="32"/>
        </w:rPr>
        <w:t>万元，增长</w:t>
      </w:r>
      <w:r>
        <w:rPr>
          <w:rFonts w:eastAsia="仿宋"/>
          <w:sz w:val="32"/>
          <w:szCs w:val="32"/>
        </w:rPr>
        <w:t>13.28%</w:t>
      </w:r>
      <w:r>
        <w:rPr>
          <w:rFonts w:eastAsia="仿宋" w:hAnsi="仿宋"/>
          <w:sz w:val="32"/>
          <w:szCs w:val="32"/>
        </w:rPr>
        <w:t>。主要变动原因是</w:t>
      </w:r>
      <w:r>
        <w:rPr>
          <w:rFonts w:eastAsia="仿宋"/>
          <w:sz w:val="32"/>
          <w:szCs w:val="32"/>
        </w:rPr>
        <w:t>2022</w:t>
      </w:r>
      <w:r>
        <w:rPr>
          <w:rFonts w:eastAsia="仿宋" w:hAnsi="仿宋"/>
          <w:sz w:val="32"/>
          <w:szCs w:val="32"/>
        </w:rPr>
        <w:t>年年初财政结转结余与</w:t>
      </w:r>
      <w:r>
        <w:rPr>
          <w:rFonts w:eastAsia="仿宋"/>
          <w:sz w:val="32"/>
          <w:szCs w:val="32"/>
        </w:rPr>
        <w:t>2021</w:t>
      </w:r>
      <w:r>
        <w:rPr>
          <w:rFonts w:eastAsia="仿宋" w:hAnsi="仿宋"/>
          <w:sz w:val="32"/>
          <w:szCs w:val="32"/>
        </w:rPr>
        <w:t>年相比增加</w:t>
      </w:r>
      <w:r>
        <w:rPr>
          <w:rFonts w:eastAsia="仿宋"/>
          <w:sz w:val="32"/>
          <w:szCs w:val="32"/>
        </w:rPr>
        <w:t>66.40</w:t>
      </w:r>
      <w:r>
        <w:rPr>
          <w:rFonts w:eastAsia="仿宋" w:hAnsi="仿宋"/>
          <w:sz w:val="32"/>
          <w:szCs w:val="32"/>
        </w:rPr>
        <w:t>万元，</w:t>
      </w:r>
      <w:r>
        <w:rPr>
          <w:rFonts w:eastAsia="仿宋"/>
          <w:sz w:val="32"/>
          <w:szCs w:val="32"/>
        </w:rPr>
        <w:t>2022</w:t>
      </w:r>
      <w:r>
        <w:rPr>
          <w:rFonts w:eastAsia="仿宋" w:hAnsi="仿宋"/>
          <w:sz w:val="32"/>
          <w:szCs w:val="32"/>
        </w:rPr>
        <w:t>年财政拨款收入与</w:t>
      </w:r>
      <w:r>
        <w:rPr>
          <w:rFonts w:eastAsia="仿宋"/>
          <w:sz w:val="32"/>
          <w:szCs w:val="32"/>
        </w:rPr>
        <w:t>2021</w:t>
      </w:r>
      <w:r>
        <w:rPr>
          <w:rFonts w:eastAsia="仿宋" w:hAnsi="仿宋"/>
          <w:sz w:val="32"/>
          <w:szCs w:val="32"/>
        </w:rPr>
        <w:t>年相比增加</w:t>
      </w:r>
      <w:r>
        <w:rPr>
          <w:rFonts w:eastAsia="仿宋"/>
          <w:sz w:val="32"/>
          <w:szCs w:val="32"/>
        </w:rPr>
        <w:t>65.83</w:t>
      </w:r>
      <w:r>
        <w:rPr>
          <w:rFonts w:eastAsia="仿宋" w:hAnsi="仿宋"/>
          <w:sz w:val="32"/>
          <w:szCs w:val="32"/>
        </w:rPr>
        <w:t>万元造成的。</w:t>
      </w:r>
    </w:p>
    <w:p w:rsidR="0018623D" w:rsidRDefault="00971571">
      <w:pPr>
        <w:pStyle w:val="a0"/>
        <w:spacing w:before="93"/>
        <w:jc w:val="center"/>
        <w:rPr>
          <w:rFonts w:ascii="Times New Roman"/>
        </w:rPr>
      </w:pPr>
      <w:r>
        <w:rPr>
          <w:rFonts w:ascii="Times New Roman"/>
          <w:noProof/>
        </w:rPr>
        <w:drawing>
          <wp:inline distT="0" distB="0" distL="114300" distR="114300">
            <wp:extent cx="4572000" cy="27432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623D" w:rsidRDefault="00971571">
      <w:pPr>
        <w:spacing w:line="600" w:lineRule="exact"/>
        <w:jc w:val="center"/>
        <w:rPr>
          <w:rFonts w:eastAsia="仿宋"/>
          <w:b/>
          <w:sz w:val="32"/>
          <w:szCs w:val="32"/>
        </w:rPr>
      </w:pPr>
      <w:r>
        <w:rPr>
          <w:rFonts w:eastAsia="仿宋" w:hAnsi="仿宋"/>
          <w:sz w:val="32"/>
          <w:szCs w:val="32"/>
        </w:rPr>
        <w:t>（图</w:t>
      </w:r>
      <w:r>
        <w:rPr>
          <w:rFonts w:eastAsia="仿宋"/>
          <w:sz w:val="32"/>
          <w:szCs w:val="32"/>
        </w:rPr>
        <w:t>4</w:t>
      </w:r>
      <w:r>
        <w:rPr>
          <w:rFonts w:eastAsia="仿宋" w:hAnsi="仿宋"/>
          <w:sz w:val="32"/>
          <w:szCs w:val="32"/>
        </w:rPr>
        <w:t>：财政拨款收、支决算总计变动情况）</w:t>
      </w:r>
    </w:p>
    <w:p w:rsidR="0018623D" w:rsidRDefault="0018623D">
      <w:pPr>
        <w:spacing w:line="600" w:lineRule="exact"/>
        <w:ind w:firstLineChars="200" w:firstLine="640"/>
        <w:outlineLvl w:val="1"/>
        <w:rPr>
          <w:rFonts w:eastAsia="黑体"/>
          <w:sz w:val="32"/>
          <w:szCs w:val="32"/>
        </w:rPr>
      </w:pPr>
      <w:bookmarkStart w:id="34" w:name="_Toc11158"/>
      <w:bookmarkStart w:id="35" w:name="_Toc15396607"/>
      <w:bookmarkStart w:id="36" w:name="_Toc15377209"/>
    </w:p>
    <w:p w:rsidR="0018623D" w:rsidRDefault="00971571">
      <w:pPr>
        <w:spacing w:line="600" w:lineRule="exact"/>
        <w:ind w:firstLineChars="200" w:firstLine="640"/>
        <w:outlineLvl w:val="1"/>
        <w:rPr>
          <w:rStyle w:val="2Char"/>
          <w:rFonts w:ascii="Times New Roman" w:eastAsia="黑体" w:hAnsi="Times New Roman" w:cs="Times New Roman"/>
          <w:b w:val="0"/>
        </w:rPr>
      </w:pPr>
      <w:r>
        <w:rPr>
          <w:rFonts w:eastAsia="黑体" w:hAnsi="黑体"/>
          <w:sz w:val="32"/>
          <w:szCs w:val="32"/>
        </w:rPr>
        <w:t>五、</w:t>
      </w:r>
      <w:r>
        <w:rPr>
          <w:rFonts w:eastAsia="黑体" w:hAnsi="黑体"/>
          <w:b/>
          <w:sz w:val="32"/>
          <w:szCs w:val="32"/>
        </w:rPr>
        <w:t>一</w:t>
      </w:r>
      <w:r>
        <w:rPr>
          <w:rStyle w:val="2Char"/>
          <w:rFonts w:ascii="Times New Roman" w:eastAsia="黑体" w:hAnsi="黑体" w:cs="Times New Roman"/>
          <w:b w:val="0"/>
        </w:rPr>
        <w:t>般公共预算财政拨款支出决算情况说明</w:t>
      </w:r>
      <w:bookmarkEnd w:id="34"/>
      <w:bookmarkEnd w:id="35"/>
      <w:bookmarkEnd w:id="36"/>
    </w:p>
    <w:p w:rsidR="0018623D" w:rsidRDefault="00971571">
      <w:pPr>
        <w:spacing w:line="600" w:lineRule="exact"/>
        <w:ind w:firstLineChars="200" w:firstLine="643"/>
        <w:rPr>
          <w:rFonts w:eastAsia="仿宋"/>
          <w:b/>
          <w:sz w:val="32"/>
          <w:szCs w:val="32"/>
        </w:rPr>
      </w:pPr>
      <w:bookmarkStart w:id="37" w:name="_Toc15377210"/>
      <w:r>
        <w:rPr>
          <w:rFonts w:eastAsia="仿宋" w:hAnsi="仿宋"/>
          <w:b/>
          <w:sz w:val="32"/>
          <w:szCs w:val="32"/>
        </w:rPr>
        <w:t>（一）一般公共预算财政拨款支出决算总体情况</w:t>
      </w:r>
      <w:bookmarkEnd w:id="37"/>
    </w:p>
    <w:p w:rsidR="0018623D" w:rsidRDefault="00971571">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年一般公共预算财政拨款支出</w:t>
      </w:r>
      <w:r>
        <w:rPr>
          <w:rFonts w:eastAsia="仿宋"/>
          <w:sz w:val="32"/>
          <w:szCs w:val="32"/>
        </w:rPr>
        <w:t>1127.90</w:t>
      </w:r>
      <w:r>
        <w:rPr>
          <w:rFonts w:eastAsia="仿宋" w:hAnsi="仿宋"/>
          <w:sz w:val="32"/>
          <w:szCs w:val="32"/>
        </w:rPr>
        <w:t>万元，占本年支出合计的</w:t>
      </w:r>
      <w:r>
        <w:rPr>
          <w:rFonts w:eastAsia="仿宋"/>
          <w:sz w:val="32"/>
          <w:szCs w:val="32"/>
        </w:rPr>
        <w:t>99.73%</w:t>
      </w:r>
      <w:r>
        <w:rPr>
          <w:rFonts w:eastAsia="仿宋" w:hAnsi="仿宋"/>
          <w:sz w:val="32"/>
          <w:szCs w:val="32"/>
        </w:rPr>
        <w:t>。与</w:t>
      </w:r>
      <w:r>
        <w:rPr>
          <w:rFonts w:eastAsia="仿宋"/>
          <w:sz w:val="32"/>
          <w:szCs w:val="32"/>
        </w:rPr>
        <w:t>2021</w:t>
      </w:r>
      <w:r>
        <w:rPr>
          <w:rFonts w:eastAsia="仿宋" w:hAnsi="仿宋"/>
          <w:sz w:val="32"/>
          <w:szCs w:val="32"/>
        </w:rPr>
        <w:t>年相比，一般公共预算财政拨款支出增加</w:t>
      </w:r>
      <w:r>
        <w:rPr>
          <w:rFonts w:eastAsia="仿宋"/>
          <w:sz w:val="32"/>
          <w:szCs w:val="32"/>
        </w:rPr>
        <w:t>132.23</w:t>
      </w:r>
      <w:r>
        <w:rPr>
          <w:rFonts w:eastAsia="仿宋" w:hAnsi="仿宋"/>
          <w:sz w:val="32"/>
          <w:szCs w:val="32"/>
        </w:rPr>
        <w:t>万元，增长</w:t>
      </w:r>
      <w:r>
        <w:rPr>
          <w:rFonts w:eastAsia="仿宋"/>
          <w:sz w:val="32"/>
          <w:szCs w:val="32"/>
        </w:rPr>
        <w:t>13.28%</w:t>
      </w:r>
      <w:r>
        <w:rPr>
          <w:rFonts w:eastAsia="仿宋" w:hAnsi="仿宋"/>
          <w:sz w:val="32"/>
          <w:szCs w:val="32"/>
        </w:rPr>
        <w:t>。主要变动原因是</w:t>
      </w:r>
      <w:r>
        <w:rPr>
          <w:rFonts w:eastAsia="仿宋"/>
          <w:sz w:val="32"/>
          <w:szCs w:val="32"/>
        </w:rPr>
        <w:t>2022</w:t>
      </w:r>
      <w:r>
        <w:rPr>
          <w:rFonts w:eastAsia="仿宋" w:hAnsi="仿宋"/>
          <w:sz w:val="32"/>
          <w:szCs w:val="32"/>
        </w:rPr>
        <w:t>年的一般公共预算财政拨款支出中基本支出比</w:t>
      </w:r>
      <w:r>
        <w:rPr>
          <w:rFonts w:eastAsia="仿宋"/>
          <w:sz w:val="32"/>
          <w:szCs w:val="32"/>
        </w:rPr>
        <w:t>2021</w:t>
      </w:r>
      <w:r>
        <w:rPr>
          <w:rFonts w:eastAsia="仿宋" w:hAnsi="仿宋"/>
          <w:sz w:val="32"/>
          <w:szCs w:val="32"/>
        </w:rPr>
        <w:t>年增加</w:t>
      </w:r>
      <w:r>
        <w:rPr>
          <w:rFonts w:eastAsia="仿宋"/>
          <w:sz w:val="32"/>
          <w:szCs w:val="32"/>
        </w:rPr>
        <w:t>71.10</w:t>
      </w:r>
      <w:r>
        <w:rPr>
          <w:rFonts w:eastAsia="仿宋" w:hAnsi="仿宋"/>
          <w:sz w:val="32"/>
          <w:szCs w:val="32"/>
        </w:rPr>
        <w:t>万元，项目支出比</w:t>
      </w:r>
      <w:r>
        <w:rPr>
          <w:rFonts w:eastAsia="仿宋"/>
          <w:sz w:val="32"/>
          <w:szCs w:val="32"/>
        </w:rPr>
        <w:t>2021</w:t>
      </w:r>
      <w:r>
        <w:rPr>
          <w:rFonts w:eastAsia="仿宋" w:hAnsi="仿宋"/>
          <w:sz w:val="32"/>
          <w:szCs w:val="32"/>
        </w:rPr>
        <w:t>年增加</w:t>
      </w:r>
      <w:r>
        <w:rPr>
          <w:rFonts w:eastAsia="仿宋"/>
          <w:sz w:val="32"/>
          <w:szCs w:val="32"/>
        </w:rPr>
        <w:t>61.13</w:t>
      </w:r>
      <w:r>
        <w:rPr>
          <w:rFonts w:eastAsia="仿宋" w:hAnsi="仿宋"/>
          <w:sz w:val="32"/>
          <w:szCs w:val="32"/>
        </w:rPr>
        <w:t>万元造成的。</w:t>
      </w:r>
    </w:p>
    <w:p w:rsidR="0018623D" w:rsidRDefault="00971571">
      <w:pPr>
        <w:pStyle w:val="a0"/>
        <w:spacing w:before="93"/>
        <w:jc w:val="center"/>
        <w:rPr>
          <w:rFonts w:ascii="Times New Roman"/>
        </w:rPr>
      </w:pPr>
      <w:r>
        <w:rPr>
          <w:rFonts w:ascii="Times New Roman"/>
          <w:noProof/>
        </w:rPr>
        <w:drawing>
          <wp:inline distT="0" distB="0" distL="114300" distR="114300">
            <wp:extent cx="4572000" cy="3181350"/>
            <wp:effectExtent l="5080" t="4445" r="13970"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623D" w:rsidRDefault="00971571">
      <w:pPr>
        <w:spacing w:line="600" w:lineRule="exact"/>
        <w:jc w:val="center"/>
        <w:rPr>
          <w:rFonts w:eastAsia="仿宋"/>
          <w:sz w:val="32"/>
          <w:szCs w:val="32"/>
        </w:rPr>
      </w:pPr>
      <w:r>
        <w:rPr>
          <w:rFonts w:eastAsia="仿宋" w:hAnsi="仿宋"/>
          <w:sz w:val="32"/>
          <w:szCs w:val="32"/>
        </w:rPr>
        <w:t>（图</w:t>
      </w:r>
      <w:r>
        <w:rPr>
          <w:rFonts w:eastAsia="仿宋"/>
          <w:sz w:val="32"/>
          <w:szCs w:val="32"/>
        </w:rPr>
        <w:t>5</w:t>
      </w:r>
      <w:r>
        <w:rPr>
          <w:rFonts w:eastAsia="仿宋" w:hAnsi="仿宋"/>
          <w:sz w:val="32"/>
          <w:szCs w:val="32"/>
        </w:rPr>
        <w:t>：一般公共预算财政拨款支出决算变动情况）</w:t>
      </w:r>
    </w:p>
    <w:p w:rsidR="0018623D" w:rsidRDefault="0018623D">
      <w:pPr>
        <w:spacing w:line="600" w:lineRule="exact"/>
        <w:rPr>
          <w:rFonts w:eastAsia="仿宋"/>
          <w:sz w:val="32"/>
          <w:szCs w:val="32"/>
        </w:rPr>
      </w:pPr>
    </w:p>
    <w:p w:rsidR="0018623D" w:rsidRDefault="00971571">
      <w:pPr>
        <w:spacing w:line="600" w:lineRule="exact"/>
        <w:ind w:firstLineChars="200" w:firstLine="643"/>
        <w:rPr>
          <w:rFonts w:eastAsia="仿宋"/>
          <w:b/>
          <w:sz w:val="32"/>
          <w:szCs w:val="32"/>
        </w:rPr>
      </w:pPr>
      <w:bookmarkStart w:id="38" w:name="_Toc15377211"/>
      <w:r>
        <w:rPr>
          <w:rFonts w:eastAsia="仿宋" w:hAnsi="仿宋"/>
          <w:b/>
          <w:sz w:val="32"/>
          <w:szCs w:val="32"/>
        </w:rPr>
        <w:t>（二）一般公共预算财政拨款支出决算结构情况</w:t>
      </w:r>
      <w:bookmarkEnd w:id="38"/>
    </w:p>
    <w:p w:rsidR="0018623D" w:rsidRDefault="00971571">
      <w:pPr>
        <w:spacing w:line="600" w:lineRule="exact"/>
        <w:ind w:firstLine="640"/>
        <w:rPr>
          <w:rFonts w:eastAsia="仿宋"/>
          <w:b/>
          <w:sz w:val="32"/>
          <w:szCs w:val="32"/>
        </w:rPr>
      </w:pPr>
      <w:r>
        <w:rPr>
          <w:rFonts w:eastAsia="仿宋"/>
          <w:sz w:val="32"/>
          <w:szCs w:val="32"/>
        </w:rPr>
        <w:t>2022</w:t>
      </w:r>
      <w:r>
        <w:rPr>
          <w:rFonts w:eastAsia="仿宋" w:hAnsi="仿宋"/>
          <w:sz w:val="32"/>
          <w:szCs w:val="32"/>
        </w:rPr>
        <w:t>年一般公共预算财政拨款支出</w:t>
      </w:r>
      <w:r>
        <w:rPr>
          <w:rFonts w:eastAsia="仿宋"/>
          <w:sz w:val="32"/>
          <w:szCs w:val="32"/>
        </w:rPr>
        <w:t>1127.90</w:t>
      </w:r>
      <w:r>
        <w:rPr>
          <w:rFonts w:eastAsia="仿宋" w:hAnsi="仿宋"/>
          <w:sz w:val="32"/>
          <w:szCs w:val="32"/>
        </w:rPr>
        <w:t>万元，主要用于以下方面：</w:t>
      </w:r>
      <w:r>
        <w:rPr>
          <w:rFonts w:eastAsia="仿宋" w:hAnsi="仿宋"/>
          <w:b/>
          <w:sz w:val="32"/>
          <w:szCs w:val="32"/>
        </w:rPr>
        <w:t>科学技术</w:t>
      </w:r>
      <w:r>
        <w:rPr>
          <w:rFonts w:eastAsia="仿宋" w:hAnsi="仿宋"/>
          <w:b/>
          <w:bCs/>
          <w:sz w:val="32"/>
          <w:szCs w:val="32"/>
        </w:rPr>
        <w:t>支出</w:t>
      </w:r>
      <w:r>
        <w:rPr>
          <w:rFonts w:eastAsia="仿宋"/>
          <w:sz w:val="32"/>
          <w:szCs w:val="32"/>
        </w:rPr>
        <w:t>1.70</w:t>
      </w:r>
      <w:r>
        <w:rPr>
          <w:rFonts w:eastAsia="仿宋" w:hAnsi="仿宋"/>
          <w:sz w:val="32"/>
          <w:szCs w:val="32"/>
        </w:rPr>
        <w:t>万元，占</w:t>
      </w:r>
      <w:r>
        <w:rPr>
          <w:rFonts w:eastAsia="仿宋"/>
          <w:sz w:val="32"/>
          <w:szCs w:val="32"/>
        </w:rPr>
        <w:t>0.15%</w:t>
      </w:r>
      <w:r>
        <w:rPr>
          <w:rFonts w:eastAsia="仿宋" w:hAnsi="仿宋"/>
          <w:sz w:val="32"/>
          <w:szCs w:val="32"/>
        </w:rPr>
        <w:t>；</w:t>
      </w:r>
      <w:r>
        <w:rPr>
          <w:rFonts w:eastAsia="仿宋" w:hAnsi="仿宋"/>
          <w:b/>
          <w:bCs/>
          <w:sz w:val="32"/>
          <w:szCs w:val="32"/>
        </w:rPr>
        <w:t>文化旅游体育与传媒支出</w:t>
      </w:r>
      <w:r>
        <w:rPr>
          <w:rFonts w:eastAsia="仿宋"/>
          <w:sz w:val="32"/>
          <w:szCs w:val="32"/>
        </w:rPr>
        <w:t>1023.86</w:t>
      </w:r>
      <w:r>
        <w:rPr>
          <w:rFonts w:eastAsia="仿宋" w:hAnsi="仿宋"/>
          <w:sz w:val="32"/>
          <w:szCs w:val="32"/>
        </w:rPr>
        <w:t>万元</w:t>
      </w:r>
      <w:r>
        <w:rPr>
          <w:rFonts w:eastAsia="仿宋" w:hAnsi="仿宋"/>
          <w:b/>
          <w:bCs/>
          <w:sz w:val="32"/>
          <w:szCs w:val="32"/>
        </w:rPr>
        <w:t>，</w:t>
      </w:r>
      <w:r>
        <w:rPr>
          <w:rFonts w:eastAsia="仿宋" w:hAnsi="仿宋"/>
          <w:sz w:val="32"/>
          <w:szCs w:val="32"/>
        </w:rPr>
        <w:t>占</w:t>
      </w:r>
      <w:r>
        <w:rPr>
          <w:rFonts w:eastAsia="仿宋"/>
          <w:sz w:val="32"/>
          <w:szCs w:val="32"/>
        </w:rPr>
        <w:t>90.78%</w:t>
      </w:r>
      <w:r>
        <w:rPr>
          <w:rFonts w:eastAsia="仿宋" w:hAnsi="仿宋"/>
          <w:sz w:val="32"/>
          <w:szCs w:val="32"/>
        </w:rPr>
        <w:t>；</w:t>
      </w:r>
      <w:r>
        <w:rPr>
          <w:rFonts w:eastAsia="仿宋" w:hAnsi="仿宋"/>
          <w:b/>
          <w:sz w:val="32"/>
          <w:szCs w:val="32"/>
        </w:rPr>
        <w:t>社会保障和就业</w:t>
      </w:r>
      <w:r>
        <w:rPr>
          <w:rFonts w:eastAsia="仿宋" w:hAnsi="仿宋"/>
          <w:b/>
          <w:bCs/>
          <w:sz w:val="32"/>
          <w:szCs w:val="32"/>
        </w:rPr>
        <w:t>支出</w:t>
      </w:r>
      <w:r>
        <w:rPr>
          <w:rFonts w:eastAsia="仿宋"/>
          <w:sz w:val="32"/>
          <w:szCs w:val="32"/>
        </w:rPr>
        <w:t>63.32</w:t>
      </w:r>
      <w:r>
        <w:rPr>
          <w:rFonts w:eastAsia="仿宋" w:hAnsi="仿宋"/>
          <w:sz w:val="32"/>
          <w:szCs w:val="32"/>
        </w:rPr>
        <w:t>万元，占</w:t>
      </w:r>
      <w:r>
        <w:rPr>
          <w:rFonts w:eastAsia="仿宋"/>
          <w:sz w:val="32"/>
          <w:szCs w:val="32"/>
        </w:rPr>
        <w:t>5.61%</w:t>
      </w:r>
      <w:r>
        <w:rPr>
          <w:rFonts w:eastAsia="仿宋" w:hAnsi="仿宋"/>
          <w:sz w:val="32"/>
          <w:szCs w:val="32"/>
        </w:rPr>
        <w:t>；</w:t>
      </w:r>
      <w:r>
        <w:rPr>
          <w:rFonts w:eastAsia="仿宋" w:hAnsi="仿宋"/>
          <w:b/>
          <w:bCs/>
          <w:sz w:val="32"/>
          <w:szCs w:val="32"/>
        </w:rPr>
        <w:t>住房保障支出</w:t>
      </w:r>
      <w:r>
        <w:rPr>
          <w:rFonts w:eastAsia="仿宋"/>
          <w:sz w:val="32"/>
          <w:szCs w:val="32"/>
        </w:rPr>
        <w:t>39.02</w:t>
      </w:r>
      <w:r>
        <w:rPr>
          <w:rFonts w:eastAsia="仿宋" w:hAnsi="仿宋"/>
          <w:sz w:val="32"/>
          <w:szCs w:val="32"/>
        </w:rPr>
        <w:t>万元，占</w:t>
      </w:r>
      <w:r>
        <w:rPr>
          <w:rFonts w:eastAsia="仿宋"/>
          <w:sz w:val="32"/>
          <w:szCs w:val="32"/>
        </w:rPr>
        <w:t>3.46%</w:t>
      </w:r>
      <w:r>
        <w:rPr>
          <w:rFonts w:eastAsia="仿宋" w:hAnsi="仿宋"/>
          <w:sz w:val="32"/>
          <w:szCs w:val="32"/>
        </w:rPr>
        <w:t>。</w:t>
      </w:r>
    </w:p>
    <w:p w:rsidR="0018623D" w:rsidRDefault="00971571">
      <w:pPr>
        <w:pStyle w:val="a0"/>
        <w:spacing w:before="93"/>
        <w:jc w:val="center"/>
        <w:rPr>
          <w:rFonts w:ascii="Times New Roman"/>
        </w:rPr>
      </w:pPr>
      <w:r>
        <w:rPr>
          <w:rFonts w:ascii="Times New Roman"/>
          <w:noProof/>
        </w:rPr>
        <w:drawing>
          <wp:inline distT="0" distB="0" distL="114300" distR="114300">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623D" w:rsidRDefault="00971571">
      <w:pPr>
        <w:spacing w:line="600" w:lineRule="exact"/>
        <w:jc w:val="center"/>
        <w:rPr>
          <w:rFonts w:eastAsia="仿宋"/>
          <w:sz w:val="32"/>
          <w:szCs w:val="32"/>
        </w:rPr>
      </w:pPr>
      <w:r>
        <w:rPr>
          <w:rFonts w:eastAsia="仿宋" w:hAnsi="仿宋"/>
          <w:sz w:val="32"/>
          <w:szCs w:val="32"/>
        </w:rPr>
        <w:t>（图</w:t>
      </w:r>
      <w:r>
        <w:rPr>
          <w:rFonts w:eastAsia="仿宋"/>
          <w:sz w:val="32"/>
          <w:szCs w:val="32"/>
        </w:rPr>
        <w:t>6</w:t>
      </w:r>
      <w:r>
        <w:rPr>
          <w:rFonts w:eastAsia="仿宋" w:hAnsi="仿宋"/>
          <w:sz w:val="32"/>
          <w:szCs w:val="32"/>
        </w:rPr>
        <w:t>：一般公共预算财政拨款支出决算结构）</w:t>
      </w:r>
    </w:p>
    <w:p w:rsidR="0018623D" w:rsidRDefault="0018623D">
      <w:pPr>
        <w:spacing w:line="600" w:lineRule="exact"/>
        <w:ind w:firstLineChars="200" w:firstLine="640"/>
        <w:rPr>
          <w:rFonts w:eastAsia="仿宋"/>
          <w:sz w:val="32"/>
          <w:szCs w:val="32"/>
        </w:rPr>
      </w:pPr>
    </w:p>
    <w:p w:rsidR="0018623D" w:rsidRDefault="00971571">
      <w:pPr>
        <w:spacing w:line="600" w:lineRule="exact"/>
        <w:ind w:firstLineChars="200" w:firstLine="643"/>
        <w:rPr>
          <w:rFonts w:eastAsia="仿宋"/>
          <w:b/>
          <w:sz w:val="32"/>
          <w:szCs w:val="32"/>
        </w:rPr>
      </w:pPr>
      <w:bookmarkStart w:id="39" w:name="_Toc15377212"/>
      <w:r>
        <w:rPr>
          <w:rFonts w:eastAsia="仿宋" w:hAnsi="仿宋"/>
          <w:b/>
          <w:sz w:val="32"/>
          <w:szCs w:val="32"/>
        </w:rPr>
        <w:t>（三）一般公共预算财政拨款支出决算具体情况</w:t>
      </w:r>
      <w:bookmarkEnd w:id="39"/>
    </w:p>
    <w:p w:rsidR="0018623D" w:rsidRDefault="00971571">
      <w:pPr>
        <w:spacing w:line="600" w:lineRule="exact"/>
        <w:ind w:firstLineChars="200" w:firstLine="643"/>
        <w:rPr>
          <w:rFonts w:eastAsia="仿宋"/>
          <w:sz w:val="32"/>
          <w:szCs w:val="32"/>
        </w:rPr>
      </w:pPr>
      <w:bookmarkStart w:id="40" w:name="_Toc15378460"/>
      <w:bookmarkStart w:id="41" w:name="_Toc15377213"/>
      <w:bookmarkStart w:id="42" w:name="_Toc15377444"/>
      <w:r>
        <w:rPr>
          <w:rFonts w:eastAsia="仿宋"/>
          <w:b/>
          <w:sz w:val="32"/>
          <w:szCs w:val="32"/>
        </w:rPr>
        <w:t>2022</w:t>
      </w:r>
      <w:r>
        <w:rPr>
          <w:rFonts w:eastAsia="仿宋" w:hAnsi="仿宋"/>
          <w:b/>
          <w:sz w:val="32"/>
          <w:szCs w:val="32"/>
        </w:rPr>
        <w:t>年一般公共预算支出决算数为</w:t>
      </w:r>
      <w:r>
        <w:rPr>
          <w:rFonts w:eastAsia="仿宋"/>
          <w:b/>
          <w:sz w:val="32"/>
          <w:szCs w:val="32"/>
        </w:rPr>
        <w:t>1127.90</w:t>
      </w:r>
      <w:r>
        <w:rPr>
          <w:rFonts w:eastAsia="仿宋" w:hAnsi="仿宋"/>
          <w:b/>
          <w:sz w:val="32"/>
          <w:szCs w:val="32"/>
        </w:rPr>
        <w:t>万元</w:t>
      </w:r>
      <w:r>
        <w:rPr>
          <w:rFonts w:eastAsia="仿宋" w:hAnsi="仿宋"/>
          <w:sz w:val="32"/>
          <w:szCs w:val="32"/>
        </w:rPr>
        <w:t>，</w:t>
      </w:r>
      <w:r>
        <w:rPr>
          <w:rStyle w:val="a7"/>
          <w:rFonts w:eastAsia="仿宋" w:hAnsi="仿宋"/>
          <w:bCs/>
          <w:sz w:val="32"/>
          <w:szCs w:val="32"/>
        </w:rPr>
        <w:t>完成预算</w:t>
      </w:r>
      <w:r>
        <w:rPr>
          <w:rStyle w:val="a7"/>
          <w:rFonts w:eastAsia="仿宋"/>
          <w:bCs/>
          <w:sz w:val="32"/>
          <w:szCs w:val="32"/>
        </w:rPr>
        <w:t>100%</w:t>
      </w:r>
      <w:r>
        <w:rPr>
          <w:rStyle w:val="a7"/>
          <w:rFonts w:eastAsia="仿宋" w:hAnsi="仿宋"/>
          <w:bCs/>
          <w:sz w:val="32"/>
          <w:szCs w:val="32"/>
        </w:rPr>
        <w:t>。其中：</w:t>
      </w:r>
      <w:bookmarkEnd w:id="40"/>
      <w:bookmarkEnd w:id="41"/>
      <w:bookmarkEnd w:id="42"/>
    </w:p>
    <w:p w:rsidR="0018623D" w:rsidRDefault="00971571">
      <w:pPr>
        <w:spacing w:line="600" w:lineRule="exact"/>
        <w:ind w:firstLineChars="200" w:firstLine="643"/>
        <w:rPr>
          <w:rFonts w:eastAsia="仿宋"/>
          <w:b/>
          <w:sz w:val="32"/>
          <w:szCs w:val="32"/>
        </w:rPr>
      </w:pPr>
      <w:r>
        <w:rPr>
          <w:rStyle w:val="a7"/>
          <w:rFonts w:eastAsia="仿宋"/>
          <w:bCs/>
          <w:sz w:val="32"/>
          <w:szCs w:val="32"/>
        </w:rPr>
        <w:t>1</w:t>
      </w:r>
      <w:r>
        <w:rPr>
          <w:rFonts w:eastAsia="仿宋_GB2312"/>
          <w:sz w:val="32"/>
          <w:szCs w:val="32"/>
        </w:rPr>
        <w:t>．</w:t>
      </w:r>
      <w:r>
        <w:rPr>
          <w:rStyle w:val="a7"/>
          <w:rFonts w:eastAsia="仿宋" w:hAnsi="仿宋"/>
          <w:bCs/>
          <w:sz w:val="32"/>
          <w:szCs w:val="32"/>
        </w:rPr>
        <w:t>科学技术支出（类）其他科学技术支出（款）其他科学技术支出（项）：</w:t>
      </w:r>
      <w:r>
        <w:rPr>
          <w:rStyle w:val="a7"/>
          <w:rFonts w:eastAsia="仿宋" w:hAnsi="仿宋"/>
          <w:b w:val="0"/>
          <w:bCs/>
          <w:sz w:val="32"/>
          <w:szCs w:val="32"/>
        </w:rPr>
        <w:t>支出决算为</w:t>
      </w:r>
      <w:r>
        <w:rPr>
          <w:rStyle w:val="a7"/>
          <w:rFonts w:eastAsia="仿宋"/>
          <w:b w:val="0"/>
          <w:bCs/>
          <w:sz w:val="32"/>
          <w:szCs w:val="32"/>
        </w:rPr>
        <w:t>1.70</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971571">
      <w:pPr>
        <w:spacing w:line="600" w:lineRule="exact"/>
        <w:ind w:firstLineChars="200" w:firstLine="643"/>
        <w:rPr>
          <w:rFonts w:eastAsia="仿宋"/>
          <w:b/>
          <w:sz w:val="32"/>
          <w:szCs w:val="32"/>
        </w:rPr>
      </w:pPr>
      <w:r>
        <w:rPr>
          <w:rStyle w:val="a7"/>
          <w:rFonts w:eastAsia="仿宋"/>
          <w:bCs/>
          <w:sz w:val="32"/>
          <w:szCs w:val="32"/>
        </w:rPr>
        <w:t>2</w:t>
      </w:r>
      <w:r>
        <w:rPr>
          <w:rFonts w:eastAsia="仿宋_GB2312"/>
          <w:sz w:val="32"/>
          <w:szCs w:val="32"/>
        </w:rPr>
        <w:t>．</w:t>
      </w:r>
      <w:r>
        <w:rPr>
          <w:rStyle w:val="a7"/>
          <w:rFonts w:eastAsia="仿宋" w:hAnsi="仿宋"/>
          <w:bCs/>
          <w:sz w:val="32"/>
          <w:szCs w:val="32"/>
        </w:rPr>
        <w:t>文化旅游体育与传媒支出（类）文物（款）文物保护（项）：</w:t>
      </w:r>
      <w:r>
        <w:rPr>
          <w:rStyle w:val="a7"/>
          <w:rFonts w:eastAsia="仿宋" w:hAnsi="仿宋"/>
          <w:b w:val="0"/>
          <w:bCs/>
          <w:sz w:val="32"/>
          <w:szCs w:val="32"/>
        </w:rPr>
        <w:t>支出决算为</w:t>
      </w:r>
      <w:r>
        <w:rPr>
          <w:rStyle w:val="a7"/>
          <w:rFonts w:eastAsia="仿宋"/>
          <w:b w:val="0"/>
          <w:bCs/>
          <w:sz w:val="32"/>
          <w:szCs w:val="32"/>
        </w:rPr>
        <w:t>25.70</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971571">
      <w:pPr>
        <w:spacing w:line="600" w:lineRule="exact"/>
        <w:ind w:firstLineChars="200" w:firstLine="643"/>
        <w:rPr>
          <w:rFonts w:eastAsia="仿宋"/>
          <w:b/>
          <w:sz w:val="32"/>
          <w:szCs w:val="32"/>
        </w:rPr>
      </w:pPr>
      <w:r>
        <w:rPr>
          <w:rStyle w:val="a7"/>
          <w:rFonts w:eastAsia="仿宋"/>
          <w:bCs/>
          <w:sz w:val="32"/>
          <w:szCs w:val="32"/>
        </w:rPr>
        <w:t>3</w:t>
      </w:r>
      <w:r>
        <w:rPr>
          <w:rFonts w:eastAsia="仿宋_GB2312"/>
          <w:sz w:val="32"/>
          <w:szCs w:val="32"/>
        </w:rPr>
        <w:t>．</w:t>
      </w:r>
      <w:r>
        <w:rPr>
          <w:rStyle w:val="a7"/>
          <w:rFonts w:eastAsia="仿宋" w:hAnsi="仿宋"/>
          <w:bCs/>
          <w:sz w:val="32"/>
          <w:szCs w:val="32"/>
        </w:rPr>
        <w:t>文化旅游体育与传媒支出（类）文物（款）博物馆（项）：</w:t>
      </w:r>
      <w:r>
        <w:rPr>
          <w:rStyle w:val="a7"/>
          <w:rFonts w:eastAsia="仿宋" w:hAnsi="仿宋"/>
          <w:b w:val="0"/>
          <w:bCs/>
          <w:sz w:val="32"/>
          <w:szCs w:val="32"/>
        </w:rPr>
        <w:t>支出决算为</w:t>
      </w:r>
      <w:r>
        <w:rPr>
          <w:rStyle w:val="a7"/>
          <w:rFonts w:eastAsia="仿宋"/>
          <w:b w:val="0"/>
          <w:bCs/>
          <w:sz w:val="32"/>
          <w:szCs w:val="32"/>
        </w:rPr>
        <w:t>958.55</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971571">
      <w:pPr>
        <w:spacing w:line="600" w:lineRule="exact"/>
        <w:ind w:firstLineChars="200" w:firstLine="643"/>
        <w:rPr>
          <w:rStyle w:val="a7"/>
          <w:rFonts w:eastAsia="仿宋"/>
          <w:b w:val="0"/>
          <w:bCs/>
          <w:sz w:val="32"/>
          <w:szCs w:val="32"/>
        </w:rPr>
      </w:pPr>
      <w:r>
        <w:rPr>
          <w:rStyle w:val="a7"/>
          <w:rFonts w:eastAsia="仿宋"/>
          <w:bCs/>
          <w:sz w:val="32"/>
          <w:szCs w:val="32"/>
        </w:rPr>
        <w:t>4</w:t>
      </w:r>
      <w:r>
        <w:rPr>
          <w:rFonts w:eastAsia="仿宋_GB2312"/>
          <w:sz w:val="32"/>
          <w:szCs w:val="32"/>
        </w:rPr>
        <w:t>．</w:t>
      </w:r>
      <w:r>
        <w:rPr>
          <w:rStyle w:val="a7"/>
          <w:rFonts w:eastAsia="仿宋" w:hAnsi="仿宋"/>
          <w:bCs/>
          <w:sz w:val="32"/>
          <w:szCs w:val="32"/>
        </w:rPr>
        <w:t>文化旅游体育与传媒支出（类）其他文化旅游体育与传媒支出（款）宣传文化发展专项支出（项）：</w:t>
      </w:r>
      <w:r>
        <w:rPr>
          <w:rStyle w:val="a7"/>
          <w:rFonts w:eastAsia="仿宋" w:hAnsi="仿宋"/>
          <w:b w:val="0"/>
          <w:bCs/>
          <w:sz w:val="32"/>
          <w:szCs w:val="32"/>
        </w:rPr>
        <w:t>支出决算为</w:t>
      </w:r>
      <w:r>
        <w:rPr>
          <w:rStyle w:val="a7"/>
          <w:rFonts w:eastAsia="仿宋"/>
          <w:b w:val="0"/>
          <w:bCs/>
          <w:sz w:val="32"/>
          <w:szCs w:val="32"/>
        </w:rPr>
        <w:t>35.93</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971571">
      <w:pPr>
        <w:spacing w:line="600" w:lineRule="exact"/>
        <w:ind w:firstLineChars="200" w:firstLine="643"/>
      </w:pPr>
      <w:r>
        <w:rPr>
          <w:rStyle w:val="a7"/>
          <w:rFonts w:eastAsia="仿宋"/>
          <w:bCs/>
          <w:sz w:val="32"/>
          <w:szCs w:val="32"/>
        </w:rPr>
        <w:t>5</w:t>
      </w:r>
      <w:r>
        <w:rPr>
          <w:rFonts w:eastAsia="仿宋_GB2312"/>
          <w:sz w:val="32"/>
          <w:szCs w:val="32"/>
        </w:rPr>
        <w:t>．</w:t>
      </w:r>
      <w:r>
        <w:rPr>
          <w:rStyle w:val="a7"/>
          <w:rFonts w:eastAsia="仿宋" w:hAnsi="仿宋"/>
          <w:bCs/>
          <w:sz w:val="32"/>
          <w:szCs w:val="32"/>
        </w:rPr>
        <w:t>文化旅游体育与传媒支出（类）其他文化旅游体育与传媒支出（款）其他文化旅游体育与传媒支出（项）：</w:t>
      </w:r>
      <w:r>
        <w:rPr>
          <w:rStyle w:val="a7"/>
          <w:rFonts w:eastAsia="仿宋" w:hAnsi="仿宋"/>
          <w:b w:val="0"/>
          <w:bCs/>
          <w:sz w:val="32"/>
          <w:szCs w:val="32"/>
        </w:rPr>
        <w:t>支出决算为</w:t>
      </w:r>
      <w:r>
        <w:rPr>
          <w:rStyle w:val="a7"/>
          <w:rFonts w:eastAsia="仿宋"/>
          <w:b w:val="0"/>
          <w:bCs/>
          <w:sz w:val="32"/>
          <w:szCs w:val="32"/>
        </w:rPr>
        <w:t>3.68</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971571">
      <w:pPr>
        <w:spacing w:line="600" w:lineRule="exact"/>
        <w:ind w:firstLineChars="200" w:firstLine="643"/>
        <w:rPr>
          <w:rStyle w:val="a7"/>
          <w:rFonts w:eastAsia="仿宋"/>
          <w:b w:val="0"/>
          <w:bCs/>
          <w:sz w:val="32"/>
          <w:szCs w:val="32"/>
        </w:rPr>
      </w:pPr>
      <w:r>
        <w:rPr>
          <w:rStyle w:val="a7"/>
          <w:rFonts w:eastAsia="仿宋"/>
          <w:bCs/>
          <w:sz w:val="32"/>
          <w:szCs w:val="32"/>
        </w:rPr>
        <w:t>6</w:t>
      </w:r>
      <w:r>
        <w:rPr>
          <w:rFonts w:eastAsia="仿宋_GB2312"/>
          <w:sz w:val="32"/>
          <w:szCs w:val="32"/>
        </w:rPr>
        <w:t>．</w:t>
      </w:r>
      <w:r>
        <w:rPr>
          <w:rStyle w:val="a7"/>
          <w:rFonts w:eastAsia="仿宋" w:hAnsi="仿宋"/>
          <w:bCs/>
          <w:sz w:val="32"/>
          <w:szCs w:val="32"/>
        </w:rPr>
        <w:t>社会保障和就业支出（类）</w:t>
      </w:r>
      <w:r>
        <w:rPr>
          <w:rStyle w:val="a7"/>
          <w:rFonts w:eastAsia="仿宋"/>
          <w:bCs/>
          <w:color w:val="000000"/>
          <w:sz w:val="32"/>
          <w:szCs w:val="32"/>
        </w:rPr>
        <w:t>行政事业单位养老支出</w:t>
      </w:r>
      <w:r>
        <w:rPr>
          <w:rStyle w:val="a7"/>
          <w:rFonts w:eastAsia="仿宋" w:hAnsi="仿宋"/>
          <w:bCs/>
          <w:sz w:val="32"/>
          <w:szCs w:val="32"/>
        </w:rPr>
        <w:t>（款）</w:t>
      </w:r>
      <w:r>
        <w:rPr>
          <w:rStyle w:val="a7"/>
          <w:rFonts w:eastAsia="仿宋"/>
          <w:bCs/>
          <w:color w:val="000000"/>
          <w:sz w:val="32"/>
          <w:szCs w:val="32"/>
        </w:rPr>
        <w:t>事业单位离退休</w:t>
      </w:r>
      <w:r>
        <w:rPr>
          <w:rStyle w:val="a7"/>
          <w:rFonts w:eastAsia="仿宋" w:hAnsi="仿宋"/>
          <w:bCs/>
          <w:sz w:val="32"/>
          <w:szCs w:val="32"/>
        </w:rPr>
        <w:t>（项）：</w:t>
      </w:r>
      <w:r>
        <w:rPr>
          <w:rStyle w:val="a7"/>
          <w:rFonts w:eastAsia="仿宋" w:hAnsi="仿宋"/>
          <w:b w:val="0"/>
          <w:bCs/>
          <w:sz w:val="32"/>
          <w:szCs w:val="32"/>
        </w:rPr>
        <w:t>支出决算为</w:t>
      </w:r>
      <w:r>
        <w:rPr>
          <w:rStyle w:val="a7"/>
          <w:rFonts w:eastAsia="仿宋"/>
          <w:b w:val="0"/>
          <w:bCs/>
          <w:sz w:val="32"/>
          <w:szCs w:val="32"/>
        </w:rPr>
        <w:t>20.53</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971571">
      <w:pPr>
        <w:pStyle w:val="a0"/>
        <w:spacing w:before="93"/>
        <w:ind w:firstLineChars="200" w:firstLine="643"/>
        <w:rPr>
          <w:rStyle w:val="a7"/>
          <w:rFonts w:ascii="Times New Roman" w:eastAsia="仿宋"/>
          <w:b w:val="0"/>
          <w:bCs/>
          <w:color w:val="000000"/>
          <w:sz w:val="32"/>
          <w:szCs w:val="32"/>
        </w:rPr>
      </w:pPr>
      <w:r>
        <w:rPr>
          <w:rStyle w:val="a7"/>
          <w:rFonts w:ascii="Times New Roman" w:eastAsia="仿宋"/>
          <w:bCs/>
          <w:color w:val="000000"/>
          <w:sz w:val="32"/>
          <w:szCs w:val="32"/>
        </w:rPr>
        <w:t>7</w:t>
      </w:r>
      <w:r>
        <w:rPr>
          <w:rFonts w:ascii="Times New Roman"/>
          <w:sz w:val="32"/>
          <w:szCs w:val="32"/>
        </w:rPr>
        <w:t>．</w:t>
      </w:r>
      <w:r>
        <w:rPr>
          <w:rStyle w:val="a7"/>
          <w:rFonts w:ascii="Times New Roman" w:eastAsia="仿宋"/>
          <w:bCs/>
          <w:color w:val="000000"/>
          <w:sz w:val="32"/>
          <w:szCs w:val="32"/>
        </w:rPr>
        <w:t>社会保障和就业支出（类）行政事业单位养老支出（款）机关事业单位基本养老保险缴费支出（项）：</w:t>
      </w:r>
      <w:r>
        <w:rPr>
          <w:rStyle w:val="a7"/>
          <w:rFonts w:ascii="Times New Roman" w:eastAsia="仿宋"/>
          <w:b w:val="0"/>
          <w:bCs/>
          <w:color w:val="000000"/>
          <w:sz w:val="32"/>
          <w:szCs w:val="32"/>
        </w:rPr>
        <w:t>支出决算为</w:t>
      </w:r>
      <w:r>
        <w:rPr>
          <w:rStyle w:val="a7"/>
          <w:rFonts w:ascii="Times New Roman" w:eastAsia="仿宋"/>
          <w:b w:val="0"/>
          <w:bCs/>
          <w:color w:val="000000"/>
          <w:sz w:val="32"/>
          <w:szCs w:val="32"/>
        </w:rPr>
        <w:t>35.65</w:t>
      </w:r>
      <w:r>
        <w:rPr>
          <w:rStyle w:val="a7"/>
          <w:rFonts w:ascii="Times New Roman" w:eastAsia="仿宋"/>
          <w:b w:val="0"/>
          <w:bCs/>
          <w:color w:val="000000"/>
          <w:sz w:val="32"/>
          <w:szCs w:val="32"/>
        </w:rPr>
        <w:t>万元，完成预算</w:t>
      </w:r>
      <w:r>
        <w:rPr>
          <w:rStyle w:val="a7"/>
          <w:rFonts w:ascii="Times New Roman" w:eastAsia="仿宋"/>
          <w:b w:val="0"/>
          <w:bCs/>
          <w:color w:val="000000"/>
          <w:sz w:val="32"/>
          <w:szCs w:val="32"/>
        </w:rPr>
        <w:t>100%</w:t>
      </w:r>
      <w:r>
        <w:rPr>
          <w:rStyle w:val="a7"/>
          <w:rFonts w:ascii="Times New Roman" w:eastAsia="仿宋"/>
          <w:b w:val="0"/>
          <w:bCs/>
          <w:color w:val="000000"/>
          <w:sz w:val="32"/>
          <w:szCs w:val="32"/>
        </w:rPr>
        <w:t>。</w:t>
      </w:r>
    </w:p>
    <w:p w:rsidR="0018623D" w:rsidRDefault="00971571">
      <w:pPr>
        <w:pStyle w:val="a0"/>
        <w:spacing w:before="93"/>
        <w:ind w:firstLineChars="200" w:firstLine="643"/>
        <w:rPr>
          <w:rStyle w:val="a7"/>
          <w:rFonts w:ascii="Times New Roman" w:eastAsia="仿宋"/>
          <w:b w:val="0"/>
          <w:bCs/>
          <w:color w:val="000000"/>
          <w:sz w:val="32"/>
          <w:szCs w:val="32"/>
        </w:rPr>
      </w:pPr>
      <w:r>
        <w:rPr>
          <w:rStyle w:val="a7"/>
          <w:rFonts w:ascii="Times New Roman" w:eastAsia="仿宋"/>
          <w:bCs/>
          <w:color w:val="000000"/>
          <w:sz w:val="32"/>
          <w:szCs w:val="32"/>
        </w:rPr>
        <w:t>8</w:t>
      </w:r>
      <w:r>
        <w:rPr>
          <w:rFonts w:ascii="Times New Roman"/>
          <w:sz w:val="32"/>
          <w:szCs w:val="32"/>
        </w:rPr>
        <w:t>．</w:t>
      </w:r>
      <w:r>
        <w:rPr>
          <w:rStyle w:val="a7"/>
          <w:rFonts w:ascii="Times New Roman" w:eastAsia="仿宋"/>
          <w:bCs/>
          <w:color w:val="000000"/>
          <w:sz w:val="32"/>
          <w:szCs w:val="32"/>
        </w:rPr>
        <w:t>社会保障和就业支出（类）抚恤（款）死亡抚恤（项）：</w:t>
      </w:r>
      <w:r>
        <w:rPr>
          <w:rStyle w:val="a7"/>
          <w:rFonts w:ascii="Times New Roman" w:eastAsia="仿宋"/>
          <w:b w:val="0"/>
          <w:bCs/>
          <w:color w:val="000000"/>
          <w:sz w:val="32"/>
          <w:szCs w:val="32"/>
        </w:rPr>
        <w:t>支出决算为</w:t>
      </w:r>
      <w:r>
        <w:rPr>
          <w:rStyle w:val="a7"/>
          <w:rFonts w:ascii="Times New Roman" w:eastAsia="仿宋"/>
          <w:b w:val="0"/>
          <w:bCs/>
          <w:color w:val="000000"/>
          <w:sz w:val="32"/>
          <w:szCs w:val="32"/>
        </w:rPr>
        <w:t>7.14</w:t>
      </w:r>
      <w:r>
        <w:rPr>
          <w:rStyle w:val="a7"/>
          <w:rFonts w:ascii="Times New Roman" w:eastAsia="仿宋"/>
          <w:b w:val="0"/>
          <w:bCs/>
          <w:color w:val="000000"/>
          <w:sz w:val="32"/>
          <w:szCs w:val="32"/>
        </w:rPr>
        <w:t>万元，完成预算</w:t>
      </w:r>
      <w:r>
        <w:rPr>
          <w:rStyle w:val="a7"/>
          <w:rFonts w:ascii="Times New Roman" w:eastAsia="仿宋"/>
          <w:b w:val="0"/>
          <w:bCs/>
          <w:color w:val="000000"/>
          <w:sz w:val="32"/>
          <w:szCs w:val="32"/>
        </w:rPr>
        <w:t>100%</w:t>
      </w:r>
      <w:r>
        <w:rPr>
          <w:rStyle w:val="a7"/>
          <w:rFonts w:ascii="Times New Roman" w:eastAsia="仿宋"/>
          <w:b w:val="0"/>
          <w:bCs/>
          <w:color w:val="000000"/>
          <w:sz w:val="32"/>
          <w:szCs w:val="32"/>
        </w:rPr>
        <w:t>。</w:t>
      </w:r>
    </w:p>
    <w:p w:rsidR="0018623D" w:rsidRDefault="00971571">
      <w:pPr>
        <w:spacing w:line="600" w:lineRule="exact"/>
        <w:ind w:firstLineChars="200" w:firstLine="643"/>
        <w:rPr>
          <w:rFonts w:eastAsia="仿宋"/>
          <w:b/>
          <w:sz w:val="32"/>
          <w:szCs w:val="32"/>
        </w:rPr>
      </w:pPr>
      <w:r>
        <w:rPr>
          <w:rStyle w:val="a7"/>
          <w:rFonts w:eastAsia="仿宋"/>
          <w:bCs/>
          <w:sz w:val="32"/>
          <w:szCs w:val="32"/>
        </w:rPr>
        <w:t>9</w:t>
      </w:r>
      <w:r>
        <w:rPr>
          <w:rFonts w:eastAsia="仿宋_GB2312"/>
          <w:sz w:val="32"/>
          <w:szCs w:val="32"/>
        </w:rPr>
        <w:t>．</w:t>
      </w:r>
      <w:r>
        <w:rPr>
          <w:rStyle w:val="a7"/>
          <w:rFonts w:eastAsia="仿宋"/>
          <w:bCs/>
          <w:color w:val="000000"/>
          <w:sz w:val="32"/>
          <w:szCs w:val="32"/>
        </w:rPr>
        <w:t>住房保障支出（类）住房改革支出（款）住房公积金（项）</w:t>
      </w:r>
      <w:r>
        <w:rPr>
          <w:rStyle w:val="a7"/>
          <w:rFonts w:eastAsia="仿宋" w:hAnsi="仿宋"/>
          <w:bCs/>
          <w:sz w:val="32"/>
          <w:szCs w:val="32"/>
        </w:rPr>
        <w:t>：</w:t>
      </w:r>
      <w:r>
        <w:rPr>
          <w:rStyle w:val="a7"/>
          <w:rFonts w:eastAsia="仿宋" w:hAnsi="仿宋"/>
          <w:b w:val="0"/>
          <w:bCs/>
          <w:sz w:val="32"/>
          <w:szCs w:val="32"/>
        </w:rPr>
        <w:t>支出决算为</w:t>
      </w:r>
      <w:r>
        <w:rPr>
          <w:rStyle w:val="a7"/>
          <w:rFonts w:eastAsia="仿宋"/>
          <w:b w:val="0"/>
          <w:bCs/>
          <w:sz w:val="32"/>
          <w:szCs w:val="32"/>
        </w:rPr>
        <w:t>39.02</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18623D" w:rsidRDefault="0018623D">
      <w:pPr>
        <w:spacing w:line="600" w:lineRule="exact"/>
        <w:ind w:firstLine="640"/>
        <w:rPr>
          <w:rFonts w:eastAsia="仿宋"/>
          <w:b/>
          <w:sz w:val="32"/>
          <w:szCs w:val="32"/>
        </w:rPr>
      </w:pPr>
    </w:p>
    <w:p w:rsidR="0018623D" w:rsidRDefault="00971571">
      <w:pPr>
        <w:tabs>
          <w:tab w:val="right" w:pos="8306"/>
        </w:tabs>
        <w:spacing w:line="600" w:lineRule="exact"/>
        <w:ind w:firstLine="640"/>
        <w:outlineLvl w:val="1"/>
        <w:rPr>
          <w:rStyle w:val="2Char"/>
          <w:rFonts w:ascii="Times New Roman" w:hAnsi="Times New Roman" w:cs="Times New Roman"/>
        </w:rPr>
      </w:pPr>
      <w:bookmarkStart w:id="43" w:name="_Toc10952"/>
      <w:bookmarkStart w:id="44" w:name="_Toc15377214"/>
      <w:bookmarkStart w:id="45" w:name="_Toc15396608"/>
      <w:r>
        <w:rPr>
          <w:rFonts w:eastAsia="黑体"/>
          <w:sz w:val="32"/>
          <w:szCs w:val="32"/>
        </w:rPr>
        <w:t>六</w:t>
      </w:r>
      <w:r>
        <w:rPr>
          <w:rFonts w:eastAsia="黑体"/>
          <w:b/>
          <w:sz w:val="32"/>
          <w:szCs w:val="32"/>
        </w:rPr>
        <w:t>、</w:t>
      </w:r>
      <w:r>
        <w:rPr>
          <w:rFonts w:eastAsia="黑体" w:hAnsi="黑体"/>
          <w:b/>
          <w:sz w:val="32"/>
          <w:szCs w:val="32"/>
        </w:rPr>
        <w:t>一</w:t>
      </w:r>
      <w:r>
        <w:rPr>
          <w:rStyle w:val="2Char"/>
          <w:rFonts w:ascii="Times New Roman" w:eastAsia="黑体" w:hAnsi="黑体" w:cs="Times New Roman"/>
          <w:b w:val="0"/>
        </w:rPr>
        <w:t>般公共预算财政拨款基本支出决算情况说明</w:t>
      </w:r>
      <w:bookmarkStart w:id="46" w:name="_GoBack"/>
      <w:bookmarkEnd w:id="43"/>
      <w:bookmarkEnd w:id="44"/>
      <w:bookmarkEnd w:id="45"/>
      <w:bookmarkEnd w:id="46"/>
    </w:p>
    <w:p w:rsidR="0018623D" w:rsidRDefault="00971571">
      <w:pPr>
        <w:spacing w:line="600" w:lineRule="exact"/>
        <w:ind w:firstLine="645"/>
        <w:rPr>
          <w:rFonts w:eastAsia="仿宋"/>
          <w:sz w:val="32"/>
          <w:szCs w:val="32"/>
        </w:rPr>
      </w:pPr>
      <w:r>
        <w:rPr>
          <w:rFonts w:eastAsia="仿宋"/>
          <w:sz w:val="32"/>
          <w:szCs w:val="32"/>
        </w:rPr>
        <w:t>2022</w:t>
      </w:r>
      <w:r>
        <w:rPr>
          <w:rFonts w:eastAsia="仿宋" w:hAnsi="仿宋"/>
          <w:sz w:val="32"/>
          <w:szCs w:val="32"/>
        </w:rPr>
        <w:t>年一般公共预算财政拨款基本支出</w:t>
      </w:r>
      <w:r>
        <w:rPr>
          <w:rFonts w:eastAsia="仿宋"/>
          <w:sz w:val="32"/>
          <w:szCs w:val="32"/>
        </w:rPr>
        <w:t>472.05</w:t>
      </w:r>
      <w:r>
        <w:rPr>
          <w:rFonts w:eastAsia="仿宋" w:hAnsi="仿宋"/>
          <w:sz w:val="32"/>
          <w:szCs w:val="32"/>
        </w:rPr>
        <w:t>万元，其中：</w:t>
      </w:r>
    </w:p>
    <w:p w:rsidR="0018623D" w:rsidRDefault="00971571">
      <w:pPr>
        <w:spacing w:line="600" w:lineRule="exact"/>
        <w:ind w:firstLine="645"/>
        <w:rPr>
          <w:rFonts w:eastAsia="仿宋"/>
          <w:sz w:val="32"/>
          <w:szCs w:val="32"/>
        </w:rPr>
      </w:pPr>
      <w:r>
        <w:rPr>
          <w:rFonts w:eastAsia="仿宋" w:hAnsi="仿宋"/>
          <w:sz w:val="32"/>
          <w:szCs w:val="32"/>
        </w:rPr>
        <w:t>人员经费</w:t>
      </w:r>
      <w:r>
        <w:rPr>
          <w:rFonts w:eastAsia="仿宋"/>
          <w:sz w:val="32"/>
          <w:szCs w:val="32"/>
        </w:rPr>
        <w:t>432.99</w:t>
      </w:r>
      <w:r>
        <w:rPr>
          <w:rFonts w:eastAsia="仿宋" w:hAnsi="仿宋"/>
          <w:sz w:val="32"/>
          <w:szCs w:val="32"/>
        </w:rPr>
        <w:t>万元，主要包括：基本工资</w:t>
      </w:r>
      <w:r>
        <w:rPr>
          <w:rFonts w:eastAsia="仿宋"/>
          <w:sz w:val="32"/>
          <w:szCs w:val="32"/>
        </w:rPr>
        <w:t>91.21</w:t>
      </w:r>
      <w:r>
        <w:rPr>
          <w:rFonts w:eastAsia="仿宋" w:hAnsi="仿宋"/>
          <w:sz w:val="32"/>
          <w:szCs w:val="32"/>
        </w:rPr>
        <w:t>万元、津贴补贴</w:t>
      </w:r>
      <w:r>
        <w:rPr>
          <w:rFonts w:eastAsia="仿宋"/>
          <w:sz w:val="32"/>
          <w:szCs w:val="32"/>
        </w:rPr>
        <w:t>14.09</w:t>
      </w:r>
      <w:r>
        <w:rPr>
          <w:rFonts w:eastAsia="仿宋" w:hAnsi="仿宋"/>
          <w:sz w:val="32"/>
          <w:szCs w:val="32"/>
        </w:rPr>
        <w:t>万元、绩效工资</w:t>
      </w:r>
      <w:r>
        <w:rPr>
          <w:rFonts w:eastAsia="仿宋"/>
          <w:sz w:val="32"/>
          <w:szCs w:val="32"/>
        </w:rPr>
        <w:t>168.58</w:t>
      </w:r>
      <w:r>
        <w:rPr>
          <w:rFonts w:eastAsia="仿宋" w:hAnsi="仿宋"/>
          <w:sz w:val="32"/>
          <w:szCs w:val="32"/>
        </w:rPr>
        <w:t>万元、机关事业单位基本养老保险缴费</w:t>
      </w:r>
      <w:r>
        <w:rPr>
          <w:rFonts w:eastAsia="仿宋"/>
          <w:sz w:val="32"/>
          <w:szCs w:val="32"/>
        </w:rPr>
        <w:t>35.65</w:t>
      </w:r>
      <w:r>
        <w:rPr>
          <w:rFonts w:eastAsia="仿宋" w:hAnsi="仿宋"/>
          <w:sz w:val="32"/>
          <w:szCs w:val="32"/>
        </w:rPr>
        <w:t>万元、职工基本医疗保险缴费</w:t>
      </w:r>
      <w:r>
        <w:rPr>
          <w:rFonts w:eastAsia="仿宋"/>
          <w:sz w:val="32"/>
          <w:szCs w:val="32"/>
        </w:rPr>
        <w:t>20.56</w:t>
      </w:r>
      <w:r>
        <w:rPr>
          <w:rFonts w:eastAsia="仿宋" w:hAnsi="仿宋"/>
          <w:sz w:val="32"/>
          <w:szCs w:val="32"/>
        </w:rPr>
        <w:t>万元、公务员医疗补助缴费</w:t>
      </w:r>
      <w:r>
        <w:rPr>
          <w:rFonts w:eastAsia="仿宋"/>
          <w:sz w:val="32"/>
          <w:szCs w:val="32"/>
        </w:rPr>
        <w:t>13.43</w:t>
      </w:r>
      <w:r>
        <w:rPr>
          <w:rFonts w:eastAsia="仿宋" w:hAnsi="仿宋"/>
          <w:sz w:val="32"/>
          <w:szCs w:val="32"/>
        </w:rPr>
        <w:t>万元、其他社会保障缴费</w:t>
      </w:r>
      <w:r>
        <w:rPr>
          <w:rFonts w:eastAsia="仿宋"/>
          <w:sz w:val="32"/>
          <w:szCs w:val="32"/>
        </w:rPr>
        <w:t>4.98</w:t>
      </w:r>
      <w:r>
        <w:rPr>
          <w:rFonts w:eastAsia="仿宋" w:hAnsi="仿宋"/>
          <w:sz w:val="32"/>
          <w:szCs w:val="32"/>
        </w:rPr>
        <w:t>万元、其他工资福利支出</w:t>
      </w:r>
      <w:r>
        <w:rPr>
          <w:rFonts w:eastAsia="仿宋"/>
          <w:sz w:val="32"/>
          <w:szCs w:val="32"/>
        </w:rPr>
        <w:t>18.07</w:t>
      </w:r>
      <w:r>
        <w:rPr>
          <w:rFonts w:eastAsia="仿宋" w:hAnsi="仿宋"/>
          <w:sz w:val="32"/>
          <w:szCs w:val="32"/>
        </w:rPr>
        <w:t>万元、抚恤金</w:t>
      </w:r>
      <w:r>
        <w:rPr>
          <w:rFonts w:eastAsia="仿宋"/>
          <w:sz w:val="32"/>
          <w:szCs w:val="32"/>
        </w:rPr>
        <w:t>7.14</w:t>
      </w:r>
      <w:r>
        <w:rPr>
          <w:rFonts w:eastAsia="仿宋" w:hAnsi="仿宋"/>
          <w:sz w:val="32"/>
          <w:szCs w:val="32"/>
        </w:rPr>
        <w:t>万元、生活补助</w:t>
      </w:r>
      <w:r>
        <w:rPr>
          <w:rFonts w:eastAsia="仿宋"/>
          <w:sz w:val="32"/>
          <w:szCs w:val="32"/>
        </w:rPr>
        <w:t>19.78</w:t>
      </w:r>
      <w:r>
        <w:rPr>
          <w:rFonts w:eastAsia="仿宋" w:hAnsi="仿宋"/>
          <w:sz w:val="32"/>
          <w:szCs w:val="32"/>
        </w:rPr>
        <w:t>万元、医疗费补助</w:t>
      </w:r>
      <w:r>
        <w:rPr>
          <w:rFonts w:eastAsia="仿宋"/>
          <w:sz w:val="32"/>
          <w:szCs w:val="32"/>
        </w:rPr>
        <w:t>0.48</w:t>
      </w:r>
      <w:r>
        <w:rPr>
          <w:rFonts w:eastAsia="仿宋" w:hAnsi="仿宋"/>
          <w:sz w:val="32"/>
          <w:szCs w:val="32"/>
        </w:rPr>
        <w:t>万元、住房公积金</w:t>
      </w:r>
      <w:r>
        <w:rPr>
          <w:rFonts w:eastAsia="仿宋"/>
          <w:sz w:val="32"/>
          <w:szCs w:val="32"/>
        </w:rPr>
        <w:t>39.02</w:t>
      </w:r>
      <w:r>
        <w:rPr>
          <w:rFonts w:eastAsia="仿宋" w:hAnsi="仿宋"/>
          <w:sz w:val="32"/>
          <w:szCs w:val="32"/>
        </w:rPr>
        <w:t>万元等。</w:t>
      </w:r>
    </w:p>
    <w:p w:rsidR="0018623D" w:rsidRDefault="00971571">
      <w:pPr>
        <w:spacing w:line="600" w:lineRule="exact"/>
        <w:ind w:firstLine="645"/>
        <w:rPr>
          <w:rFonts w:eastAsia="仿宋"/>
          <w:sz w:val="32"/>
          <w:szCs w:val="32"/>
        </w:rPr>
      </w:pPr>
      <w:r>
        <w:rPr>
          <w:rFonts w:eastAsia="仿宋" w:hAnsi="仿宋"/>
          <w:sz w:val="32"/>
          <w:szCs w:val="32"/>
        </w:rPr>
        <w:t>公用经费</w:t>
      </w:r>
      <w:r>
        <w:rPr>
          <w:rFonts w:eastAsia="仿宋"/>
          <w:sz w:val="32"/>
          <w:szCs w:val="32"/>
        </w:rPr>
        <w:t>39.06</w:t>
      </w:r>
      <w:r>
        <w:rPr>
          <w:rFonts w:eastAsia="仿宋" w:hAnsi="仿宋"/>
          <w:sz w:val="32"/>
          <w:szCs w:val="32"/>
        </w:rPr>
        <w:t>万元，主要包括：办公费</w:t>
      </w:r>
      <w:r>
        <w:rPr>
          <w:rFonts w:eastAsia="仿宋"/>
          <w:sz w:val="32"/>
          <w:szCs w:val="32"/>
        </w:rPr>
        <w:t>2.80</w:t>
      </w:r>
      <w:r>
        <w:rPr>
          <w:rFonts w:eastAsia="仿宋" w:hAnsi="仿宋"/>
          <w:sz w:val="32"/>
          <w:szCs w:val="32"/>
        </w:rPr>
        <w:t>万元、水费</w:t>
      </w:r>
      <w:r>
        <w:rPr>
          <w:rFonts w:eastAsia="仿宋"/>
          <w:sz w:val="32"/>
          <w:szCs w:val="32"/>
        </w:rPr>
        <w:t>1.80</w:t>
      </w:r>
      <w:r>
        <w:rPr>
          <w:rFonts w:eastAsia="仿宋" w:hAnsi="仿宋"/>
          <w:sz w:val="32"/>
          <w:szCs w:val="32"/>
        </w:rPr>
        <w:t>万元、电费</w:t>
      </w:r>
      <w:r>
        <w:rPr>
          <w:rFonts w:eastAsia="仿宋"/>
          <w:sz w:val="32"/>
          <w:szCs w:val="32"/>
        </w:rPr>
        <w:t>0.06</w:t>
      </w:r>
      <w:r>
        <w:rPr>
          <w:rFonts w:eastAsia="仿宋" w:hAnsi="仿宋"/>
          <w:sz w:val="32"/>
          <w:szCs w:val="32"/>
        </w:rPr>
        <w:t>万元、邮电费</w:t>
      </w:r>
      <w:r>
        <w:rPr>
          <w:rFonts w:eastAsia="仿宋"/>
          <w:sz w:val="32"/>
          <w:szCs w:val="32"/>
        </w:rPr>
        <w:t>2.39</w:t>
      </w:r>
      <w:r>
        <w:rPr>
          <w:rFonts w:eastAsia="仿宋" w:hAnsi="仿宋"/>
          <w:sz w:val="32"/>
          <w:szCs w:val="32"/>
        </w:rPr>
        <w:t>万元、差旅费</w:t>
      </w:r>
      <w:r>
        <w:rPr>
          <w:rFonts w:eastAsia="仿宋"/>
          <w:sz w:val="32"/>
          <w:szCs w:val="32"/>
        </w:rPr>
        <w:t>15.26</w:t>
      </w:r>
      <w:r>
        <w:rPr>
          <w:rFonts w:eastAsia="仿宋" w:hAnsi="仿宋"/>
          <w:sz w:val="32"/>
          <w:szCs w:val="32"/>
        </w:rPr>
        <w:t>万元、公务接待费</w:t>
      </w:r>
      <w:r>
        <w:rPr>
          <w:rFonts w:eastAsia="仿宋"/>
          <w:sz w:val="32"/>
          <w:szCs w:val="32"/>
        </w:rPr>
        <w:t>0.19</w:t>
      </w:r>
      <w:r>
        <w:rPr>
          <w:rFonts w:eastAsia="仿宋" w:hAnsi="仿宋"/>
          <w:sz w:val="32"/>
          <w:szCs w:val="32"/>
        </w:rPr>
        <w:t>万元、工会经费</w:t>
      </w:r>
      <w:r>
        <w:rPr>
          <w:rFonts w:eastAsia="仿宋"/>
          <w:sz w:val="32"/>
          <w:szCs w:val="32"/>
        </w:rPr>
        <w:t>5.14</w:t>
      </w:r>
      <w:r>
        <w:rPr>
          <w:rFonts w:eastAsia="仿宋" w:hAnsi="仿宋"/>
          <w:sz w:val="32"/>
          <w:szCs w:val="32"/>
        </w:rPr>
        <w:t>万元、福利</w:t>
      </w:r>
      <w:r>
        <w:rPr>
          <w:rFonts w:eastAsia="仿宋" w:hAnsi="仿宋"/>
          <w:sz w:val="32"/>
          <w:szCs w:val="32"/>
        </w:rPr>
        <w:t>费</w:t>
      </w:r>
      <w:r>
        <w:rPr>
          <w:rFonts w:eastAsia="仿宋"/>
          <w:sz w:val="32"/>
          <w:szCs w:val="32"/>
        </w:rPr>
        <w:t>2.02</w:t>
      </w:r>
      <w:r>
        <w:rPr>
          <w:rFonts w:eastAsia="仿宋" w:hAnsi="仿宋"/>
          <w:sz w:val="32"/>
          <w:szCs w:val="32"/>
        </w:rPr>
        <w:t>万元、公务用车运行维护费</w:t>
      </w:r>
      <w:r>
        <w:rPr>
          <w:rFonts w:eastAsia="仿宋"/>
          <w:sz w:val="32"/>
          <w:szCs w:val="32"/>
        </w:rPr>
        <w:t>2.71</w:t>
      </w:r>
      <w:r>
        <w:rPr>
          <w:rFonts w:eastAsia="仿宋" w:hAnsi="仿宋"/>
          <w:sz w:val="32"/>
          <w:szCs w:val="32"/>
        </w:rPr>
        <w:t>万元、其他交通费</w:t>
      </w:r>
      <w:r>
        <w:rPr>
          <w:rFonts w:eastAsia="仿宋"/>
          <w:sz w:val="32"/>
          <w:szCs w:val="32"/>
        </w:rPr>
        <w:t>4.32</w:t>
      </w:r>
      <w:r>
        <w:rPr>
          <w:rFonts w:eastAsia="仿宋" w:hAnsi="仿宋"/>
          <w:sz w:val="32"/>
          <w:szCs w:val="32"/>
        </w:rPr>
        <w:t>万元、其他商品和服务支出</w:t>
      </w:r>
      <w:r>
        <w:rPr>
          <w:rFonts w:eastAsia="仿宋"/>
          <w:sz w:val="32"/>
          <w:szCs w:val="32"/>
        </w:rPr>
        <w:t>2.37</w:t>
      </w:r>
      <w:r>
        <w:rPr>
          <w:rFonts w:eastAsia="仿宋" w:hAnsi="仿宋"/>
          <w:sz w:val="32"/>
          <w:szCs w:val="32"/>
        </w:rPr>
        <w:t>万元等。</w:t>
      </w:r>
    </w:p>
    <w:p w:rsidR="0018623D" w:rsidRDefault="0018623D">
      <w:pPr>
        <w:spacing w:line="600" w:lineRule="exact"/>
        <w:ind w:firstLine="640"/>
        <w:rPr>
          <w:rFonts w:eastAsia="仿宋"/>
          <w:b/>
          <w:sz w:val="32"/>
          <w:szCs w:val="32"/>
        </w:rPr>
      </w:pPr>
    </w:p>
    <w:p w:rsidR="0018623D" w:rsidRDefault="00971571">
      <w:pPr>
        <w:spacing w:line="600" w:lineRule="exact"/>
        <w:ind w:firstLine="640"/>
        <w:outlineLvl w:val="1"/>
        <w:rPr>
          <w:rStyle w:val="2Char"/>
          <w:rFonts w:ascii="Times New Roman" w:eastAsia="黑体" w:hAnsi="Times New Roman" w:cs="Times New Roman"/>
          <w:b w:val="0"/>
        </w:rPr>
      </w:pPr>
      <w:bookmarkStart w:id="47" w:name="_Toc15396609"/>
      <w:bookmarkStart w:id="48" w:name="_Toc15377215"/>
      <w:bookmarkStart w:id="49" w:name="_Toc5091"/>
      <w:r>
        <w:rPr>
          <w:rFonts w:eastAsia="黑体"/>
          <w:sz w:val="32"/>
          <w:szCs w:val="32"/>
        </w:rPr>
        <w:t>七、</w:t>
      </w:r>
      <w:r>
        <w:rPr>
          <w:rStyle w:val="2Char"/>
          <w:rFonts w:ascii="Times New Roman" w:eastAsia="黑体" w:hAnsi="黑体" w:cs="Times New Roman"/>
          <w:b w:val="0"/>
        </w:rPr>
        <w:t>财政拨款</w:t>
      </w:r>
      <w:r>
        <w:rPr>
          <w:rStyle w:val="2Char"/>
          <w:rFonts w:ascii="Times New Roman" w:eastAsia="黑体" w:hAnsi="Times New Roman" w:cs="Times New Roman"/>
        </w:rPr>
        <w:t>“</w:t>
      </w:r>
      <w:r>
        <w:rPr>
          <w:rStyle w:val="2Char"/>
          <w:rFonts w:ascii="Times New Roman" w:eastAsia="黑体" w:hAnsi="黑体" w:cs="Times New Roman"/>
          <w:b w:val="0"/>
        </w:rPr>
        <w:t>三公</w:t>
      </w:r>
      <w:r>
        <w:rPr>
          <w:rStyle w:val="2Char"/>
          <w:rFonts w:ascii="Times New Roman" w:eastAsia="黑体" w:hAnsi="Times New Roman" w:cs="Times New Roman"/>
          <w:b w:val="0"/>
        </w:rPr>
        <w:t>”</w:t>
      </w:r>
      <w:r>
        <w:rPr>
          <w:rStyle w:val="2Char"/>
          <w:rFonts w:ascii="Times New Roman" w:eastAsia="黑体" w:hAnsi="黑体" w:cs="Times New Roman"/>
          <w:b w:val="0"/>
        </w:rPr>
        <w:t>经费支出决算情况说明</w:t>
      </w:r>
      <w:bookmarkEnd w:id="47"/>
      <w:bookmarkEnd w:id="48"/>
      <w:bookmarkEnd w:id="49"/>
    </w:p>
    <w:p w:rsidR="0018623D" w:rsidRDefault="00971571">
      <w:pPr>
        <w:spacing w:line="600" w:lineRule="exact"/>
        <w:ind w:firstLine="640"/>
        <w:rPr>
          <w:rFonts w:eastAsia="仿宋"/>
          <w:b/>
          <w:sz w:val="32"/>
          <w:szCs w:val="32"/>
        </w:rPr>
      </w:pPr>
      <w:bookmarkStart w:id="50" w:name="_Toc15377216"/>
      <w:r>
        <w:rPr>
          <w:rFonts w:eastAsia="仿宋" w:hAnsi="仿宋"/>
          <w:b/>
          <w:sz w:val="32"/>
          <w:szCs w:val="32"/>
        </w:rPr>
        <w:t>（一）</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经费财政拨款支出决算总体情况说明</w:t>
      </w:r>
      <w:bookmarkEnd w:id="50"/>
    </w:p>
    <w:p w:rsidR="0018623D" w:rsidRDefault="00971571">
      <w:pPr>
        <w:spacing w:line="600" w:lineRule="exact"/>
        <w:ind w:firstLine="640"/>
        <w:rPr>
          <w:rFonts w:eastAsia="仿宋"/>
          <w:sz w:val="32"/>
          <w:szCs w:val="32"/>
        </w:rPr>
      </w:pPr>
      <w:r>
        <w:rPr>
          <w:rFonts w:eastAsia="仿宋"/>
          <w:sz w:val="32"/>
          <w:szCs w:val="32"/>
        </w:rPr>
        <w:t>2022</w:t>
      </w:r>
      <w:r>
        <w:rPr>
          <w:rFonts w:eastAsia="仿宋" w:hAnsi="仿宋"/>
          <w:sz w:val="32"/>
          <w:szCs w:val="32"/>
        </w:rPr>
        <w:t>年</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经费财政拨款支出决算为</w:t>
      </w:r>
      <w:r>
        <w:rPr>
          <w:rFonts w:eastAsia="仿宋"/>
          <w:sz w:val="32"/>
          <w:szCs w:val="32"/>
        </w:rPr>
        <w:t>2.90</w:t>
      </w:r>
      <w:r>
        <w:rPr>
          <w:rFonts w:eastAsia="仿宋" w:hAnsi="仿宋"/>
          <w:sz w:val="32"/>
          <w:szCs w:val="32"/>
        </w:rPr>
        <w:t>万元，完成预算</w:t>
      </w:r>
      <w:r>
        <w:rPr>
          <w:rFonts w:eastAsia="仿宋"/>
          <w:sz w:val="32"/>
          <w:szCs w:val="32"/>
        </w:rPr>
        <w:t>100%</w:t>
      </w:r>
      <w:r>
        <w:rPr>
          <w:rFonts w:eastAsia="仿宋" w:hAnsi="仿宋"/>
          <w:sz w:val="32"/>
          <w:szCs w:val="32"/>
        </w:rPr>
        <w:t>。</w:t>
      </w:r>
    </w:p>
    <w:p w:rsidR="0018623D" w:rsidRDefault="00971571">
      <w:pPr>
        <w:spacing w:line="600" w:lineRule="exact"/>
        <w:ind w:firstLine="640"/>
        <w:rPr>
          <w:rFonts w:eastAsia="仿宋"/>
          <w:b/>
          <w:sz w:val="32"/>
          <w:szCs w:val="32"/>
        </w:rPr>
      </w:pPr>
      <w:bookmarkStart w:id="51" w:name="_Toc15377217"/>
      <w:r>
        <w:rPr>
          <w:rFonts w:eastAsia="仿宋" w:hAnsi="仿宋"/>
          <w:b/>
          <w:sz w:val="32"/>
          <w:szCs w:val="32"/>
        </w:rPr>
        <w:t>（二）</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经费财政拨款支出决算具体情况说明</w:t>
      </w:r>
      <w:bookmarkEnd w:id="51"/>
    </w:p>
    <w:p w:rsidR="0018623D" w:rsidRDefault="00971571">
      <w:pPr>
        <w:spacing w:line="600" w:lineRule="exact"/>
        <w:ind w:firstLine="640"/>
        <w:rPr>
          <w:rFonts w:eastAsia="仿宋"/>
          <w:sz w:val="32"/>
          <w:szCs w:val="32"/>
        </w:rPr>
      </w:pPr>
      <w:r>
        <w:rPr>
          <w:rFonts w:eastAsia="仿宋"/>
          <w:sz w:val="32"/>
          <w:szCs w:val="32"/>
        </w:rPr>
        <w:t>2022</w:t>
      </w:r>
      <w:r>
        <w:rPr>
          <w:rFonts w:eastAsia="仿宋" w:hAnsi="仿宋"/>
          <w:sz w:val="32"/>
          <w:szCs w:val="32"/>
        </w:rPr>
        <w:t>年</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经费财政拨款支出决算中，因公出国（境）费支出决算</w:t>
      </w:r>
      <w:r>
        <w:rPr>
          <w:rFonts w:eastAsia="仿宋"/>
          <w:sz w:val="32"/>
          <w:szCs w:val="32"/>
        </w:rPr>
        <w:t>0</w:t>
      </w:r>
      <w:r>
        <w:rPr>
          <w:rFonts w:eastAsia="仿宋" w:hAnsi="仿宋"/>
          <w:sz w:val="32"/>
          <w:szCs w:val="32"/>
        </w:rPr>
        <w:t>万元，占</w:t>
      </w:r>
      <w:r>
        <w:rPr>
          <w:rFonts w:eastAsia="仿宋"/>
          <w:sz w:val="32"/>
          <w:szCs w:val="32"/>
        </w:rPr>
        <w:t>0%</w:t>
      </w:r>
      <w:r>
        <w:rPr>
          <w:rFonts w:eastAsia="仿宋" w:hAnsi="仿宋"/>
          <w:sz w:val="32"/>
          <w:szCs w:val="32"/>
        </w:rPr>
        <w:t>；公务用车购置及运行维护费支出决算</w:t>
      </w:r>
      <w:r>
        <w:rPr>
          <w:rFonts w:eastAsia="仿宋"/>
          <w:sz w:val="32"/>
          <w:szCs w:val="32"/>
        </w:rPr>
        <w:t>2.71</w:t>
      </w:r>
      <w:r>
        <w:rPr>
          <w:rFonts w:eastAsia="仿宋" w:hAnsi="仿宋"/>
          <w:sz w:val="32"/>
          <w:szCs w:val="32"/>
        </w:rPr>
        <w:t>万元，占</w:t>
      </w:r>
      <w:r>
        <w:rPr>
          <w:rFonts w:eastAsia="仿宋"/>
          <w:sz w:val="32"/>
          <w:szCs w:val="32"/>
        </w:rPr>
        <w:t>93.45%</w:t>
      </w:r>
      <w:r>
        <w:rPr>
          <w:rFonts w:eastAsia="仿宋" w:hAnsi="仿宋"/>
          <w:sz w:val="32"/>
          <w:szCs w:val="32"/>
        </w:rPr>
        <w:t>；公务接待费支出决算</w:t>
      </w:r>
      <w:r>
        <w:rPr>
          <w:rFonts w:eastAsia="仿宋"/>
          <w:sz w:val="32"/>
          <w:szCs w:val="32"/>
        </w:rPr>
        <w:t>0.19</w:t>
      </w:r>
      <w:r>
        <w:rPr>
          <w:rFonts w:eastAsia="仿宋" w:hAnsi="仿宋"/>
          <w:sz w:val="32"/>
          <w:szCs w:val="32"/>
        </w:rPr>
        <w:t>万元，占</w:t>
      </w:r>
      <w:r>
        <w:rPr>
          <w:rFonts w:eastAsia="仿宋"/>
          <w:sz w:val="32"/>
          <w:szCs w:val="32"/>
        </w:rPr>
        <w:t>6.55%</w:t>
      </w:r>
      <w:r>
        <w:rPr>
          <w:rFonts w:eastAsia="仿宋" w:hAnsi="仿宋"/>
          <w:sz w:val="32"/>
          <w:szCs w:val="32"/>
        </w:rPr>
        <w:t>。具体情况如下：</w:t>
      </w:r>
    </w:p>
    <w:p w:rsidR="0018623D" w:rsidRDefault="0018623D">
      <w:pPr>
        <w:pStyle w:val="a0"/>
        <w:spacing w:before="93"/>
        <w:rPr>
          <w:rFonts w:ascii="Times New Roman" w:eastAsia="仿宋"/>
          <w:sz w:val="32"/>
          <w:szCs w:val="32"/>
        </w:rPr>
      </w:pPr>
    </w:p>
    <w:p w:rsidR="0018623D" w:rsidRDefault="00971571">
      <w:pPr>
        <w:pStyle w:val="a0"/>
        <w:spacing w:before="93"/>
        <w:jc w:val="center"/>
        <w:rPr>
          <w:rFonts w:ascii="Times New Roman" w:eastAsia="仿宋"/>
          <w:sz w:val="32"/>
          <w:szCs w:val="32"/>
        </w:rPr>
      </w:pPr>
      <w:r>
        <w:rPr>
          <w:rFonts w:ascii="Times New Roman"/>
          <w:noProof/>
        </w:rPr>
        <w:drawing>
          <wp:inline distT="0" distB="0" distL="114300" distR="114300">
            <wp:extent cx="4572000" cy="2743200"/>
            <wp:effectExtent l="4445" t="4445" r="14605" b="1460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623D" w:rsidRDefault="00971571">
      <w:pPr>
        <w:spacing w:line="600" w:lineRule="exact"/>
        <w:jc w:val="center"/>
        <w:rPr>
          <w:rFonts w:eastAsia="仿宋"/>
          <w:sz w:val="32"/>
          <w:szCs w:val="32"/>
        </w:rPr>
      </w:pPr>
      <w:r>
        <w:rPr>
          <w:rFonts w:eastAsia="仿宋" w:hAnsi="仿宋"/>
          <w:sz w:val="32"/>
          <w:szCs w:val="32"/>
        </w:rPr>
        <w:t>（图</w:t>
      </w:r>
      <w:r>
        <w:rPr>
          <w:rFonts w:eastAsia="仿宋"/>
          <w:sz w:val="32"/>
          <w:szCs w:val="32"/>
        </w:rPr>
        <w:t>7</w:t>
      </w:r>
      <w:r>
        <w:rPr>
          <w:rFonts w:eastAsia="仿宋" w:hAnsi="仿宋"/>
          <w:sz w:val="32"/>
          <w:szCs w:val="32"/>
        </w:rPr>
        <w:t>：</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经费财政拨款支出结构）</w:t>
      </w:r>
    </w:p>
    <w:p w:rsidR="0018623D" w:rsidRDefault="00971571">
      <w:pPr>
        <w:spacing w:line="600" w:lineRule="exact"/>
        <w:ind w:firstLine="640"/>
        <w:rPr>
          <w:rFonts w:eastAsia="仿宋_GB2312"/>
          <w:b/>
          <w:sz w:val="32"/>
          <w:szCs w:val="32"/>
        </w:rPr>
      </w:pPr>
      <w:r>
        <w:rPr>
          <w:rFonts w:eastAsia="仿宋_GB2312"/>
          <w:b/>
          <w:sz w:val="32"/>
          <w:szCs w:val="32"/>
        </w:rPr>
        <w:t>1</w:t>
      </w:r>
      <w:r>
        <w:rPr>
          <w:rFonts w:eastAsia="仿宋_GB2312"/>
          <w:sz w:val="32"/>
          <w:szCs w:val="32"/>
        </w:rPr>
        <w:t>．</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7"/>
          <w:rFonts w:eastAsia="仿宋" w:hAnsi="仿宋"/>
          <w:b w:val="0"/>
          <w:bCs/>
          <w:sz w:val="32"/>
          <w:szCs w:val="32"/>
        </w:rPr>
        <w:t>完成预算</w:t>
      </w:r>
      <w:r>
        <w:rPr>
          <w:rStyle w:val="a7"/>
          <w:rFonts w:eastAsia="仿宋"/>
          <w:b w:val="0"/>
          <w:bCs/>
          <w:sz w:val="32"/>
          <w:szCs w:val="32"/>
        </w:rPr>
        <w:t>0%</w:t>
      </w:r>
      <w:r>
        <w:rPr>
          <w:rStyle w:val="a7"/>
          <w:rFonts w:eastAsia="仿宋" w:hAnsi="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人。因公出国（境）支出决算与</w:t>
      </w:r>
      <w:r>
        <w:rPr>
          <w:rFonts w:eastAsia="仿宋_GB2312"/>
          <w:sz w:val="32"/>
          <w:szCs w:val="32"/>
        </w:rPr>
        <w:t>2021</w:t>
      </w:r>
      <w:r>
        <w:rPr>
          <w:rFonts w:eastAsia="仿宋_GB2312"/>
          <w:sz w:val="32"/>
          <w:szCs w:val="32"/>
        </w:rPr>
        <w:t>年持平。主要原因是</w:t>
      </w:r>
      <w:r>
        <w:rPr>
          <w:rStyle w:val="a7"/>
          <w:rFonts w:eastAsia="仿宋"/>
          <w:b w:val="0"/>
          <w:bCs/>
          <w:color w:val="000000"/>
          <w:sz w:val="32"/>
          <w:szCs w:val="32"/>
        </w:rPr>
        <w:t>没有发生因公出国（境）的情况</w:t>
      </w:r>
      <w:r>
        <w:rPr>
          <w:rFonts w:eastAsia="仿宋_GB2312"/>
          <w:sz w:val="32"/>
          <w:szCs w:val="32"/>
        </w:rPr>
        <w:t>。</w:t>
      </w:r>
    </w:p>
    <w:p w:rsidR="0018623D" w:rsidRDefault="00971571">
      <w:pPr>
        <w:spacing w:line="600" w:lineRule="exact"/>
        <w:ind w:firstLine="640"/>
        <w:rPr>
          <w:rFonts w:eastAsia="仿宋_GB2312"/>
          <w:sz w:val="32"/>
          <w:szCs w:val="32"/>
        </w:rPr>
      </w:pPr>
      <w:r>
        <w:rPr>
          <w:rFonts w:eastAsia="仿宋_GB2312"/>
          <w:sz w:val="32"/>
          <w:szCs w:val="32"/>
        </w:rPr>
        <w:t>开支内容包括：无。</w:t>
      </w:r>
    </w:p>
    <w:p w:rsidR="0018623D" w:rsidRDefault="00971571">
      <w:pPr>
        <w:spacing w:line="600" w:lineRule="exact"/>
        <w:ind w:firstLine="640"/>
        <w:rPr>
          <w:rFonts w:eastAsia="仿宋_GB2312"/>
          <w:b/>
          <w:sz w:val="32"/>
          <w:szCs w:val="32"/>
        </w:rPr>
      </w:pPr>
      <w:r>
        <w:rPr>
          <w:rFonts w:eastAsia="仿宋_GB2312"/>
          <w:b/>
          <w:sz w:val="32"/>
          <w:szCs w:val="32"/>
        </w:rPr>
        <w:t>2</w:t>
      </w:r>
      <w:r>
        <w:rPr>
          <w:rFonts w:eastAsia="仿宋_GB2312"/>
          <w:sz w:val="32"/>
          <w:szCs w:val="32"/>
        </w:rPr>
        <w:t>．</w:t>
      </w:r>
      <w:r>
        <w:rPr>
          <w:rFonts w:eastAsia="仿宋_GB2312"/>
          <w:b/>
          <w:sz w:val="32"/>
          <w:szCs w:val="32"/>
        </w:rPr>
        <w:t>公务用车购置及运行维护费支出</w:t>
      </w:r>
      <w:r>
        <w:rPr>
          <w:rFonts w:eastAsia="仿宋_GB2312"/>
          <w:sz w:val="32"/>
          <w:szCs w:val="32"/>
        </w:rPr>
        <w:t>2.71</w:t>
      </w:r>
      <w:r>
        <w:rPr>
          <w:rFonts w:eastAsia="仿宋_GB2312"/>
          <w:sz w:val="32"/>
          <w:szCs w:val="32"/>
        </w:rPr>
        <w:t>万元，</w:t>
      </w:r>
      <w:r>
        <w:rPr>
          <w:rStyle w:val="a7"/>
          <w:rFonts w:eastAsia="仿宋" w:hAnsi="仿宋"/>
          <w:b w:val="0"/>
          <w:bCs/>
          <w:sz w:val="32"/>
          <w:szCs w:val="32"/>
        </w:rPr>
        <w:t>完成预算</w:t>
      </w:r>
      <w:r>
        <w:rPr>
          <w:rStyle w:val="a7"/>
          <w:rFonts w:eastAsia="仿宋"/>
          <w:b w:val="0"/>
          <w:bCs/>
          <w:sz w:val="32"/>
          <w:szCs w:val="32"/>
        </w:rPr>
        <w:t>100%</w:t>
      </w:r>
      <w:r>
        <w:rPr>
          <w:rStyle w:val="a7"/>
          <w:rFonts w:eastAsia="仿宋" w:hAnsi="仿宋"/>
          <w:b w:val="0"/>
          <w:bCs/>
          <w:sz w:val="32"/>
          <w:szCs w:val="32"/>
        </w:rPr>
        <w:t>。</w:t>
      </w:r>
      <w:r>
        <w:rPr>
          <w:rFonts w:eastAsia="仿宋_GB2312"/>
          <w:sz w:val="32"/>
          <w:szCs w:val="32"/>
        </w:rPr>
        <w:t>公务用车购置及运行维护费支出决算比</w:t>
      </w:r>
      <w:r>
        <w:rPr>
          <w:rFonts w:eastAsia="仿宋_GB2312"/>
          <w:sz w:val="32"/>
          <w:szCs w:val="32"/>
        </w:rPr>
        <w:t>2021</w:t>
      </w:r>
      <w:r>
        <w:rPr>
          <w:rFonts w:eastAsia="仿宋_GB2312"/>
          <w:sz w:val="32"/>
          <w:szCs w:val="32"/>
        </w:rPr>
        <w:t>年减少</w:t>
      </w:r>
      <w:r>
        <w:rPr>
          <w:rFonts w:eastAsia="仿宋_GB2312"/>
          <w:sz w:val="32"/>
          <w:szCs w:val="32"/>
        </w:rPr>
        <w:t>2.57</w:t>
      </w:r>
      <w:r>
        <w:rPr>
          <w:rFonts w:eastAsia="仿宋_GB2312"/>
          <w:sz w:val="32"/>
          <w:szCs w:val="32"/>
        </w:rPr>
        <w:t>万元，下降</w:t>
      </w:r>
      <w:r>
        <w:rPr>
          <w:rFonts w:eastAsia="仿宋_GB2312"/>
          <w:sz w:val="32"/>
          <w:szCs w:val="32"/>
        </w:rPr>
        <w:t>48.67%</w:t>
      </w:r>
      <w:r>
        <w:rPr>
          <w:rFonts w:eastAsia="仿宋_GB2312"/>
          <w:sz w:val="32"/>
          <w:szCs w:val="32"/>
        </w:rPr>
        <w:t>。主要原因是</w:t>
      </w:r>
      <w:r>
        <w:rPr>
          <w:rFonts w:eastAsia="仿宋_GB2312"/>
          <w:sz w:val="32"/>
          <w:szCs w:val="32"/>
        </w:rPr>
        <w:t>2022</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进一步压减。</w:t>
      </w:r>
    </w:p>
    <w:p w:rsidR="0018623D" w:rsidRDefault="00971571">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3</w:t>
      </w:r>
      <w:r>
        <w:rPr>
          <w:rFonts w:eastAsia="仿宋_GB2312"/>
          <w:sz w:val="32"/>
          <w:szCs w:val="32"/>
        </w:rPr>
        <w:t>辆，其中：轿车</w:t>
      </w:r>
      <w:r>
        <w:rPr>
          <w:rFonts w:eastAsia="仿宋_GB2312"/>
          <w:sz w:val="32"/>
          <w:szCs w:val="32"/>
        </w:rPr>
        <w:t>1</w:t>
      </w:r>
      <w:r>
        <w:rPr>
          <w:rFonts w:eastAsia="仿宋_GB2312"/>
          <w:sz w:val="32"/>
          <w:szCs w:val="32"/>
        </w:rPr>
        <w:t>辆、货车</w:t>
      </w:r>
      <w:r>
        <w:rPr>
          <w:rFonts w:eastAsia="仿宋_GB2312"/>
          <w:sz w:val="32"/>
          <w:szCs w:val="32"/>
        </w:rPr>
        <w:t>1</w:t>
      </w:r>
      <w:r>
        <w:rPr>
          <w:rFonts w:eastAsia="仿宋_GB2312"/>
          <w:sz w:val="32"/>
          <w:szCs w:val="32"/>
        </w:rPr>
        <w:t>辆、载客汽车</w:t>
      </w:r>
      <w:r>
        <w:rPr>
          <w:rFonts w:eastAsia="仿宋_GB2312"/>
          <w:sz w:val="32"/>
          <w:szCs w:val="32"/>
        </w:rPr>
        <w:t>1</w:t>
      </w:r>
      <w:r>
        <w:rPr>
          <w:rFonts w:eastAsia="仿宋_GB2312"/>
          <w:sz w:val="32"/>
          <w:szCs w:val="32"/>
        </w:rPr>
        <w:t>辆。</w:t>
      </w:r>
    </w:p>
    <w:p w:rsidR="0018623D" w:rsidRDefault="00971571">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2.71</w:t>
      </w:r>
      <w:r>
        <w:rPr>
          <w:rFonts w:eastAsia="仿宋_GB2312"/>
          <w:sz w:val="32"/>
          <w:szCs w:val="32"/>
        </w:rPr>
        <w:t>万元。主要用于调研、检查督导、考察、工作等所需的公务用车燃料费、维修费、过路过桥费、保险费等支出。</w:t>
      </w:r>
    </w:p>
    <w:p w:rsidR="0018623D" w:rsidRDefault="00971571">
      <w:pPr>
        <w:spacing w:line="600" w:lineRule="exact"/>
        <w:ind w:firstLine="640"/>
        <w:rPr>
          <w:rFonts w:eastAsia="仿宋_GB2312"/>
          <w:sz w:val="32"/>
          <w:szCs w:val="32"/>
        </w:rPr>
      </w:pPr>
      <w:r>
        <w:rPr>
          <w:rFonts w:eastAsia="仿宋_GB2312"/>
          <w:b/>
          <w:sz w:val="32"/>
          <w:szCs w:val="32"/>
        </w:rPr>
        <w:t>3</w:t>
      </w:r>
      <w:r>
        <w:rPr>
          <w:rFonts w:eastAsia="仿宋_GB2312"/>
          <w:sz w:val="32"/>
          <w:szCs w:val="32"/>
        </w:rPr>
        <w:t>．</w:t>
      </w:r>
      <w:r>
        <w:rPr>
          <w:rFonts w:eastAsia="仿宋_GB2312"/>
          <w:b/>
          <w:sz w:val="32"/>
          <w:szCs w:val="32"/>
        </w:rPr>
        <w:t>公务接待费支出</w:t>
      </w:r>
      <w:r>
        <w:rPr>
          <w:rFonts w:eastAsia="仿宋_GB2312"/>
          <w:sz w:val="32"/>
          <w:szCs w:val="32"/>
        </w:rPr>
        <w:t>0.19</w:t>
      </w:r>
      <w:r>
        <w:rPr>
          <w:rFonts w:eastAsia="仿宋_GB2312"/>
          <w:sz w:val="32"/>
          <w:szCs w:val="32"/>
        </w:rPr>
        <w:t>万元，</w:t>
      </w:r>
      <w:r>
        <w:rPr>
          <w:rStyle w:val="a7"/>
          <w:rFonts w:eastAsia="仿宋" w:hAnsi="仿宋"/>
          <w:b w:val="0"/>
          <w:bCs/>
          <w:sz w:val="32"/>
          <w:szCs w:val="32"/>
        </w:rPr>
        <w:t>完成预算</w:t>
      </w:r>
      <w:r>
        <w:rPr>
          <w:rStyle w:val="a7"/>
          <w:rFonts w:eastAsia="仿宋"/>
          <w:b w:val="0"/>
          <w:bCs/>
          <w:sz w:val="32"/>
          <w:szCs w:val="32"/>
        </w:rPr>
        <w:t>100%</w:t>
      </w:r>
      <w:r>
        <w:rPr>
          <w:rStyle w:val="a7"/>
          <w:rFonts w:eastAsia="仿宋" w:hAnsi="仿宋"/>
          <w:b w:val="0"/>
          <w:bCs/>
          <w:sz w:val="32"/>
          <w:szCs w:val="32"/>
        </w:rPr>
        <w:t>。</w:t>
      </w:r>
      <w:r>
        <w:rPr>
          <w:rFonts w:eastAsia="仿宋_GB2312"/>
          <w:sz w:val="32"/>
          <w:szCs w:val="32"/>
        </w:rPr>
        <w:t>公务接待费支出决算比</w:t>
      </w:r>
      <w:r>
        <w:rPr>
          <w:rFonts w:eastAsia="仿宋_GB2312"/>
          <w:sz w:val="32"/>
          <w:szCs w:val="32"/>
        </w:rPr>
        <w:t>2021</w:t>
      </w:r>
      <w:r>
        <w:rPr>
          <w:rFonts w:eastAsia="仿宋_GB2312"/>
          <w:sz w:val="32"/>
          <w:szCs w:val="32"/>
        </w:rPr>
        <w:t>年减少</w:t>
      </w:r>
      <w:r>
        <w:rPr>
          <w:rFonts w:eastAsia="仿宋_GB2312"/>
          <w:sz w:val="32"/>
          <w:szCs w:val="32"/>
        </w:rPr>
        <w:t>0.14</w:t>
      </w:r>
      <w:r>
        <w:rPr>
          <w:rFonts w:eastAsia="仿宋_GB2312"/>
          <w:sz w:val="32"/>
          <w:szCs w:val="32"/>
        </w:rPr>
        <w:t>万元，下降</w:t>
      </w:r>
      <w:r>
        <w:rPr>
          <w:rFonts w:eastAsia="仿宋_GB2312"/>
          <w:sz w:val="32"/>
          <w:szCs w:val="32"/>
        </w:rPr>
        <w:t>42.42%</w:t>
      </w:r>
      <w:r>
        <w:rPr>
          <w:rFonts w:eastAsia="仿宋_GB2312"/>
          <w:sz w:val="32"/>
          <w:szCs w:val="32"/>
        </w:rPr>
        <w:t>。主要原因是</w:t>
      </w:r>
      <w:r>
        <w:rPr>
          <w:rFonts w:eastAsia="仿宋_GB2312"/>
          <w:sz w:val="32"/>
          <w:szCs w:val="32"/>
        </w:rPr>
        <w:t>2022</w:t>
      </w:r>
      <w:r>
        <w:rPr>
          <w:rFonts w:eastAsia="仿宋_GB2312"/>
          <w:sz w:val="32"/>
          <w:szCs w:val="32"/>
        </w:rPr>
        <w:t>年公务接待业务相比</w:t>
      </w:r>
      <w:r>
        <w:rPr>
          <w:rFonts w:eastAsia="仿宋_GB2312"/>
          <w:sz w:val="32"/>
          <w:szCs w:val="32"/>
        </w:rPr>
        <w:t>2021</w:t>
      </w:r>
      <w:r>
        <w:rPr>
          <w:rFonts w:eastAsia="仿宋_GB2312"/>
          <w:sz w:val="32"/>
          <w:szCs w:val="32"/>
        </w:rPr>
        <w:t>年有所减少。其中</w:t>
      </w:r>
      <w:r>
        <w:rPr>
          <w:rFonts w:eastAsia="仿宋_GB2312"/>
          <w:sz w:val="32"/>
          <w:szCs w:val="32"/>
        </w:rPr>
        <w:t>：</w:t>
      </w:r>
    </w:p>
    <w:p w:rsidR="0018623D" w:rsidRDefault="00971571">
      <w:pPr>
        <w:spacing w:line="600" w:lineRule="exact"/>
        <w:ind w:firstLine="640"/>
        <w:rPr>
          <w:rFonts w:eastAsia="仿宋_GB2312"/>
          <w:sz w:val="32"/>
          <w:szCs w:val="32"/>
        </w:rPr>
      </w:pPr>
      <w:r>
        <w:rPr>
          <w:rFonts w:eastAsia="仿宋" w:hAnsi="仿宋"/>
          <w:b/>
          <w:sz w:val="32"/>
          <w:szCs w:val="32"/>
        </w:rPr>
        <w:t>国内公务接待支出</w:t>
      </w:r>
      <w:r>
        <w:rPr>
          <w:rFonts w:eastAsia="仿宋"/>
          <w:sz w:val="32"/>
          <w:szCs w:val="32"/>
        </w:rPr>
        <w:t>0.19</w:t>
      </w:r>
      <w:r>
        <w:rPr>
          <w:rFonts w:eastAsia="仿宋_GB2312"/>
          <w:sz w:val="32"/>
          <w:szCs w:val="32"/>
        </w:rPr>
        <w:t>万元，主要用于执行公务、开展业务活动开支的交通费、住宿费、用餐费等。国内公务接待</w:t>
      </w:r>
      <w:r>
        <w:rPr>
          <w:rFonts w:eastAsia="仿宋_GB2312"/>
          <w:sz w:val="32"/>
          <w:szCs w:val="32"/>
        </w:rPr>
        <w:t>2</w:t>
      </w:r>
      <w:r>
        <w:rPr>
          <w:rFonts w:eastAsia="仿宋_GB2312"/>
          <w:sz w:val="32"/>
          <w:szCs w:val="32"/>
        </w:rPr>
        <w:t>批次，</w:t>
      </w:r>
      <w:r>
        <w:rPr>
          <w:rFonts w:eastAsia="仿宋_GB2312"/>
          <w:sz w:val="32"/>
          <w:szCs w:val="32"/>
        </w:rPr>
        <w:t>14</w:t>
      </w:r>
      <w:r>
        <w:rPr>
          <w:rFonts w:eastAsia="仿宋_GB2312"/>
          <w:sz w:val="32"/>
          <w:szCs w:val="32"/>
        </w:rPr>
        <w:t>人次（不包括陪同人员），共计支出</w:t>
      </w:r>
      <w:r>
        <w:rPr>
          <w:rFonts w:eastAsia="仿宋_GB2312"/>
          <w:sz w:val="32"/>
          <w:szCs w:val="32"/>
        </w:rPr>
        <w:t>0.19</w:t>
      </w:r>
      <w:r>
        <w:rPr>
          <w:rFonts w:eastAsia="仿宋_GB2312"/>
          <w:sz w:val="32"/>
          <w:szCs w:val="32"/>
        </w:rPr>
        <w:t>万元，具体内容包括：接待民进江苏省直综合一支部开展大三线建设史料学习活动人员</w:t>
      </w:r>
      <w:r>
        <w:rPr>
          <w:rFonts w:eastAsia="仿宋_GB2312"/>
          <w:sz w:val="32"/>
          <w:szCs w:val="32"/>
        </w:rPr>
        <w:t>1</w:t>
      </w:r>
      <w:r>
        <w:rPr>
          <w:rFonts w:eastAsia="仿宋_GB2312"/>
          <w:sz w:val="32"/>
          <w:szCs w:val="32"/>
        </w:rPr>
        <w:t>批次，</w:t>
      </w:r>
      <w:r>
        <w:rPr>
          <w:rFonts w:eastAsia="仿宋_GB2312"/>
          <w:sz w:val="32"/>
          <w:szCs w:val="32"/>
        </w:rPr>
        <w:t>6</w:t>
      </w:r>
      <w:r>
        <w:rPr>
          <w:rFonts w:eastAsia="仿宋_GB2312"/>
          <w:sz w:val="32"/>
          <w:szCs w:val="32"/>
        </w:rPr>
        <w:t>人次，支出</w:t>
      </w:r>
      <w:r>
        <w:rPr>
          <w:rFonts w:eastAsia="仿宋_GB2312"/>
          <w:sz w:val="32"/>
          <w:szCs w:val="32"/>
        </w:rPr>
        <w:t>0.03</w:t>
      </w:r>
      <w:r>
        <w:rPr>
          <w:rFonts w:eastAsia="仿宋_GB2312"/>
          <w:sz w:val="32"/>
          <w:szCs w:val="32"/>
        </w:rPr>
        <w:t>万元；接待射洪市参考考察团</w:t>
      </w:r>
      <w:r>
        <w:rPr>
          <w:rFonts w:eastAsia="仿宋_GB2312"/>
          <w:sz w:val="32"/>
          <w:szCs w:val="32"/>
        </w:rPr>
        <w:t>1</w:t>
      </w:r>
      <w:r>
        <w:rPr>
          <w:rFonts w:eastAsia="仿宋_GB2312"/>
          <w:sz w:val="32"/>
          <w:szCs w:val="32"/>
        </w:rPr>
        <w:t>批次，</w:t>
      </w:r>
      <w:r>
        <w:rPr>
          <w:rFonts w:eastAsia="仿宋_GB2312"/>
          <w:sz w:val="32"/>
          <w:szCs w:val="32"/>
        </w:rPr>
        <w:t>8</w:t>
      </w:r>
      <w:r>
        <w:rPr>
          <w:rFonts w:eastAsia="仿宋_GB2312"/>
          <w:sz w:val="32"/>
          <w:szCs w:val="32"/>
        </w:rPr>
        <w:t>人次，支出</w:t>
      </w:r>
      <w:r>
        <w:rPr>
          <w:rFonts w:eastAsia="仿宋_GB2312"/>
          <w:sz w:val="32"/>
          <w:szCs w:val="32"/>
        </w:rPr>
        <w:t>0.16</w:t>
      </w:r>
      <w:r>
        <w:rPr>
          <w:rFonts w:eastAsia="仿宋_GB2312"/>
          <w:sz w:val="32"/>
          <w:szCs w:val="32"/>
        </w:rPr>
        <w:t>万元。</w:t>
      </w:r>
    </w:p>
    <w:p w:rsidR="0018623D" w:rsidRDefault="00971571">
      <w:pPr>
        <w:spacing w:line="600" w:lineRule="exact"/>
        <w:ind w:firstLineChars="200" w:firstLine="643"/>
        <w:rPr>
          <w:rFonts w:eastAsia="仿宋_GB2312"/>
          <w:sz w:val="32"/>
          <w:szCs w:val="32"/>
        </w:rPr>
      </w:pPr>
      <w:r>
        <w:rPr>
          <w:rFonts w:eastAsia="仿宋" w:hAnsi="仿宋"/>
          <w:b/>
          <w:sz w:val="32"/>
          <w:szCs w:val="32"/>
        </w:rPr>
        <w:t>外事接待支出</w:t>
      </w:r>
      <w:r>
        <w:rPr>
          <w:rFonts w:eastAsia="仿宋"/>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人次（不包括陪同人员），共计支出</w:t>
      </w:r>
      <w:r>
        <w:rPr>
          <w:rFonts w:eastAsia="仿宋_GB2312"/>
          <w:sz w:val="32"/>
          <w:szCs w:val="32"/>
        </w:rPr>
        <w:t>0</w:t>
      </w:r>
      <w:r>
        <w:rPr>
          <w:rFonts w:eastAsia="仿宋_GB2312"/>
          <w:sz w:val="32"/>
          <w:szCs w:val="32"/>
        </w:rPr>
        <w:t>万元。</w:t>
      </w:r>
    </w:p>
    <w:p w:rsidR="0018623D" w:rsidRDefault="0018623D">
      <w:pPr>
        <w:spacing w:line="600" w:lineRule="exact"/>
        <w:ind w:firstLine="640"/>
        <w:rPr>
          <w:rFonts w:eastAsia="黑体"/>
          <w:sz w:val="32"/>
          <w:szCs w:val="32"/>
        </w:rPr>
      </w:pPr>
      <w:bookmarkStart w:id="52" w:name="_Toc15377218"/>
      <w:bookmarkStart w:id="53" w:name="_Toc15396610"/>
    </w:p>
    <w:p w:rsidR="0018623D" w:rsidRDefault="00971571">
      <w:pPr>
        <w:spacing w:line="600" w:lineRule="exact"/>
        <w:ind w:firstLine="640"/>
        <w:outlineLvl w:val="1"/>
        <w:rPr>
          <w:rStyle w:val="2Char"/>
          <w:rFonts w:ascii="Times New Roman" w:eastAsia="黑体" w:hAnsi="Times New Roman" w:cs="Times New Roman"/>
        </w:rPr>
      </w:pPr>
      <w:bookmarkStart w:id="54" w:name="_Toc22385"/>
      <w:r>
        <w:rPr>
          <w:rFonts w:eastAsia="黑体"/>
          <w:sz w:val="32"/>
          <w:szCs w:val="32"/>
        </w:rPr>
        <w:t>八、</w:t>
      </w:r>
      <w:r>
        <w:rPr>
          <w:rStyle w:val="2Char"/>
          <w:rFonts w:ascii="Times New Roman" w:eastAsia="黑体" w:hAnsi="黑体" w:cs="Times New Roman"/>
          <w:b w:val="0"/>
        </w:rPr>
        <w:t>政府性基金预算支出决算情况说明</w:t>
      </w:r>
      <w:bookmarkEnd w:id="52"/>
      <w:bookmarkEnd w:id="53"/>
      <w:bookmarkEnd w:id="54"/>
    </w:p>
    <w:p w:rsidR="0018623D" w:rsidRDefault="00971571">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18623D" w:rsidRDefault="0018623D">
      <w:pPr>
        <w:spacing w:line="600" w:lineRule="exact"/>
        <w:ind w:firstLine="640"/>
        <w:rPr>
          <w:rFonts w:eastAsia="仿宋_GB2312"/>
          <w:sz w:val="32"/>
          <w:szCs w:val="32"/>
        </w:rPr>
      </w:pPr>
    </w:p>
    <w:p w:rsidR="0018623D" w:rsidRDefault="00971571">
      <w:pPr>
        <w:numPr>
          <w:ilvl w:val="0"/>
          <w:numId w:val="3"/>
        </w:numPr>
        <w:spacing w:line="600" w:lineRule="exact"/>
        <w:ind w:firstLine="640"/>
        <w:outlineLvl w:val="1"/>
        <w:rPr>
          <w:rStyle w:val="2Char"/>
          <w:rFonts w:ascii="Times New Roman" w:eastAsia="黑体" w:hAnsi="Times New Roman" w:cs="Times New Roman"/>
          <w:b w:val="0"/>
        </w:rPr>
      </w:pPr>
      <w:bookmarkStart w:id="55" w:name="_Toc14166"/>
      <w:bookmarkStart w:id="56" w:name="_Toc15396611"/>
      <w:bookmarkStart w:id="57" w:name="_Toc15377219"/>
      <w:r>
        <w:rPr>
          <w:rStyle w:val="2Char"/>
          <w:rFonts w:ascii="Times New Roman" w:eastAsia="黑体" w:hAnsi="黑体" w:cs="Times New Roman"/>
          <w:b w:val="0"/>
        </w:rPr>
        <w:t>国有资本经营预算支出决算情况说明</w:t>
      </w:r>
      <w:bookmarkEnd w:id="55"/>
      <w:bookmarkEnd w:id="56"/>
      <w:bookmarkEnd w:id="57"/>
    </w:p>
    <w:p w:rsidR="0018623D" w:rsidRDefault="00971571">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18623D" w:rsidRDefault="0018623D">
      <w:pPr>
        <w:spacing w:line="580" w:lineRule="exact"/>
        <w:jc w:val="center"/>
        <w:rPr>
          <w:rFonts w:eastAsia="方正小标宋简体"/>
          <w:sz w:val="44"/>
          <w:szCs w:val="44"/>
        </w:rPr>
      </w:pPr>
    </w:p>
    <w:p w:rsidR="0018623D" w:rsidRDefault="00971571">
      <w:pPr>
        <w:numPr>
          <w:ilvl w:val="0"/>
          <w:numId w:val="3"/>
        </w:numPr>
        <w:spacing w:line="600" w:lineRule="exact"/>
        <w:ind w:firstLine="640"/>
        <w:outlineLvl w:val="1"/>
        <w:rPr>
          <w:rStyle w:val="2Char"/>
          <w:rFonts w:ascii="Times New Roman" w:eastAsia="黑体" w:hAnsi="Times New Roman" w:cs="Times New Roman"/>
          <w:b w:val="0"/>
        </w:rPr>
      </w:pPr>
      <w:bookmarkStart w:id="58" w:name="_Toc15396612"/>
      <w:bookmarkStart w:id="59" w:name="_Toc15377221"/>
      <w:bookmarkStart w:id="60" w:name="_Toc25192"/>
      <w:r>
        <w:rPr>
          <w:rStyle w:val="2Char"/>
          <w:rFonts w:ascii="Times New Roman" w:eastAsia="黑体" w:hAnsi="黑体" w:cs="Times New Roman"/>
          <w:b w:val="0"/>
        </w:rPr>
        <w:t>其他重要事项的情况说明</w:t>
      </w:r>
      <w:bookmarkEnd w:id="58"/>
      <w:bookmarkEnd w:id="59"/>
      <w:bookmarkEnd w:id="60"/>
    </w:p>
    <w:p w:rsidR="0018623D" w:rsidRDefault="00971571">
      <w:pPr>
        <w:spacing w:line="600" w:lineRule="exact"/>
        <w:ind w:firstLineChars="200" w:firstLine="643"/>
        <w:rPr>
          <w:rFonts w:eastAsia="仿宋"/>
          <w:sz w:val="32"/>
          <w:szCs w:val="32"/>
        </w:rPr>
      </w:pPr>
      <w:bookmarkStart w:id="61" w:name="_Toc15377222"/>
      <w:r>
        <w:rPr>
          <w:rFonts w:eastAsia="仿宋" w:hAnsi="仿宋"/>
          <w:b/>
          <w:sz w:val="32"/>
          <w:szCs w:val="32"/>
        </w:rPr>
        <w:t>（一）机关运行经费支出情况</w:t>
      </w:r>
      <w:bookmarkEnd w:id="61"/>
    </w:p>
    <w:p w:rsidR="0018623D" w:rsidRDefault="00971571">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年，攀枝花中国三线建设博物馆机关运行经费支出</w:t>
      </w:r>
      <w:r>
        <w:rPr>
          <w:rFonts w:eastAsia="仿宋_GB2312"/>
          <w:sz w:val="32"/>
          <w:szCs w:val="32"/>
        </w:rPr>
        <w:t>0</w:t>
      </w:r>
      <w:r>
        <w:rPr>
          <w:rFonts w:eastAsia="仿宋_GB2312"/>
          <w:sz w:val="32"/>
          <w:szCs w:val="32"/>
        </w:rPr>
        <w:t>万元，与</w:t>
      </w:r>
      <w:r>
        <w:rPr>
          <w:rFonts w:eastAsia="仿宋_GB2312"/>
          <w:sz w:val="32"/>
          <w:szCs w:val="32"/>
        </w:rPr>
        <w:t>2021</w:t>
      </w:r>
      <w:r>
        <w:rPr>
          <w:rFonts w:eastAsia="仿宋_GB2312"/>
          <w:sz w:val="32"/>
          <w:szCs w:val="32"/>
        </w:rPr>
        <w:t>年决算数持平。主要原因是攀枝花中国三线建设博物馆是事业单位，无机关运行经费。</w:t>
      </w:r>
    </w:p>
    <w:p w:rsidR="0018623D" w:rsidRDefault="00971571">
      <w:pPr>
        <w:autoSpaceDE w:val="0"/>
        <w:autoSpaceDN w:val="0"/>
        <w:adjustRightInd w:val="0"/>
        <w:spacing w:line="600" w:lineRule="exact"/>
        <w:ind w:firstLineChars="200" w:firstLine="643"/>
        <w:jc w:val="left"/>
        <w:rPr>
          <w:rFonts w:eastAsia="仿宋"/>
          <w:b/>
          <w:sz w:val="32"/>
          <w:szCs w:val="32"/>
        </w:rPr>
      </w:pPr>
      <w:bookmarkStart w:id="62" w:name="_Toc15377223"/>
      <w:r>
        <w:rPr>
          <w:rFonts w:eastAsia="仿宋" w:hAnsi="仿宋"/>
          <w:b/>
          <w:sz w:val="32"/>
          <w:szCs w:val="32"/>
        </w:rPr>
        <w:t>（二）政府采购支出情况</w:t>
      </w:r>
      <w:bookmarkEnd w:id="62"/>
    </w:p>
    <w:p w:rsidR="0018623D" w:rsidRDefault="00971571">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年，攀枝花中国三线建设博物馆政府采购支出总额</w:t>
      </w:r>
      <w:r>
        <w:rPr>
          <w:rFonts w:eastAsia="仿宋_GB2312"/>
          <w:sz w:val="32"/>
          <w:szCs w:val="32"/>
        </w:rPr>
        <w:t>159.77</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rPr>
        <w:t>159.77</w:t>
      </w:r>
      <w:r>
        <w:rPr>
          <w:rFonts w:eastAsia="仿宋_GB2312"/>
          <w:sz w:val="32"/>
          <w:szCs w:val="32"/>
        </w:rPr>
        <w:t>万元、政府采购服务支出</w:t>
      </w:r>
      <w:r>
        <w:rPr>
          <w:rFonts w:eastAsia="仿宋_GB2312"/>
          <w:sz w:val="32"/>
          <w:szCs w:val="32"/>
        </w:rPr>
        <w:t>0</w:t>
      </w:r>
      <w:r>
        <w:rPr>
          <w:rFonts w:eastAsia="仿宋_GB2312"/>
          <w:sz w:val="32"/>
          <w:szCs w:val="32"/>
        </w:rPr>
        <w:t>万元。主要用于</w:t>
      </w:r>
      <w:r>
        <w:rPr>
          <w:rFonts w:eastAsia="仿宋_GB2312"/>
          <w:sz w:val="32"/>
          <w:szCs w:val="32"/>
        </w:rPr>
        <w:t>2022</w:t>
      </w:r>
      <w:r>
        <w:rPr>
          <w:rFonts w:eastAsia="仿宋_GB2312"/>
          <w:sz w:val="32"/>
          <w:szCs w:val="32"/>
        </w:rPr>
        <w:t>年以前开展的政府采购项目，</w:t>
      </w:r>
      <w:r>
        <w:rPr>
          <w:rFonts w:eastAsia="仿宋_GB2312"/>
          <w:sz w:val="32"/>
          <w:szCs w:val="32"/>
        </w:rPr>
        <w:t>20</w:t>
      </w:r>
      <w:r>
        <w:rPr>
          <w:rFonts w:eastAsia="仿宋_GB2312"/>
          <w:sz w:val="32"/>
          <w:szCs w:val="32"/>
        </w:rPr>
        <w:t>22</w:t>
      </w:r>
      <w:r>
        <w:rPr>
          <w:rFonts w:eastAsia="仿宋_GB2312"/>
          <w:sz w:val="32"/>
          <w:szCs w:val="32"/>
        </w:rPr>
        <w:t>年支付项目尾款，其中：室外军工文物展示区打造服务项目质量保证金</w:t>
      </w:r>
      <w:r>
        <w:rPr>
          <w:rFonts w:eastAsia="仿宋_GB2312"/>
          <w:sz w:val="32"/>
          <w:szCs w:val="32"/>
        </w:rPr>
        <w:t>4.88</w:t>
      </w:r>
      <w:r>
        <w:rPr>
          <w:rFonts w:eastAsia="仿宋_GB2312"/>
          <w:sz w:val="32"/>
          <w:szCs w:val="32"/>
        </w:rPr>
        <w:t>万元，智能智慧化改造提升项目质保金</w:t>
      </w:r>
      <w:r>
        <w:rPr>
          <w:rFonts w:eastAsia="仿宋_GB2312"/>
          <w:sz w:val="32"/>
          <w:szCs w:val="32"/>
        </w:rPr>
        <w:t>11.6</w:t>
      </w:r>
      <w:r>
        <w:rPr>
          <w:rFonts w:eastAsia="仿宋_GB2312"/>
          <w:sz w:val="32"/>
          <w:szCs w:val="32"/>
        </w:rPr>
        <w:t>万元，室内展陈提升和临展厅打造（玻璃廊桥区域可利用空间）尾款</w:t>
      </w:r>
      <w:r>
        <w:rPr>
          <w:rFonts w:eastAsia="仿宋_GB2312"/>
          <w:sz w:val="32"/>
          <w:szCs w:val="32"/>
        </w:rPr>
        <w:t>42.15</w:t>
      </w:r>
      <w:r>
        <w:rPr>
          <w:rFonts w:eastAsia="仿宋_GB2312"/>
          <w:sz w:val="32"/>
          <w:szCs w:val="32"/>
        </w:rPr>
        <w:t>万元，廉政展览馆尾款</w:t>
      </w:r>
      <w:r>
        <w:rPr>
          <w:rFonts w:eastAsia="仿宋_GB2312"/>
          <w:sz w:val="32"/>
          <w:szCs w:val="32"/>
        </w:rPr>
        <w:t>101.14</w:t>
      </w:r>
      <w:r>
        <w:rPr>
          <w:rFonts w:eastAsia="仿宋_GB2312"/>
          <w:sz w:val="32"/>
          <w:szCs w:val="32"/>
        </w:rPr>
        <w:t>万元。授予中小企业合同金额</w:t>
      </w:r>
      <w:r>
        <w:rPr>
          <w:rFonts w:eastAsia="仿宋_GB2312"/>
          <w:sz w:val="32"/>
          <w:szCs w:val="32"/>
        </w:rPr>
        <w:t>4.88</w:t>
      </w:r>
      <w:r>
        <w:rPr>
          <w:rFonts w:eastAsia="仿宋_GB2312"/>
          <w:sz w:val="32"/>
          <w:szCs w:val="32"/>
        </w:rPr>
        <w:t>万元，占政府采购支出总额的</w:t>
      </w:r>
      <w:r>
        <w:rPr>
          <w:rFonts w:eastAsia="仿宋_GB2312"/>
          <w:sz w:val="32"/>
          <w:szCs w:val="32"/>
        </w:rPr>
        <w:t>3.05%</w:t>
      </w:r>
      <w:r>
        <w:rPr>
          <w:rFonts w:eastAsia="仿宋_GB2312"/>
          <w:sz w:val="32"/>
          <w:szCs w:val="32"/>
        </w:rPr>
        <w:t>，其中：授予小微企业合同金额</w:t>
      </w:r>
      <w:r>
        <w:rPr>
          <w:rFonts w:eastAsia="仿宋_GB2312"/>
          <w:sz w:val="32"/>
          <w:szCs w:val="32"/>
        </w:rPr>
        <w:t>4.88</w:t>
      </w:r>
      <w:r>
        <w:rPr>
          <w:rFonts w:eastAsia="仿宋_GB2312"/>
          <w:sz w:val="32"/>
          <w:szCs w:val="32"/>
        </w:rPr>
        <w:t>万元，占政府采购支出总额的</w:t>
      </w:r>
      <w:r>
        <w:rPr>
          <w:rFonts w:eastAsia="仿宋_GB2312"/>
          <w:sz w:val="32"/>
          <w:szCs w:val="32"/>
        </w:rPr>
        <w:t>3.05%</w:t>
      </w:r>
      <w:r>
        <w:rPr>
          <w:rFonts w:eastAsia="仿宋_GB2312"/>
          <w:sz w:val="32"/>
          <w:szCs w:val="32"/>
        </w:rPr>
        <w:t>。</w:t>
      </w:r>
    </w:p>
    <w:p w:rsidR="0018623D" w:rsidRDefault="00971571">
      <w:pPr>
        <w:autoSpaceDE w:val="0"/>
        <w:autoSpaceDN w:val="0"/>
        <w:adjustRightInd w:val="0"/>
        <w:spacing w:line="600" w:lineRule="exact"/>
        <w:ind w:firstLineChars="200" w:firstLine="643"/>
        <w:jc w:val="left"/>
        <w:rPr>
          <w:rFonts w:eastAsia="仿宋"/>
          <w:b/>
          <w:sz w:val="32"/>
          <w:szCs w:val="32"/>
        </w:rPr>
      </w:pPr>
      <w:bookmarkStart w:id="63" w:name="_Toc15377224"/>
      <w:r>
        <w:rPr>
          <w:rFonts w:eastAsia="仿宋" w:hAnsi="仿宋"/>
          <w:b/>
          <w:sz w:val="32"/>
          <w:szCs w:val="32"/>
        </w:rPr>
        <w:t>（三）国有资产占有使用情况</w:t>
      </w:r>
      <w:bookmarkEnd w:id="63"/>
    </w:p>
    <w:p w:rsidR="0018623D" w:rsidRDefault="00971571">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日，攀枝花中国三线建设博物馆共有车辆</w:t>
      </w:r>
      <w:r>
        <w:rPr>
          <w:rFonts w:eastAsia="仿宋_GB2312"/>
          <w:sz w:val="32"/>
          <w:szCs w:val="32"/>
        </w:rPr>
        <w:t>3</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w:t>
      </w:r>
      <w:r>
        <w:rPr>
          <w:rFonts w:eastAsia="仿宋_GB2312"/>
          <w:sz w:val="32"/>
          <w:szCs w:val="32"/>
        </w:rPr>
        <w:t>用车</w:t>
      </w:r>
      <w:r>
        <w:rPr>
          <w:rFonts w:eastAsia="仿宋_GB2312"/>
          <w:sz w:val="32"/>
          <w:szCs w:val="32"/>
        </w:rPr>
        <w:t>0</w:t>
      </w:r>
      <w:r>
        <w:rPr>
          <w:rFonts w:eastAsia="仿宋_GB2312"/>
          <w:sz w:val="32"/>
          <w:szCs w:val="32"/>
        </w:rPr>
        <w:t>辆、其他用车</w:t>
      </w:r>
      <w:r>
        <w:rPr>
          <w:rFonts w:eastAsia="仿宋_GB2312"/>
          <w:sz w:val="32"/>
          <w:szCs w:val="32"/>
        </w:rPr>
        <w:t>3</w:t>
      </w:r>
      <w:r>
        <w:rPr>
          <w:rFonts w:eastAsia="仿宋_GB2312"/>
          <w:sz w:val="32"/>
          <w:szCs w:val="32"/>
        </w:rPr>
        <w:t>辆，其他用车主要是用于单位的日常公务使用。单价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18623D" w:rsidRDefault="00971571">
      <w:pPr>
        <w:autoSpaceDE w:val="0"/>
        <w:autoSpaceDN w:val="0"/>
        <w:adjustRightInd w:val="0"/>
        <w:spacing w:line="600" w:lineRule="exact"/>
        <w:ind w:firstLineChars="200" w:firstLine="643"/>
        <w:jc w:val="left"/>
        <w:rPr>
          <w:rFonts w:eastAsia="仿宋"/>
          <w:b/>
          <w:sz w:val="32"/>
          <w:szCs w:val="32"/>
        </w:rPr>
      </w:pPr>
      <w:r>
        <w:rPr>
          <w:rFonts w:eastAsia="仿宋" w:hAnsi="仿宋"/>
          <w:b/>
          <w:sz w:val="32"/>
          <w:szCs w:val="32"/>
        </w:rPr>
        <w:t>（四）预算绩效管理情况</w:t>
      </w:r>
    </w:p>
    <w:p w:rsidR="0018623D" w:rsidRDefault="00971571">
      <w:pPr>
        <w:pStyle w:val="a0"/>
        <w:spacing w:before="93"/>
        <w:ind w:firstLineChars="200" w:firstLine="640"/>
        <w:rPr>
          <w:rFonts w:ascii="Times New Roman"/>
          <w:highlight w:val="yellow"/>
        </w:rPr>
      </w:pPr>
      <w:r>
        <w:rPr>
          <w:rFonts w:ascii="Times New Roman" w:hAnsi="仿宋_GB2312"/>
          <w:sz w:val="32"/>
          <w:szCs w:val="32"/>
        </w:rPr>
        <w:t>根据预算绩效管理要求，本单位在</w:t>
      </w:r>
      <w:r>
        <w:rPr>
          <w:rFonts w:ascii="Times New Roman"/>
          <w:sz w:val="32"/>
          <w:szCs w:val="32"/>
        </w:rPr>
        <w:t>2022</w:t>
      </w:r>
      <w:r>
        <w:rPr>
          <w:rFonts w:ascii="Times New Roman" w:hAnsi="仿宋_GB2312"/>
          <w:sz w:val="32"/>
          <w:szCs w:val="32"/>
        </w:rPr>
        <w:t>年度预算编制阶段，组织对部门预算整体绩效以及</w:t>
      </w:r>
      <w:r>
        <w:rPr>
          <w:rFonts w:ascii="Times New Roman"/>
          <w:sz w:val="32"/>
          <w:szCs w:val="32"/>
        </w:rPr>
        <w:t>2019</w:t>
      </w:r>
      <w:r>
        <w:rPr>
          <w:rFonts w:ascii="Times New Roman" w:hAnsi="仿宋_GB2312"/>
          <w:sz w:val="32"/>
          <w:szCs w:val="32"/>
        </w:rPr>
        <w:t>年省级文旅融合示范项目补助资金、</w:t>
      </w:r>
      <w:r>
        <w:rPr>
          <w:rFonts w:ascii="Times New Roman"/>
          <w:sz w:val="32"/>
          <w:szCs w:val="32"/>
        </w:rPr>
        <w:t>2019</w:t>
      </w:r>
      <w:r>
        <w:rPr>
          <w:rFonts w:ascii="Times New Roman" w:hAnsi="仿宋_GB2312"/>
          <w:sz w:val="32"/>
          <w:szCs w:val="32"/>
        </w:rPr>
        <w:t>年省级宣传文化事业发展资金、</w:t>
      </w:r>
      <w:r>
        <w:rPr>
          <w:rFonts w:ascii="Times New Roman"/>
          <w:sz w:val="32"/>
          <w:szCs w:val="32"/>
        </w:rPr>
        <w:t>2019</w:t>
      </w:r>
      <w:r>
        <w:rPr>
          <w:rFonts w:ascii="Times New Roman" w:hAnsi="仿宋_GB2312"/>
          <w:sz w:val="32"/>
          <w:szCs w:val="32"/>
        </w:rPr>
        <w:t>年省级科普基地示范创建项目、</w:t>
      </w:r>
      <w:r>
        <w:rPr>
          <w:rFonts w:ascii="Times New Roman"/>
          <w:sz w:val="32"/>
          <w:szCs w:val="32"/>
        </w:rPr>
        <w:t>2021</w:t>
      </w:r>
      <w:r>
        <w:rPr>
          <w:rFonts w:ascii="Times New Roman" w:hAnsi="仿宋_GB2312"/>
          <w:sz w:val="32"/>
          <w:szCs w:val="32"/>
        </w:rPr>
        <w:t>年省级文物保护专项资金、</w:t>
      </w:r>
      <w:r>
        <w:rPr>
          <w:rFonts w:ascii="Times New Roman"/>
          <w:sz w:val="32"/>
          <w:szCs w:val="32"/>
        </w:rPr>
        <w:t>2022</w:t>
      </w:r>
      <w:r>
        <w:rPr>
          <w:rFonts w:ascii="Times New Roman" w:hAnsi="仿宋_GB2312"/>
          <w:sz w:val="32"/>
          <w:szCs w:val="32"/>
        </w:rPr>
        <w:t>年博物馆（纪念馆）免费开放中央和省级补助资金、廉政展览馆展陈设计与施工一体化项目尾款、</w:t>
      </w:r>
      <w:r>
        <w:rPr>
          <w:rFonts w:ascii="Times New Roman"/>
          <w:sz w:val="32"/>
          <w:szCs w:val="32"/>
        </w:rPr>
        <w:t>2021</w:t>
      </w:r>
      <w:r>
        <w:rPr>
          <w:rFonts w:ascii="Times New Roman" w:hAnsi="仿宋_GB2312"/>
          <w:sz w:val="32"/>
          <w:szCs w:val="32"/>
        </w:rPr>
        <w:t>年国家公共文化服务体系建设补助资金、后勤保障经费、讲解费、运行经费等</w:t>
      </w:r>
      <w:r>
        <w:rPr>
          <w:rFonts w:ascii="Times New Roman"/>
          <w:sz w:val="32"/>
          <w:szCs w:val="32"/>
        </w:rPr>
        <w:t>11</w:t>
      </w:r>
      <w:r>
        <w:rPr>
          <w:rFonts w:ascii="Times New Roman" w:hAnsi="仿宋_GB2312"/>
          <w:sz w:val="32"/>
          <w:szCs w:val="32"/>
        </w:rPr>
        <w:t>个项目开展了预算事前绩效评估，对</w:t>
      </w:r>
      <w:r>
        <w:rPr>
          <w:rFonts w:ascii="Times New Roman"/>
          <w:sz w:val="32"/>
          <w:szCs w:val="32"/>
        </w:rPr>
        <w:t>11</w:t>
      </w:r>
      <w:r>
        <w:rPr>
          <w:rFonts w:ascii="Times New Roman" w:hAnsi="仿宋_GB2312"/>
          <w:sz w:val="32"/>
          <w:szCs w:val="32"/>
        </w:rPr>
        <w:t>个项目编制了绩效目标，预算执行过程中，选取</w:t>
      </w:r>
      <w:r>
        <w:rPr>
          <w:rFonts w:ascii="Times New Roman"/>
          <w:sz w:val="32"/>
          <w:szCs w:val="32"/>
        </w:rPr>
        <w:t>11</w:t>
      </w:r>
      <w:r>
        <w:rPr>
          <w:rFonts w:ascii="Times New Roman" w:hAnsi="仿宋_GB2312"/>
          <w:sz w:val="32"/>
          <w:szCs w:val="32"/>
        </w:rPr>
        <w:t>个项目开展绩效监控，组织对</w:t>
      </w:r>
      <w:r>
        <w:rPr>
          <w:rFonts w:ascii="Times New Roman"/>
          <w:sz w:val="32"/>
          <w:szCs w:val="32"/>
        </w:rPr>
        <w:t>11</w:t>
      </w:r>
      <w:r>
        <w:rPr>
          <w:rFonts w:ascii="Times New Roman" w:hAnsi="仿宋_GB2312"/>
          <w:sz w:val="32"/>
          <w:szCs w:val="32"/>
        </w:rPr>
        <w:t>个项目开展绩效自评，绩效自评表详见第四部分附件。</w:t>
      </w:r>
    </w:p>
    <w:p w:rsidR="0018623D" w:rsidRDefault="00971571">
      <w:pPr>
        <w:widowControl/>
        <w:jc w:val="left"/>
        <w:rPr>
          <w:rFonts w:eastAsia="仿宋_GB2312"/>
          <w:b/>
          <w:color w:val="FF0000"/>
          <w:sz w:val="32"/>
          <w:szCs w:val="32"/>
        </w:rPr>
      </w:pPr>
      <w:r>
        <w:rPr>
          <w:rFonts w:eastAsia="仿宋_GB2312"/>
          <w:b/>
          <w:color w:val="FF0000"/>
          <w:sz w:val="32"/>
          <w:szCs w:val="32"/>
        </w:rPr>
        <w:br w:type="page"/>
      </w:r>
    </w:p>
    <w:p w:rsidR="0018623D" w:rsidRDefault="00971571">
      <w:pPr>
        <w:numPr>
          <w:ilvl w:val="0"/>
          <w:numId w:val="4"/>
        </w:numPr>
        <w:spacing w:line="600" w:lineRule="exact"/>
        <w:ind w:firstLineChars="150" w:firstLine="660"/>
        <w:jc w:val="center"/>
        <w:outlineLvl w:val="0"/>
        <w:rPr>
          <w:rStyle w:val="1Char"/>
          <w:rFonts w:eastAsia="黑体"/>
          <w:b w:val="0"/>
        </w:rPr>
      </w:pPr>
      <w:bookmarkStart w:id="64" w:name="_Toc15396613"/>
      <w:bookmarkStart w:id="65" w:name="_Toc15377225"/>
      <w:bookmarkStart w:id="66" w:name="_Toc24994"/>
      <w:r>
        <w:rPr>
          <w:rFonts w:eastAsia="黑体" w:hAnsi="黑体"/>
          <w:sz w:val="44"/>
          <w:szCs w:val="44"/>
        </w:rPr>
        <w:t>名</w:t>
      </w:r>
      <w:r>
        <w:rPr>
          <w:rStyle w:val="1Char"/>
          <w:rFonts w:eastAsia="黑体" w:hAnsi="黑体"/>
          <w:b w:val="0"/>
        </w:rPr>
        <w:t>词解释</w:t>
      </w:r>
      <w:bookmarkEnd w:id="64"/>
      <w:bookmarkEnd w:id="65"/>
      <w:bookmarkEnd w:id="66"/>
    </w:p>
    <w:p w:rsidR="0018623D" w:rsidRDefault="0018623D">
      <w:pPr>
        <w:spacing w:line="600" w:lineRule="exact"/>
        <w:jc w:val="left"/>
        <w:rPr>
          <w:b/>
          <w:sz w:val="44"/>
          <w:szCs w:val="44"/>
        </w:rPr>
      </w:pPr>
    </w:p>
    <w:p w:rsidR="0018623D" w:rsidRDefault="00971571">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18623D" w:rsidRDefault="00971571">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．其他收入：指单位取得的除上述收入以外的各项收入。主要是利息收入、非本级拨款等。</w:t>
      </w:r>
    </w:p>
    <w:p w:rsidR="0018623D" w:rsidRDefault="00971571">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p>
    <w:p w:rsidR="0018623D" w:rsidRDefault="00971571">
      <w:pPr>
        <w:ind w:firstLineChars="200" w:firstLine="640"/>
        <w:rPr>
          <w:rFonts w:eastAsia="仿宋_GB2312"/>
          <w:sz w:val="32"/>
          <w:szCs w:val="32"/>
        </w:rPr>
      </w:pPr>
      <w:r>
        <w:rPr>
          <w:rFonts w:eastAsia="仿宋_GB2312"/>
          <w:sz w:val="32"/>
          <w:szCs w:val="32"/>
        </w:rPr>
        <w:t>4</w:t>
      </w:r>
      <w:r>
        <w:rPr>
          <w:rFonts w:eastAsia="仿宋_GB2312"/>
          <w:sz w:val="32"/>
          <w:szCs w:val="32"/>
        </w:rPr>
        <w:t>．科学技术</w:t>
      </w:r>
      <w:r>
        <w:rPr>
          <w:rFonts w:eastAsia="仿宋_GB2312" w:hint="eastAsia"/>
          <w:sz w:val="32"/>
          <w:szCs w:val="32"/>
        </w:rPr>
        <w:t>支出</w:t>
      </w:r>
      <w:r>
        <w:rPr>
          <w:rFonts w:eastAsia="仿宋_GB2312"/>
          <w:sz w:val="32"/>
          <w:szCs w:val="32"/>
        </w:rPr>
        <w:t>（类）其他科学技术支出（款）其他科学技术支出（项）：反映</w:t>
      </w:r>
      <w:r>
        <w:rPr>
          <w:rFonts w:eastAsia="仿宋"/>
          <w:sz w:val="32"/>
          <w:szCs w:val="32"/>
        </w:rPr>
        <w:t>其他科学技术支出中除以上各项外用于科技方面的支出</w:t>
      </w:r>
      <w:r>
        <w:rPr>
          <w:rFonts w:eastAsia="仿宋_GB2312"/>
          <w:sz w:val="32"/>
          <w:szCs w:val="32"/>
        </w:rPr>
        <w:t>。</w:t>
      </w:r>
    </w:p>
    <w:p w:rsidR="0018623D" w:rsidRDefault="00971571">
      <w:pPr>
        <w:ind w:firstLineChars="200" w:firstLine="640"/>
        <w:rPr>
          <w:rFonts w:eastAsia="仿宋"/>
          <w:sz w:val="32"/>
          <w:szCs w:val="32"/>
        </w:rPr>
      </w:pPr>
      <w:r>
        <w:rPr>
          <w:rFonts w:eastAsia="仿宋_GB2312"/>
          <w:sz w:val="32"/>
          <w:szCs w:val="32"/>
        </w:rPr>
        <w:t>5</w:t>
      </w:r>
      <w:r>
        <w:rPr>
          <w:rFonts w:eastAsia="仿宋_GB2312"/>
          <w:sz w:val="32"/>
          <w:szCs w:val="32"/>
        </w:rPr>
        <w:t>．文化旅游体育与传媒支出（类）</w:t>
      </w:r>
      <w:r>
        <w:rPr>
          <w:rFonts w:eastAsia="仿宋"/>
          <w:sz w:val="32"/>
          <w:szCs w:val="32"/>
        </w:rPr>
        <w:t>文物（款）文物保护（项）：反映指考古发掘及文物保护方面的支出</w:t>
      </w:r>
      <w:r>
        <w:rPr>
          <w:rFonts w:eastAsia="仿宋" w:hint="eastAsia"/>
          <w:sz w:val="32"/>
          <w:szCs w:val="32"/>
        </w:rPr>
        <w:t>。</w:t>
      </w:r>
    </w:p>
    <w:p w:rsidR="0018623D" w:rsidRDefault="00971571">
      <w:pPr>
        <w:ind w:firstLineChars="200" w:firstLine="640"/>
        <w:rPr>
          <w:rFonts w:eastAsia="仿宋"/>
          <w:sz w:val="32"/>
          <w:szCs w:val="32"/>
        </w:rPr>
      </w:pPr>
      <w:r>
        <w:rPr>
          <w:rFonts w:eastAsia="仿宋"/>
          <w:sz w:val="32"/>
          <w:szCs w:val="32"/>
        </w:rPr>
        <w:t>6</w:t>
      </w:r>
      <w:r>
        <w:rPr>
          <w:rFonts w:eastAsia="仿宋_GB2312"/>
          <w:sz w:val="32"/>
          <w:szCs w:val="32"/>
        </w:rPr>
        <w:t>．</w:t>
      </w:r>
      <w:r>
        <w:rPr>
          <w:rFonts w:eastAsia="仿宋"/>
          <w:sz w:val="32"/>
          <w:szCs w:val="32"/>
        </w:rPr>
        <w:t>文化旅游体育与传媒支出（类）文物（款）博物馆（项）：反映文物系统及其他部门所属博物馆、纪念馆（室）的支出</w:t>
      </w:r>
      <w:r>
        <w:rPr>
          <w:rFonts w:eastAsia="仿宋" w:hint="eastAsia"/>
          <w:sz w:val="32"/>
          <w:szCs w:val="32"/>
        </w:rPr>
        <w:t>。</w:t>
      </w:r>
    </w:p>
    <w:p w:rsidR="0018623D" w:rsidRDefault="00971571">
      <w:pPr>
        <w:ind w:firstLineChars="200" w:firstLine="640"/>
        <w:rPr>
          <w:rFonts w:eastAsia="仿宋"/>
          <w:sz w:val="32"/>
          <w:szCs w:val="32"/>
        </w:rPr>
      </w:pPr>
      <w:r>
        <w:rPr>
          <w:rFonts w:eastAsia="仿宋"/>
          <w:sz w:val="32"/>
          <w:szCs w:val="32"/>
        </w:rPr>
        <w:t>7</w:t>
      </w:r>
      <w:r>
        <w:rPr>
          <w:rFonts w:eastAsia="仿宋_GB2312"/>
          <w:sz w:val="32"/>
          <w:szCs w:val="32"/>
        </w:rPr>
        <w:t>．</w:t>
      </w:r>
      <w:r>
        <w:rPr>
          <w:rFonts w:eastAsia="仿宋"/>
          <w:sz w:val="32"/>
          <w:szCs w:val="32"/>
        </w:rPr>
        <w:t>文化旅游体育与传媒支出（类）其他文化旅游体育与传媒支出（款）宣传文化发展专项支出（项）：</w:t>
      </w:r>
      <w:r>
        <w:rPr>
          <w:rFonts w:eastAsia="仿宋" w:hint="eastAsia"/>
          <w:sz w:val="32"/>
          <w:szCs w:val="32"/>
        </w:rPr>
        <w:t>反映</w:t>
      </w:r>
      <w:r>
        <w:rPr>
          <w:rFonts w:eastAsia="仿宋"/>
          <w:sz w:val="32"/>
          <w:szCs w:val="32"/>
        </w:rPr>
        <w:t>按照国家有关政策支持宣传文化单位发展的专项支出</w:t>
      </w:r>
      <w:r>
        <w:rPr>
          <w:rFonts w:eastAsia="仿宋" w:hint="eastAsia"/>
          <w:sz w:val="32"/>
          <w:szCs w:val="32"/>
        </w:rPr>
        <w:t>。</w:t>
      </w:r>
    </w:p>
    <w:p w:rsidR="0018623D" w:rsidRDefault="00971571">
      <w:pPr>
        <w:ind w:firstLineChars="200" w:firstLine="640"/>
        <w:rPr>
          <w:rFonts w:eastAsia="仿宋_GB2312"/>
          <w:sz w:val="32"/>
          <w:szCs w:val="32"/>
        </w:rPr>
      </w:pPr>
      <w:r>
        <w:rPr>
          <w:rFonts w:eastAsia="仿宋"/>
          <w:sz w:val="32"/>
          <w:szCs w:val="32"/>
        </w:rPr>
        <w:t>8</w:t>
      </w:r>
      <w:r>
        <w:rPr>
          <w:rFonts w:eastAsia="仿宋_GB2312"/>
          <w:sz w:val="32"/>
          <w:szCs w:val="32"/>
        </w:rPr>
        <w:t>．</w:t>
      </w:r>
      <w:r>
        <w:rPr>
          <w:rFonts w:eastAsia="仿宋"/>
          <w:sz w:val="32"/>
          <w:szCs w:val="32"/>
        </w:rPr>
        <w:t>文化旅游体育与传媒</w:t>
      </w:r>
      <w:r>
        <w:rPr>
          <w:rFonts w:eastAsia="仿宋" w:hint="eastAsia"/>
          <w:sz w:val="32"/>
          <w:szCs w:val="32"/>
        </w:rPr>
        <w:t>支出</w:t>
      </w:r>
      <w:r>
        <w:rPr>
          <w:rFonts w:eastAsia="仿宋"/>
          <w:sz w:val="32"/>
          <w:szCs w:val="32"/>
        </w:rPr>
        <w:t>（类）其他文化旅游体育与</w:t>
      </w:r>
      <w:r>
        <w:rPr>
          <w:rFonts w:eastAsia="仿宋"/>
          <w:sz w:val="32"/>
          <w:szCs w:val="32"/>
        </w:rPr>
        <w:t>传媒支出（款）其他文化旅游体育与传媒支出（项）：</w:t>
      </w:r>
      <w:r>
        <w:rPr>
          <w:rFonts w:eastAsia="仿宋" w:hint="eastAsia"/>
          <w:sz w:val="32"/>
          <w:szCs w:val="32"/>
        </w:rPr>
        <w:t>反映除</w:t>
      </w:r>
      <w:r>
        <w:rPr>
          <w:rFonts w:eastAsia="仿宋"/>
          <w:sz w:val="32"/>
          <w:szCs w:val="32"/>
        </w:rPr>
        <w:t>上述项目以外用于其他文化旅游体育与传媒方面的支出</w:t>
      </w:r>
      <w:r>
        <w:rPr>
          <w:rFonts w:eastAsia="仿宋_GB2312"/>
          <w:sz w:val="32"/>
          <w:szCs w:val="32"/>
        </w:rPr>
        <w:t>。</w:t>
      </w:r>
    </w:p>
    <w:p w:rsidR="0018623D" w:rsidRDefault="00971571">
      <w:pPr>
        <w:ind w:firstLineChars="200" w:firstLine="640"/>
        <w:rPr>
          <w:rFonts w:eastAsia="仿宋"/>
          <w:sz w:val="32"/>
          <w:szCs w:val="32"/>
        </w:rPr>
      </w:pPr>
      <w:r>
        <w:rPr>
          <w:rFonts w:eastAsia="仿宋_GB2312"/>
          <w:sz w:val="32"/>
          <w:szCs w:val="32"/>
        </w:rPr>
        <w:t>9</w:t>
      </w:r>
      <w:r>
        <w:rPr>
          <w:rFonts w:eastAsia="仿宋_GB2312"/>
          <w:sz w:val="32"/>
          <w:szCs w:val="32"/>
        </w:rPr>
        <w:t>．社会保障和就业</w:t>
      </w:r>
      <w:r>
        <w:rPr>
          <w:rFonts w:eastAsia="仿宋_GB2312" w:hint="eastAsia"/>
          <w:sz w:val="32"/>
          <w:szCs w:val="32"/>
        </w:rPr>
        <w:t>支出</w:t>
      </w:r>
      <w:r>
        <w:rPr>
          <w:rFonts w:eastAsia="仿宋_GB2312"/>
          <w:sz w:val="32"/>
          <w:szCs w:val="32"/>
        </w:rPr>
        <w:t>（类）</w:t>
      </w:r>
      <w:r>
        <w:rPr>
          <w:rFonts w:eastAsia="仿宋"/>
          <w:sz w:val="32"/>
          <w:szCs w:val="32"/>
        </w:rPr>
        <w:t>行政事业单位养老支出（款）事业单位离退休（项）：</w:t>
      </w:r>
      <w:r>
        <w:rPr>
          <w:rFonts w:eastAsia="仿宋" w:hint="eastAsia"/>
          <w:sz w:val="32"/>
          <w:szCs w:val="32"/>
        </w:rPr>
        <w:t>反映</w:t>
      </w:r>
      <w:r>
        <w:rPr>
          <w:rFonts w:eastAsia="仿宋"/>
          <w:sz w:val="32"/>
          <w:szCs w:val="32"/>
        </w:rPr>
        <w:t>事业单位开支的离退休经费</w:t>
      </w:r>
      <w:r>
        <w:rPr>
          <w:rFonts w:eastAsia="仿宋" w:hint="eastAsia"/>
          <w:sz w:val="32"/>
          <w:szCs w:val="32"/>
        </w:rPr>
        <w:t>。</w:t>
      </w:r>
    </w:p>
    <w:p w:rsidR="0018623D" w:rsidRDefault="00971571">
      <w:pPr>
        <w:ind w:firstLineChars="200" w:firstLine="640"/>
        <w:rPr>
          <w:rFonts w:eastAsia="仿宋"/>
          <w:sz w:val="32"/>
          <w:szCs w:val="32"/>
        </w:rPr>
      </w:pPr>
      <w:r>
        <w:rPr>
          <w:rFonts w:eastAsia="仿宋"/>
          <w:sz w:val="32"/>
          <w:szCs w:val="32"/>
        </w:rPr>
        <w:t>10</w:t>
      </w:r>
      <w:r>
        <w:rPr>
          <w:rFonts w:eastAsia="仿宋_GB2312"/>
          <w:sz w:val="32"/>
          <w:szCs w:val="32"/>
        </w:rPr>
        <w:t>．</w:t>
      </w:r>
      <w:r>
        <w:rPr>
          <w:rFonts w:eastAsia="仿宋"/>
          <w:sz w:val="32"/>
          <w:szCs w:val="32"/>
        </w:rPr>
        <w:t>社会保障和就业</w:t>
      </w:r>
      <w:r>
        <w:rPr>
          <w:rFonts w:eastAsia="仿宋" w:hint="eastAsia"/>
          <w:sz w:val="32"/>
          <w:szCs w:val="32"/>
        </w:rPr>
        <w:t>支出</w:t>
      </w:r>
      <w:r>
        <w:rPr>
          <w:rFonts w:eastAsia="仿宋"/>
          <w:sz w:val="32"/>
          <w:szCs w:val="32"/>
        </w:rPr>
        <w:t>（类）行政事业单位养老支出（款）机关事业单位基本养老保险缴费支出（项）：</w:t>
      </w:r>
      <w:r>
        <w:rPr>
          <w:rFonts w:eastAsia="仿宋_GB2312" w:cs="仿宋_GB2312" w:hint="eastAsia"/>
          <w:sz w:val="32"/>
          <w:szCs w:val="32"/>
        </w:rPr>
        <w:t>反映机关事业单位实施养老保险制度由单位缴纳的基本养老保险费支出。</w:t>
      </w:r>
    </w:p>
    <w:p w:rsidR="0018623D" w:rsidRDefault="00971571">
      <w:pPr>
        <w:ind w:firstLineChars="200" w:firstLine="640"/>
        <w:rPr>
          <w:rFonts w:eastAsia="仿宋_GB2312"/>
          <w:sz w:val="32"/>
          <w:szCs w:val="32"/>
        </w:rPr>
      </w:pPr>
      <w:r>
        <w:rPr>
          <w:rFonts w:eastAsia="仿宋"/>
          <w:sz w:val="32"/>
          <w:szCs w:val="32"/>
        </w:rPr>
        <w:t>11</w:t>
      </w:r>
      <w:r>
        <w:rPr>
          <w:rFonts w:eastAsia="仿宋_GB2312"/>
          <w:sz w:val="32"/>
          <w:szCs w:val="32"/>
        </w:rPr>
        <w:t>．社会保障和就业</w:t>
      </w:r>
      <w:r>
        <w:rPr>
          <w:rFonts w:eastAsia="仿宋_GB2312" w:hint="eastAsia"/>
          <w:sz w:val="32"/>
          <w:szCs w:val="32"/>
        </w:rPr>
        <w:t>支出</w:t>
      </w:r>
      <w:r>
        <w:rPr>
          <w:rFonts w:eastAsia="仿宋_GB2312"/>
          <w:sz w:val="32"/>
          <w:szCs w:val="32"/>
        </w:rPr>
        <w:t>（类）抚恤（款）死亡抚恤（项）：</w:t>
      </w:r>
      <w:r>
        <w:rPr>
          <w:rFonts w:ascii="仿宋_GB2312" w:eastAsia="仿宋_GB2312" w:hint="eastAsia"/>
          <w:sz w:val="32"/>
          <w:szCs w:val="32"/>
        </w:rPr>
        <w:t>反映按规定用于烈士和牺牲、病故人员家属的一次性和定期抚恤金以及丧葬补助费以及烈士褒扬金。</w:t>
      </w:r>
    </w:p>
    <w:p w:rsidR="0018623D" w:rsidRDefault="00971571">
      <w:pPr>
        <w:ind w:firstLineChars="200" w:firstLine="640"/>
        <w:rPr>
          <w:rFonts w:eastAsia="仿宋_GB2312"/>
          <w:sz w:val="32"/>
          <w:szCs w:val="32"/>
        </w:rPr>
      </w:pPr>
      <w:r>
        <w:rPr>
          <w:rFonts w:eastAsia="仿宋_GB2312"/>
          <w:sz w:val="32"/>
          <w:szCs w:val="32"/>
        </w:rPr>
        <w:t>12</w:t>
      </w:r>
      <w:r>
        <w:rPr>
          <w:rFonts w:eastAsia="仿宋_GB2312"/>
          <w:sz w:val="32"/>
          <w:szCs w:val="32"/>
        </w:rPr>
        <w:t>．住房保障</w:t>
      </w:r>
      <w:r>
        <w:rPr>
          <w:rFonts w:eastAsia="仿宋_GB2312" w:hint="eastAsia"/>
          <w:sz w:val="32"/>
          <w:szCs w:val="32"/>
        </w:rPr>
        <w:t>支出</w:t>
      </w:r>
      <w:r>
        <w:rPr>
          <w:rFonts w:eastAsia="仿宋_GB2312"/>
          <w:sz w:val="32"/>
          <w:szCs w:val="32"/>
        </w:rPr>
        <w:t>（类）</w:t>
      </w:r>
      <w:r>
        <w:rPr>
          <w:rFonts w:eastAsia="仿宋"/>
          <w:sz w:val="32"/>
          <w:szCs w:val="32"/>
        </w:rPr>
        <w:t>住房改革支出（款）住房公积金（项）：</w:t>
      </w:r>
      <w:r>
        <w:rPr>
          <w:rFonts w:eastAsia="仿宋" w:hint="eastAsia"/>
          <w:sz w:val="32"/>
          <w:szCs w:val="32"/>
        </w:rPr>
        <w:t>反映行政事业单位</w:t>
      </w:r>
      <w:r>
        <w:rPr>
          <w:rFonts w:eastAsia="仿宋"/>
          <w:sz w:val="32"/>
          <w:szCs w:val="32"/>
        </w:rPr>
        <w:t>按人力资源和社会保障部、财政部规定的基本工资和津贴补贴以及规定比例为职工缴纳的住房公积金。</w:t>
      </w:r>
    </w:p>
    <w:p w:rsidR="0018623D" w:rsidRDefault="00971571">
      <w:pPr>
        <w:ind w:firstLineChars="200" w:firstLine="640"/>
        <w:rPr>
          <w:rFonts w:eastAsia="仿宋_GB2312"/>
          <w:sz w:val="32"/>
          <w:szCs w:val="32"/>
        </w:rPr>
      </w:pPr>
      <w:r>
        <w:rPr>
          <w:rFonts w:eastAsia="仿宋_GB2312"/>
          <w:sz w:val="32"/>
          <w:szCs w:val="32"/>
        </w:rPr>
        <w:t>13</w:t>
      </w:r>
      <w:r>
        <w:rPr>
          <w:rFonts w:eastAsia="仿宋_GB2312"/>
          <w:sz w:val="32"/>
          <w:szCs w:val="32"/>
        </w:rPr>
        <w:t>．基本支出：指为保障机构正常运转、完成日常工作任务而发生的人员支出和公用支出。</w:t>
      </w:r>
    </w:p>
    <w:p w:rsidR="0018623D" w:rsidRDefault="00971571">
      <w:pPr>
        <w:ind w:firstLineChars="200" w:firstLine="640"/>
        <w:rPr>
          <w:rFonts w:eastAsia="仿宋_GB2312"/>
          <w:sz w:val="32"/>
          <w:szCs w:val="32"/>
        </w:rPr>
      </w:pPr>
      <w:r>
        <w:rPr>
          <w:rFonts w:eastAsia="仿宋_GB2312"/>
          <w:sz w:val="32"/>
          <w:szCs w:val="32"/>
        </w:rPr>
        <w:t>14</w:t>
      </w:r>
      <w:r>
        <w:rPr>
          <w:rFonts w:eastAsia="仿宋_GB2312"/>
          <w:sz w:val="32"/>
          <w:szCs w:val="32"/>
        </w:rPr>
        <w:t>．项目支出：指在基本支出之外为完成特定行政任务和事业发展目标所发生的支出。</w:t>
      </w:r>
    </w:p>
    <w:p w:rsidR="0018623D" w:rsidRDefault="00971571">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15</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w:t>
      </w:r>
      <w:r>
        <w:rPr>
          <w:rFonts w:ascii="Times New Roman" w:eastAsia="仿宋_GB2312" w:hAnsi="Times New Roman" w:cs="Times New Roman"/>
          <w:color w:val="auto"/>
          <w:sz w:val="32"/>
          <w:szCs w:val="32"/>
        </w:rPr>
        <w:t>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8623D" w:rsidRDefault="00971571">
      <w:pPr>
        <w:spacing w:line="600" w:lineRule="exact"/>
        <w:jc w:val="center"/>
        <w:outlineLvl w:val="0"/>
        <w:rPr>
          <w:rStyle w:val="1Char"/>
          <w:rFonts w:eastAsia="黑体"/>
          <w:b w:val="0"/>
        </w:rPr>
      </w:pPr>
      <w:bookmarkStart w:id="67" w:name="_Toc15377226"/>
      <w:r>
        <w:rPr>
          <w:b/>
          <w:sz w:val="44"/>
          <w:szCs w:val="44"/>
        </w:rPr>
        <w:br w:type="page"/>
      </w:r>
      <w:bookmarkStart w:id="68" w:name="_Toc151"/>
      <w:bookmarkStart w:id="69" w:name="_Toc15396614"/>
      <w:r>
        <w:rPr>
          <w:rFonts w:eastAsia="黑体" w:hAnsi="黑体"/>
          <w:sz w:val="44"/>
          <w:szCs w:val="44"/>
        </w:rPr>
        <w:t>第</w:t>
      </w:r>
      <w:r>
        <w:rPr>
          <w:rStyle w:val="1Char"/>
          <w:rFonts w:eastAsia="黑体" w:hAnsi="黑体"/>
          <w:b w:val="0"/>
        </w:rPr>
        <w:t>四部分附件</w:t>
      </w:r>
      <w:bookmarkEnd w:id="68"/>
      <w:bookmarkEnd w:id="69"/>
    </w:p>
    <w:p w:rsidR="0018623D" w:rsidRDefault="0018623D">
      <w:pPr>
        <w:spacing w:line="572" w:lineRule="exact"/>
        <w:jc w:val="left"/>
        <w:rPr>
          <w:rFonts w:eastAsia="仿宋_GB2312"/>
          <w:sz w:val="32"/>
          <w:szCs w:val="32"/>
        </w:rPr>
      </w:pPr>
    </w:p>
    <w:p w:rsidR="0018623D" w:rsidRDefault="00971571">
      <w:pPr>
        <w:spacing w:line="600" w:lineRule="exact"/>
        <w:ind w:firstLineChars="200" w:firstLine="640"/>
        <w:jc w:val="left"/>
        <w:rPr>
          <w:color w:val="FF0000"/>
          <w:kern w:val="0"/>
          <w:sz w:val="32"/>
          <w:szCs w:val="32"/>
        </w:rPr>
      </w:pPr>
      <w:bookmarkStart w:id="70" w:name="_Toc15396618"/>
      <w:r>
        <w:rPr>
          <w:rFonts w:hAnsi="宋体"/>
          <w:kern w:val="0"/>
          <w:sz w:val="32"/>
          <w:szCs w:val="32"/>
        </w:rPr>
        <w:t>部门预算项目支出绩效自评表（</w:t>
      </w:r>
      <w:r>
        <w:rPr>
          <w:kern w:val="0"/>
          <w:sz w:val="32"/>
          <w:szCs w:val="32"/>
        </w:rPr>
        <w:t>2022</w:t>
      </w:r>
      <w:r>
        <w:rPr>
          <w:rFonts w:hAnsi="宋体"/>
          <w:kern w:val="0"/>
          <w:sz w:val="32"/>
          <w:szCs w:val="32"/>
        </w:rPr>
        <w:t>年度）见附件</w:t>
      </w:r>
      <w:r>
        <w:rPr>
          <w:kern w:val="0"/>
          <w:sz w:val="32"/>
          <w:szCs w:val="32"/>
        </w:rPr>
        <w:t>3</w:t>
      </w:r>
      <w:r>
        <w:rPr>
          <w:rFonts w:hAnsi="宋体"/>
          <w:kern w:val="0"/>
          <w:sz w:val="32"/>
          <w:szCs w:val="32"/>
        </w:rPr>
        <w:t>。</w:t>
      </w:r>
    </w:p>
    <w:p w:rsidR="0018623D" w:rsidRDefault="0018623D">
      <w:pPr>
        <w:spacing w:line="600" w:lineRule="exact"/>
        <w:jc w:val="left"/>
        <w:rPr>
          <w:rFonts w:eastAsia="仿宋_GB2312"/>
          <w:kern w:val="0"/>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18623D">
      <w:pPr>
        <w:pStyle w:val="a0"/>
        <w:spacing w:before="93"/>
        <w:rPr>
          <w:rFonts w:ascii="Times New Roman"/>
          <w:sz w:val="32"/>
          <w:szCs w:val="32"/>
        </w:rPr>
      </w:pPr>
    </w:p>
    <w:p w:rsidR="0018623D" w:rsidRDefault="00971571">
      <w:pPr>
        <w:spacing w:line="600" w:lineRule="exact"/>
        <w:jc w:val="center"/>
        <w:outlineLvl w:val="0"/>
        <w:rPr>
          <w:rFonts w:eastAsia="仿宋"/>
        </w:rPr>
      </w:pPr>
      <w:bookmarkStart w:id="71" w:name="_Toc13309"/>
      <w:r>
        <w:rPr>
          <w:rFonts w:eastAsia="黑体" w:hAnsi="黑体"/>
          <w:sz w:val="44"/>
          <w:szCs w:val="44"/>
        </w:rPr>
        <w:t>第</w:t>
      </w:r>
      <w:r>
        <w:rPr>
          <w:rStyle w:val="1Char"/>
          <w:rFonts w:eastAsia="黑体" w:hAnsi="黑体"/>
          <w:b w:val="0"/>
        </w:rPr>
        <w:t>五部分附表</w:t>
      </w:r>
      <w:bookmarkStart w:id="72" w:name="_Toc15396619"/>
      <w:bookmarkEnd w:id="67"/>
      <w:bookmarkEnd w:id="70"/>
      <w:bookmarkEnd w:id="71"/>
    </w:p>
    <w:p w:rsidR="0018623D" w:rsidRDefault="00971571">
      <w:pPr>
        <w:pStyle w:val="2"/>
        <w:rPr>
          <w:rFonts w:ascii="Times New Roman" w:eastAsia="仿宋" w:hAnsi="Times New Roman" w:cs="Times New Roman"/>
        </w:rPr>
      </w:pPr>
      <w:bookmarkStart w:id="73" w:name="_Toc30316"/>
      <w:r>
        <w:rPr>
          <w:rFonts w:ascii="Times New Roman" w:eastAsia="仿宋" w:hAnsi="仿宋" w:cs="Times New Roman"/>
          <w:b w:val="0"/>
        </w:rPr>
        <w:t>一、收</w:t>
      </w:r>
      <w:r>
        <w:rPr>
          <w:rStyle w:val="2Char"/>
          <w:rFonts w:ascii="Times New Roman" w:eastAsia="仿宋" w:hAnsi="仿宋" w:cs="Times New Roman"/>
        </w:rPr>
        <w:t>入支出决算总表</w:t>
      </w:r>
      <w:bookmarkEnd w:id="72"/>
      <w:bookmarkEnd w:id="73"/>
    </w:p>
    <w:p w:rsidR="0018623D" w:rsidRDefault="00971571">
      <w:pPr>
        <w:pStyle w:val="2"/>
        <w:rPr>
          <w:rFonts w:ascii="Times New Roman" w:eastAsia="仿宋" w:hAnsi="Times New Roman" w:cs="Times New Roman"/>
        </w:rPr>
      </w:pPr>
      <w:bookmarkStart w:id="74" w:name="_Toc12522"/>
      <w:bookmarkStart w:id="75" w:name="_Toc15396620"/>
      <w:r>
        <w:rPr>
          <w:rFonts w:ascii="Times New Roman" w:eastAsia="仿宋" w:hAnsi="仿宋" w:cs="Times New Roman"/>
          <w:b w:val="0"/>
        </w:rPr>
        <w:t>二、收</w:t>
      </w:r>
      <w:r>
        <w:rPr>
          <w:rStyle w:val="2Char"/>
          <w:rFonts w:ascii="Times New Roman" w:eastAsia="仿宋" w:hAnsi="仿宋" w:cs="Times New Roman"/>
        </w:rPr>
        <w:t>入决算表</w:t>
      </w:r>
      <w:bookmarkEnd w:id="74"/>
      <w:bookmarkEnd w:id="75"/>
    </w:p>
    <w:p w:rsidR="0018623D" w:rsidRDefault="00971571">
      <w:pPr>
        <w:pStyle w:val="2"/>
        <w:rPr>
          <w:rFonts w:ascii="Times New Roman" w:eastAsia="仿宋" w:hAnsi="Times New Roman" w:cs="Times New Roman"/>
        </w:rPr>
      </w:pPr>
      <w:bookmarkStart w:id="76" w:name="_Toc15396621"/>
      <w:bookmarkStart w:id="77" w:name="_Toc29956"/>
      <w:r>
        <w:rPr>
          <w:rStyle w:val="2Char"/>
          <w:rFonts w:ascii="Times New Roman" w:eastAsia="仿宋" w:hAnsi="仿宋" w:cs="Times New Roman"/>
        </w:rPr>
        <w:t>三、</w:t>
      </w:r>
      <w:r>
        <w:rPr>
          <w:rFonts w:ascii="Times New Roman" w:eastAsia="仿宋" w:hAnsi="仿宋" w:cs="Times New Roman"/>
          <w:b w:val="0"/>
        </w:rPr>
        <w:t>支</w:t>
      </w:r>
      <w:r>
        <w:rPr>
          <w:rStyle w:val="2Char"/>
          <w:rFonts w:ascii="Times New Roman" w:eastAsia="仿宋" w:hAnsi="仿宋" w:cs="Times New Roman"/>
        </w:rPr>
        <w:t>出决算表</w:t>
      </w:r>
      <w:bookmarkEnd w:id="76"/>
      <w:bookmarkEnd w:id="77"/>
    </w:p>
    <w:p w:rsidR="0018623D" w:rsidRDefault="00971571">
      <w:pPr>
        <w:pStyle w:val="2"/>
        <w:rPr>
          <w:rFonts w:ascii="Times New Roman" w:eastAsia="仿宋" w:hAnsi="Times New Roman" w:cs="Times New Roman"/>
          <w:b w:val="0"/>
        </w:rPr>
      </w:pPr>
      <w:bookmarkStart w:id="78" w:name="_Toc9003"/>
      <w:bookmarkStart w:id="79" w:name="_Toc15396622"/>
      <w:r>
        <w:rPr>
          <w:rStyle w:val="2Char"/>
          <w:rFonts w:ascii="Times New Roman" w:eastAsia="仿宋" w:hAnsi="仿宋" w:cs="Times New Roman"/>
        </w:rPr>
        <w:t>四、</w:t>
      </w:r>
      <w:r>
        <w:rPr>
          <w:rFonts w:ascii="Times New Roman" w:eastAsia="仿宋" w:hAnsi="仿宋" w:cs="Times New Roman"/>
          <w:b w:val="0"/>
        </w:rPr>
        <w:t>财</w:t>
      </w:r>
      <w:r>
        <w:rPr>
          <w:rStyle w:val="2Char"/>
          <w:rFonts w:ascii="Times New Roman" w:eastAsia="仿宋" w:hAnsi="仿宋" w:cs="Times New Roman"/>
        </w:rPr>
        <w:t>政拨款收入支出决算总表</w:t>
      </w:r>
      <w:bookmarkEnd w:id="78"/>
      <w:bookmarkEnd w:id="79"/>
    </w:p>
    <w:p w:rsidR="0018623D" w:rsidRDefault="00971571">
      <w:pPr>
        <w:pStyle w:val="2"/>
        <w:rPr>
          <w:rStyle w:val="2Char"/>
          <w:rFonts w:ascii="Times New Roman" w:eastAsia="仿宋" w:hAnsi="Times New Roman" w:cs="Times New Roman"/>
        </w:rPr>
      </w:pPr>
      <w:bookmarkStart w:id="80" w:name="_Toc15396623"/>
      <w:bookmarkStart w:id="81" w:name="_Toc27077"/>
      <w:r>
        <w:rPr>
          <w:rStyle w:val="2Char"/>
          <w:rFonts w:ascii="Times New Roman" w:eastAsia="仿宋" w:hAnsi="仿宋" w:cs="Times New Roman"/>
        </w:rPr>
        <w:t>五、</w:t>
      </w:r>
      <w:r>
        <w:rPr>
          <w:rFonts w:ascii="Times New Roman" w:eastAsia="仿宋" w:hAnsi="仿宋" w:cs="Times New Roman"/>
          <w:b w:val="0"/>
        </w:rPr>
        <w:t>财</w:t>
      </w:r>
      <w:r>
        <w:rPr>
          <w:rStyle w:val="2Char"/>
          <w:rFonts w:ascii="Times New Roman" w:eastAsia="仿宋" w:hAnsi="仿宋" w:cs="Times New Roman"/>
        </w:rPr>
        <w:t>政拨款支出决算明细表</w:t>
      </w:r>
      <w:bookmarkStart w:id="82" w:name="_Toc15396624"/>
      <w:bookmarkEnd w:id="80"/>
      <w:bookmarkEnd w:id="81"/>
    </w:p>
    <w:p w:rsidR="0018623D" w:rsidRDefault="00971571">
      <w:pPr>
        <w:pStyle w:val="2"/>
        <w:rPr>
          <w:rFonts w:ascii="Times New Roman" w:eastAsia="仿宋" w:hAnsi="Times New Roman" w:cs="Times New Roman"/>
        </w:rPr>
      </w:pPr>
      <w:bookmarkStart w:id="83" w:name="_Toc8567"/>
      <w:r>
        <w:rPr>
          <w:rStyle w:val="2Char"/>
          <w:rFonts w:ascii="Times New Roman" w:eastAsia="仿宋" w:hAnsi="仿宋" w:cs="Times New Roman"/>
        </w:rPr>
        <w:t>六、</w:t>
      </w:r>
      <w:r>
        <w:rPr>
          <w:rFonts w:ascii="Times New Roman" w:eastAsia="仿宋" w:hAnsi="仿宋" w:cs="Times New Roman"/>
          <w:b w:val="0"/>
        </w:rPr>
        <w:t>一</w:t>
      </w:r>
      <w:r>
        <w:rPr>
          <w:rStyle w:val="2Char"/>
          <w:rFonts w:ascii="Times New Roman" w:eastAsia="仿宋" w:hAnsi="仿宋" w:cs="Times New Roman"/>
        </w:rPr>
        <w:t>般公共预算财政拨款支出决算表</w:t>
      </w:r>
      <w:bookmarkEnd w:id="82"/>
      <w:bookmarkEnd w:id="83"/>
    </w:p>
    <w:p w:rsidR="0018623D" w:rsidRDefault="00971571">
      <w:pPr>
        <w:pStyle w:val="2"/>
        <w:rPr>
          <w:rFonts w:ascii="Times New Roman" w:eastAsia="仿宋" w:hAnsi="Times New Roman" w:cs="Times New Roman"/>
        </w:rPr>
      </w:pPr>
      <w:bookmarkStart w:id="84" w:name="_Toc15396625"/>
      <w:bookmarkStart w:id="85" w:name="_Toc7120"/>
      <w:r>
        <w:rPr>
          <w:rStyle w:val="2Char"/>
          <w:rFonts w:ascii="Times New Roman" w:eastAsia="仿宋" w:hAnsi="仿宋" w:cs="Times New Roman"/>
        </w:rPr>
        <w:t>七、</w:t>
      </w:r>
      <w:r>
        <w:rPr>
          <w:rFonts w:ascii="Times New Roman" w:eastAsia="仿宋" w:hAnsi="仿宋" w:cs="Times New Roman"/>
          <w:b w:val="0"/>
        </w:rPr>
        <w:t>一</w:t>
      </w:r>
      <w:r>
        <w:rPr>
          <w:rStyle w:val="2Char"/>
          <w:rFonts w:ascii="Times New Roman" w:eastAsia="仿宋" w:hAnsi="仿宋" w:cs="Times New Roman"/>
        </w:rPr>
        <w:t>般公共预算财政拨款支出决算明细表</w:t>
      </w:r>
      <w:bookmarkEnd w:id="84"/>
      <w:bookmarkEnd w:id="85"/>
    </w:p>
    <w:p w:rsidR="0018623D" w:rsidRDefault="00971571">
      <w:pPr>
        <w:pStyle w:val="2"/>
        <w:rPr>
          <w:rFonts w:ascii="Times New Roman" w:eastAsia="仿宋" w:hAnsi="Times New Roman" w:cs="Times New Roman"/>
        </w:rPr>
      </w:pPr>
      <w:bookmarkStart w:id="86" w:name="_Toc15527"/>
      <w:bookmarkStart w:id="87" w:name="_Toc15396626"/>
      <w:r>
        <w:rPr>
          <w:rStyle w:val="2Char"/>
          <w:rFonts w:ascii="Times New Roman" w:eastAsia="仿宋" w:hAnsi="仿宋" w:cs="Times New Roman"/>
        </w:rPr>
        <w:t>八、</w:t>
      </w:r>
      <w:r>
        <w:rPr>
          <w:rFonts w:ascii="Times New Roman" w:eastAsia="仿宋" w:hAnsi="仿宋" w:cs="Times New Roman"/>
          <w:b w:val="0"/>
        </w:rPr>
        <w:t>一</w:t>
      </w:r>
      <w:r>
        <w:rPr>
          <w:rStyle w:val="2Char"/>
          <w:rFonts w:ascii="Times New Roman" w:eastAsia="仿宋" w:hAnsi="仿宋" w:cs="Times New Roman"/>
        </w:rPr>
        <w:t>般公共预算财政拨款基本支出决算明细表</w:t>
      </w:r>
      <w:bookmarkEnd w:id="86"/>
      <w:bookmarkEnd w:id="87"/>
    </w:p>
    <w:p w:rsidR="0018623D" w:rsidRDefault="00971571">
      <w:pPr>
        <w:pStyle w:val="2"/>
        <w:rPr>
          <w:rFonts w:ascii="Times New Roman" w:eastAsia="仿宋" w:hAnsi="Times New Roman" w:cs="Times New Roman"/>
        </w:rPr>
      </w:pPr>
      <w:bookmarkStart w:id="88" w:name="_Toc3563"/>
      <w:bookmarkStart w:id="89" w:name="_Toc15396627"/>
      <w:r>
        <w:rPr>
          <w:rStyle w:val="2Char"/>
          <w:rFonts w:ascii="Times New Roman" w:eastAsia="仿宋" w:hAnsi="仿宋" w:cs="Times New Roman"/>
        </w:rPr>
        <w:t>九、</w:t>
      </w:r>
      <w:r>
        <w:rPr>
          <w:rFonts w:ascii="Times New Roman" w:eastAsia="仿宋" w:hAnsi="仿宋" w:cs="Times New Roman"/>
          <w:b w:val="0"/>
        </w:rPr>
        <w:t>一</w:t>
      </w:r>
      <w:r>
        <w:rPr>
          <w:rStyle w:val="2Char"/>
          <w:rFonts w:ascii="Times New Roman" w:eastAsia="仿宋" w:hAnsi="仿宋" w:cs="Times New Roman"/>
        </w:rPr>
        <w:t>般公共预算财政拨款项目支出决算表</w:t>
      </w:r>
      <w:bookmarkEnd w:id="88"/>
      <w:bookmarkEnd w:id="89"/>
    </w:p>
    <w:p w:rsidR="0018623D" w:rsidRDefault="00971571">
      <w:pPr>
        <w:pStyle w:val="2"/>
        <w:rPr>
          <w:rFonts w:ascii="Times New Roman" w:eastAsia="仿宋" w:hAnsi="Times New Roman" w:cs="Times New Roman"/>
        </w:rPr>
      </w:pPr>
      <w:bookmarkStart w:id="90" w:name="_Toc15396628"/>
      <w:bookmarkStart w:id="91" w:name="_Toc5234"/>
      <w:r>
        <w:rPr>
          <w:rStyle w:val="2Char"/>
          <w:rFonts w:ascii="Times New Roman" w:eastAsia="仿宋" w:hAnsi="仿宋" w:cs="Times New Roman"/>
        </w:rPr>
        <w:t>十、</w:t>
      </w:r>
      <w:bookmarkEnd w:id="90"/>
      <w:r>
        <w:rPr>
          <w:rFonts w:ascii="Times New Roman" w:eastAsia="仿宋" w:hAnsi="仿宋" w:cs="Times New Roman"/>
          <w:b w:val="0"/>
        </w:rPr>
        <w:t>政</w:t>
      </w:r>
      <w:r>
        <w:rPr>
          <w:rStyle w:val="2Char"/>
          <w:rFonts w:ascii="Times New Roman" w:eastAsia="仿宋" w:hAnsi="仿宋" w:cs="Times New Roman"/>
        </w:rPr>
        <w:t>府性基金预算财政拨款收入支出决算表</w:t>
      </w:r>
      <w:bookmarkEnd w:id="91"/>
      <w:r>
        <w:rPr>
          <w:rStyle w:val="2Char"/>
          <w:rFonts w:ascii="Times New Roman" w:eastAsia="仿宋" w:hAnsi="仿宋" w:cs="Times New Roman"/>
        </w:rPr>
        <w:t>（此表无数据）</w:t>
      </w:r>
    </w:p>
    <w:p w:rsidR="0018623D" w:rsidRDefault="00971571">
      <w:pPr>
        <w:pStyle w:val="2"/>
        <w:rPr>
          <w:rFonts w:ascii="Times New Roman" w:eastAsia="仿宋" w:hAnsi="Times New Roman" w:cs="Times New Roman"/>
        </w:rPr>
      </w:pPr>
      <w:bookmarkStart w:id="92" w:name="_Toc15396629"/>
      <w:bookmarkStart w:id="93" w:name="_Toc4309"/>
      <w:r>
        <w:rPr>
          <w:rStyle w:val="2Char"/>
          <w:rFonts w:ascii="Times New Roman" w:eastAsia="仿宋" w:hAnsi="仿宋" w:cs="Times New Roman"/>
        </w:rPr>
        <w:t>十一、</w:t>
      </w:r>
      <w:bookmarkEnd w:id="92"/>
      <w:r>
        <w:rPr>
          <w:rFonts w:ascii="Times New Roman" w:eastAsia="仿宋" w:hAnsi="仿宋" w:cs="Times New Roman"/>
          <w:b w:val="0"/>
        </w:rPr>
        <w:t>国</w:t>
      </w:r>
      <w:r>
        <w:rPr>
          <w:rStyle w:val="2Char"/>
          <w:rFonts w:ascii="Times New Roman" w:eastAsia="仿宋" w:hAnsi="仿宋" w:cs="Times New Roman"/>
        </w:rPr>
        <w:t>有资本经营预算财政拨款收入支出决算表</w:t>
      </w:r>
      <w:bookmarkEnd w:id="93"/>
      <w:r>
        <w:rPr>
          <w:rStyle w:val="2Char"/>
          <w:rFonts w:ascii="Times New Roman" w:eastAsia="仿宋" w:hAnsi="仿宋" w:cs="Times New Roman"/>
        </w:rPr>
        <w:t>（此表无数据）</w:t>
      </w:r>
    </w:p>
    <w:p w:rsidR="0018623D" w:rsidRDefault="00971571">
      <w:pPr>
        <w:pStyle w:val="2"/>
        <w:rPr>
          <w:rFonts w:ascii="Times New Roman" w:eastAsia="仿宋" w:hAnsi="Times New Roman" w:cs="Times New Roman"/>
        </w:rPr>
      </w:pPr>
      <w:bookmarkStart w:id="94" w:name="_Toc15396630"/>
      <w:bookmarkStart w:id="95" w:name="_Toc12022"/>
      <w:r>
        <w:rPr>
          <w:rStyle w:val="2Char"/>
          <w:rFonts w:ascii="Times New Roman" w:eastAsia="仿宋" w:hAnsi="仿宋" w:cs="Times New Roman"/>
        </w:rPr>
        <w:t>十二、</w:t>
      </w:r>
      <w:bookmarkEnd w:id="94"/>
      <w:r>
        <w:rPr>
          <w:rStyle w:val="2Char"/>
          <w:rFonts w:ascii="Times New Roman" w:eastAsia="仿宋" w:hAnsi="仿宋" w:cs="Times New Roman"/>
        </w:rPr>
        <w:t>国有资本经营预算财政拨款支出决算表</w:t>
      </w:r>
      <w:bookmarkEnd w:id="95"/>
      <w:r>
        <w:rPr>
          <w:rStyle w:val="2Char"/>
          <w:rFonts w:ascii="Times New Roman" w:eastAsia="仿宋" w:hAnsi="仿宋" w:cs="Times New Roman"/>
        </w:rPr>
        <w:t>（此表无数据）</w:t>
      </w:r>
    </w:p>
    <w:p w:rsidR="0018623D" w:rsidRDefault="00971571">
      <w:pPr>
        <w:pStyle w:val="2"/>
        <w:rPr>
          <w:rFonts w:ascii="Times New Roman" w:eastAsia="仿宋" w:hAnsi="Times New Roman" w:cs="Times New Roman"/>
        </w:rPr>
      </w:pPr>
      <w:bookmarkStart w:id="96" w:name="_Toc15396631"/>
      <w:bookmarkStart w:id="97" w:name="_Toc4386"/>
      <w:r>
        <w:rPr>
          <w:rStyle w:val="2Char"/>
          <w:rFonts w:ascii="Times New Roman" w:eastAsia="仿宋" w:hAnsi="仿宋" w:cs="Times New Roman"/>
        </w:rPr>
        <w:t>十三、</w:t>
      </w:r>
      <w:bookmarkEnd w:id="96"/>
      <w:r>
        <w:rPr>
          <w:rStyle w:val="2Char"/>
          <w:rFonts w:ascii="Times New Roman" w:eastAsia="仿宋" w:hAnsi="仿宋" w:cs="Times New Roman"/>
        </w:rPr>
        <w:t>财政拨款</w:t>
      </w:r>
      <w:r>
        <w:rPr>
          <w:rStyle w:val="2Char"/>
          <w:rFonts w:ascii="Times New Roman" w:eastAsia="仿宋" w:hAnsi="Times New Roman" w:cs="Times New Roman"/>
        </w:rPr>
        <w:t>“</w:t>
      </w:r>
      <w:r>
        <w:rPr>
          <w:rStyle w:val="2Char"/>
          <w:rFonts w:ascii="Times New Roman" w:eastAsia="仿宋" w:hAnsi="仿宋" w:cs="Times New Roman"/>
        </w:rPr>
        <w:t>三公</w:t>
      </w:r>
      <w:r>
        <w:rPr>
          <w:rStyle w:val="2Char"/>
          <w:rFonts w:ascii="Times New Roman" w:eastAsia="仿宋" w:hAnsi="Times New Roman" w:cs="Times New Roman"/>
        </w:rPr>
        <w:t>”</w:t>
      </w:r>
      <w:r>
        <w:rPr>
          <w:rStyle w:val="2Char"/>
          <w:rFonts w:ascii="Times New Roman" w:eastAsia="仿宋" w:hAnsi="仿宋" w:cs="Times New Roman"/>
        </w:rPr>
        <w:t>经费支出决算表</w:t>
      </w:r>
      <w:bookmarkEnd w:id="97"/>
    </w:p>
    <w:sectPr w:rsidR="0018623D" w:rsidSect="0018623D">
      <w:footerReference w:type="default" r:id="rId17"/>
      <w:footerReference w:type="first" r:id="rId1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3D" w:rsidRDefault="0018623D" w:rsidP="0018623D">
      <w:r>
        <w:separator/>
      </w:r>
    </w:p>
  </w:endnote>
  <w:endnote w:type="continuationSeparator" w:id="1">
    <w:p w:rsidR="0018623D" w:rsidRDefault="0018623D" w:rsidP="00186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3D" w:rsidRDefault="0018623D">
    <w:pPr>
      <w:pStyle w:val="a5"/>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18623D" w:rsidRDefault="0018623D">
                <w:pPr>
                  <w:pStyle w:val="a5"/>
                  <w:jc w:val="center"/>
                </w:pPr>
                <w:r w:rsidRPr="0018623D">
                  <w:fldChar w:fldCharType="begin"/>
                </w:r>
                <w:r w:rsidR="00971571">
                  <w:instrText>PAGE   \* MERGEFORMAT</w:instrText>
                </w:r>
                <w:r w:rsidRPr="0018623D">
                  <w:fldChar w:fldCharType="separate"/>
                </w:r>
                <w:r w:rsidR="00971571" w:rsidRPr="00971571">
                  <w:rPr>
                    <w:noProof/>
                    <w:lang w:val="zh-CN"/>
                  </w:rPr>
                  <w:t>2</w:t>
                </w:r>
                <w:r>
                  <w:rPr>
                    <w:lang w:val="zh-CN"/>
                  </w:rPr>
                  <w:fldChar w:fldCharType="end"/>
                </w:r>
              </w:p>
            </w:txbxContent>
          </v:textbox>
          <w10:wrap anchorx="margin"/>
        </v:shape>
      </w:pict>
    </w:r>
  </w:p>
  <w:p w:rsidR="0018623D" w:rsidRDefault="001862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3D" w:rsidRDefault="0018623D">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filled="f" stroked="f" strokeweight=".5pt">
          <v:textbox style="mso-fit-shape-to-text:t" inset="0,0,0,0">
            <w:txbxContent>
              <w:sdt>
                <w:sdtPr>
                  <w:id w:val="-1994781956"/>
                </w:sdtPr>
                <w:sdtContent>
                  <w:p w:rsidR="0018623D" w:rsidRDefault="0018623D">
                    <w:pPr>
                      <w:pStyle w:val="a5"/>
                      <w:jc w:val="center"/>
                    </w:pPr>
                    <w:r w:rsidRPr="0018623D">
                      <w:fldChar w:fldCharType="begin"/>
                    </w:r>
                    <w:r w:rsidR="00971571">
                      <w:instrText>PAGE   \* MERGEFORMAT</w:instrText>
                    </w:r>
                    <w:r w:rsidRPr="0018623D">
                      <w:fldChar w:fldCharType="separate"/>
                    </w:r>
                    <w:r w:rsidR="00971571" w:rsidRPr="00971571">
                      <w:rPr>
                        <w:noProof/>
                        <w:lang w:val="zh-CN"/>
                      </w:rPr>
                      <w:t>19</w:t>
                    </w:r>
                    <w:r>
                      <w:rPr>
                        <w:lang w:val="zh-CN"/>
                      </w:rPr>
                      <w:fldChar w:fldCharType="end"/>
                    </w:r>
                  </w:p>
                </w:sdtContent>
              </w:sdt>
              <w:p w:rsidR="0018623D" w:rsidRDefault="0018623D">
                <w:pPr>
                  <w:pStyle w:val="a0"/>
                  <w:spacing w:before="72"/>
                </w:pPr>
              </w:p>
            </w:txbxContent>
          </v:textbox>
          <w10:wrap anchorx="margin"/>
        </v:shape>
      </w:pict>
    </w:r>
  </w:p>
  <w:p w:rsidR="0018623D" w:rsidRDefault="0018623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3D" w:rsidRDefault="0018623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filled="f" stroked="f" strokeweight=".5pt">
          <v:textbox style="mso-fit-shape-to-text:t" inset="0,0,0,0">
            <w:txbxContent>
              <w:p w:rsidR="0018623D" w:rsidRDefault="0018623D">
                <w:pPr>
                  <w:pStyle w:val="a5"/>
                </w:pPr>
                <w:r>
                  <w:fldChar w:fldCharType="begin"/>
                </w:r>
                <w:r w:rsidR="00971571">
                  <w:instrText xml:space="preserve"> PAGE  \* MERGEFORMAT </w:instrText>
                </w:r>
                <w:r>
                  <w:fldChar w:fldCharType="separate"/>
                </w:r>
                <w:r w:rsidR="00971571">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3D" w:rsidRDefault="0018623D" w:rsidP="0018623D">
      <w:r>
        <w:separator/>
      </w:r>
    </w:p>
  </w:footnote>
  <w:footnote w:type="continuationSeparator" w:id="1">
    <w:p w:rsidR="0018623D" w:rsidRDefault="0018623D" w:rsidP="00186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3D" w:rsidRDefault="0018623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mOTI3YTc4NDYwNTNlOTE3YjdkYWU4ZDk5YTU5NjE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623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25D27"/>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24908"/>
    <w:rsid w:val="005664BB"/>
    <w:rsid w:val="00566FFA"/>
    <w:rsid w:val="0057481D"/>
    <w:rsid w:val="005834B9"/>
    <w:rsid w:val="0058486E"/>
    <w:rsid w:val="00585B33"/>
    <w:rsid w:val="0059014D"/>
    <w:rsid w:val="005A049A"/>
    <w:rsid w:val="005B5C64"/>
    <w:rsid w:val="005C5337"/>
    <w:rsid w:val="005C6BD0"/>
    <w:rsid w:val="005D1C8B"/>
    <w:rsid w:val="005D33E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62CD"/>
    <w:rsid w:val="006A3141"/>
    <w:rsid w:val="006A5E34"/>
    <w:rsid w:val="006B2422"/>
    <w:rsid w:val="006B2B9A"/>
    <w:rsid w:val="006C1937"/>
    <w:rsid w:val="006F020C"/>
    <w:rsid w:val="007127B7"/>
    <w:rsid w:val="007128EA"/>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6669"/>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571"/>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1C4B"/>
    <w:rsid w:val="00A733B2"/>
    <w:rsid w:val="00A741C2"/>
    <w:rsid w:val="00A91760"/>
    <w:rsid w:val="00A93B00"/>
    <w:rsid w:val="00A93C21"/>
    <w:rsid w:val="00AB64C9"/>
    <w:rsid w:val="00AC3C6A"/>
    <w:rsid w:val="00AD5620"/>
    <w:rsid w:val="00AD656B"/>
    <w:rsid w:val="00AD6FEE"/>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A6B"/>
    <w:rsid w:val="00D51276"/>
    <w:rsid w:val="00D7035F"/>
    <w:rsid w:val="00D9768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49"/>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B0E"/>
    <w:rsid w:val="00F36D8F"/>
    <w:rsid w:val="00F417B1"/>
    <w:rsid w:val="00F45853"/>
    <w:rsid w:val="00F602DF"/>
    <w:rsid w:val="00F754A1"/>
    <w:rsid w:val="00F81FD9"/>
    <w:rsid w:val="00F841AA"/>
    <w:rsid w:val="00F84A94"/>
    <w:rsid w:val="00F87E96"/>
    <w:rsid w:val="00FA23E8"/>
    <w:rsid w:val="00FD3CC1"/>
    <w:rsid w:val="00FF1E02"/>
    <w:rsid w:val="00FF30B4"/>
    <w:rsid w:val="042B252A"/>
    <w:rsid w:val="053A62B5"/>
    <w:rsid w:val="0A2032A3"/>
    <w:rsid w:val="0B8A37D8"/>
    <w:rsid w:val="0F492EC9"/>
    <w:rsid w:val="1051428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085FF8"/>
    <w:rsid w:val="30B46D73"/>
    <w:rsid w:val="319F7F4E"/>
    <w:rsid w:val="35144258"/>
    <w:rsid w:val="383D272C"/>
    <w:rsid w:val="39AE70AB"/>
    <w:rsid w:val="3C0C0783"/>
    <w:rsid w:val="3F9F3A96"/>
    <w:rsid w:val="40E358B9"/>
    <w:rsid w:val="477D6AD8"/>
    <w:rsid w:val="47C122F3"/>
    <w:rsid w:val="48BF60AB"/>
    <w:rsid w:val="493C27E9"/>
    <w:rsid w:val="496F39ED"/>
    <w:rsid w:val="49FF41D3"/>
    <w:rsid w:val="4BE068DB"/>
    <w:rsid w:val="4BF6002B"/>
    <w:rsid w:val="4ECE2238"/>
    <w:rsid w:val="51DB4B86"/>
    <w:rsid w:val="53C76004"/>
    <w:rsid w:val="54357528"/>
    <w:rsid w:val="55333C3E"/>
    <w:rsid w:val="5A6E7239"/>
    <w:rsid w:val="5B4D6CFA"/>
    <w:rsid w:val="61B90D5F"/>
    <w:rsid w:val="64CA39A1"/>
    <w:rsid w:val="67121074"/>
    <w:rsid w:val="68D141BE"/>
    <w:rsid w:val="69630ADE"/>
    <w:rsid w:val="69CE0CD4"/>
    <w:rsid w:val="6B9A7034"/>
    <w:rsid w:val="6C4A05C8"/>
    <w:rsid w:val="6D3B1A89"/>
    <w:rsid w:val="6E854591"/>
    <w:rsid w:val="6F9D10BA"/>
    <w:rsid w:val="71BF4EC2"/>
    <w:rsid w:val="72692D1D"/>
    <w:rsid w:val="72734D90"/>
    <w:rsid w:val="72D90D92"/>
    <w:rsid w:val="7412278C"/>
    <w:rsid w:val="79E7B28D"/>
    <w:rsid w:val="7E1F0FC1"/>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8623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862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862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8623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18623D"/>
    <w:pPr>
      <w:spacing w:beforeLines="30"/>
    </w:pPr>
    <w:rPr>
      <w:rFonts w:ascii="仿宋_GB2312" w:eastAsia="仿宋_GB2312"/>
      <w:kern w:val="0"/>
      <w:sz w:val="30"/>
    </w:rPr>
  </w:style>
  <w:style w:type="paragraph" w:styleId="30">
    <w:name w:val="toc 3"/>
    <w:basedOn w:val="a"/>
    <w:next w:val="a"/>
    <w:uiPriority w:val="39"/>
    <w:unhideWhenUsed/>
    <w:qFormat/>
    <w:rsid w:val="0018623D"/>
    <w:pPr>
      <w:tabs>
        <w:tab w:val="right" w:leader="dot" w:pos="8296"/>
      </w:tabs>
      <w:ind w:leftChars="400" w:left="840"/>
    </w:pPr>
  </w:style>
  <w:style w:type="paragraph" w:styleId="a4">
    <w:name w:val="Balloon Text"/>
    <w:basedOn w:val="a"/>
    <w:link w:val="Char0"/>
    <w:uiPriority w:val="99"/>
    <w:semiHidden/>
    <w:unhideWhenUsed/>
    <w:qFormat/>
    <w:rsid w:val="0018623D"/>
    <w:rPr>
      <w:sz w:val="18"/>
      <w:szCs w:val="18"/>
    </w:rPr>
  </w:style>
  <w:style w:type="paragraph" w:styleId="a5">
    <w:name w:val="footer"/>
    <w:basedOn w:val="a"/>
    <w:link w:val="Char1"/>
    <w:uiPriority w:val="99"/>
    <w:qFormat/>
    <w:rsid w:val="0018623D"/>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8623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8623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8623D"/>
    <w:pPr>
      <w:tabs>
        <w:tab w:val="right" w:leader="dot" w:pos="8296"/>
      </w:tabs>
      <w:ind w:leftChars="200" w:left="420"/>
    </w:pPr>
  </w:style>
  <w:style w:type="character" w:styleId="a7">
    <w:name w:val="Strong"/>
    <w:basedOn w:val="a1"/>
    <w:uiPriority w:val="99"/>
    <w:qFormat/>
    <w:rsid w:val="0018623D"/>
    <w:rPr>
      <w:b/>
    </w:rPr>
  </w:style>
  <w:style w:type="character" w:styleId="a8">
    <w:name w:val="Hyperlink"/>
    <w:basedOn w:val="a1"/>
    <w:uiPriority w:val="99"/>
    <w:unhideWhenUsed/>
    <w:qFormat/>
    <w:rsid w:val="0018623D"/>
    <w:rPr>
      <w:color w:val="0000FF" w:themeColor="hyperlink"/>
      <w:u w:val="single"/>
    </w:rPr>
  </w:style>
  <w:style w:type="character" w:customStyle="1" w:styleId="HeaderChar">
    <w:name w:val="Header Char"/>
    <w:basedOn w:val="a1"/>
    <w:uiPriority w:val="99"/>
    <w:semiHidden/>
    <w:qFormat/>
    <w:rsid w:val="0018623D"/>
    <w:rPr>
      <w:rFonts w:ascii="Times New Roman" w:hAnsi="Times New Roman"/>
      <w:sz w:val="18"/>
      <w:szCs w:val="18"/>
    </w:rPr>
  </w:style>
  <w:style w:type="character" w:customStyle="1" w:styleId="Char2">
    <w:name w:val="页眉 Char"/>
    <w:link w:val="a6"/>
    <w:uiPriority w:val="99"/>
    <w:semiHidden/>
    <w:qFormat/>
    <w:locked/>
    <w:rsid w:val="0018623D"/>
    <w:rPr>
      <w:sz w:val="18"/>
    </w:rPr>
  </w:style>
  <w:style w:type="character" w:customStyle="1" w:styleId="FooterChar">
    <w:name w:val="Footer Char"/>
    <w:basedOn w:val="a1"/>
    <w:uiPriority w:val="99"/>
    <w:semiHidden/>
    <w:qFormat/>
    <w:rsid w:val="0018623D"/>
    <w:rPr>
      <w:rFonts w:ascii="Times New Roman" w:hAnsi="Times New Roman"/>
      <w:sz w:val="18"/>
      <w:szCs w:val="18"/>
    </w:rPr>
  </w:style>
  <w:style w:type="character" w:customStyle="1" w:styleId="Char1">
    <w:name w:val="页脚 Char"/>
    <w:link w:val="a5"/>
    <w:uiPriority w:val="99"/>
    <w:qFormat/>
    <w:locked/>
    <w:rsid w:val="0018623D"/>
    <w:rPr>
      <w:sz w:val="18"/>
    </w:rPr>
  </w:style>
  <w:style w:type="character" w:customStyle="1" w:styleId="BodyTextChar">
    <w:name w:val="Body Text Char"/>
    <w:basedOn w:val="a1"/>
    <w:uiPriority w:val="99"/>
    <w:semiHidden/>
    <w:qFormat/>
    <w:rsid w:val="0018623D"/>
    <w:rPr>
      <w:rFonts w:ascii="Times New Roman" w:hAnsi="Times New Roman"/>
      <w:szCs w:val="24"/>
    </w:rPr>
  </w:style>
  <w:style w:type="character" w:customStyle="1" w:styleId="Char">
    <w:name w:val="正文文本 Char"/>
    <w:link w:val="a0"/>
    <w:uiPriority w:val="99"/>
    <w:qFormat/>
    <w:locked/>
    <w:rsid w:val="0018623D"/>
    <w:rPr>
      <w:rFonts w:ascii="仿宋_GB2312" w:eastAsia="仿宋_GB2312" w:hAnsi="Times New Roman"/>
      <w:sz w:val="24"/>
    </w:rPr>
  </w:style>
  <w:style w:type="paragraph" w:customStyle="1" w:styleId="Default">
    <w:name w:val="Default"/>
    <w:uiPriority w:val="99"/>
    <w:qFormat/>
    <w:rsid w:val="0018623D"/>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18623D"/>
    <w:pPr>
      <w:ind w:firstLineChars="200" w:firstLine="420"/>
    </w:pPr>
  </w:style>
  <w:style w:type="character" w:customStyle="1" w:styleId="1Char">
    <w:name w:val="标题 1 Char"/>
    <w:basedOn w:val="a1"/>
    <w:link w:val="1"/>
    <w:uiPriority w:val="9"/>
    <w:qFormat/>
    <w:rsid w:val="0018623D"/>
    <w:rPr>
      <w:rFonts w:ascii="Times New Roman" w:hAnsi="Times New Roman"/>
      <w:b/>
      <w:bCs/>
      <w:kern w:val="44"/>
      <w:sz w:val="44"/>
      <w:szCs w:val="44"/>
    </w:rPr>
  </w:style>
  <w:style w:type="character" w:customStyle="1" w:styleId="2Char">
    <w:name w:val="标题 2 Char"/>
    <w:basedOn w:val="a1"/>
    <w:link w:val="2"/>
    <w:uiPriority w:val="9"/>
    <w:qFormat/>
    <w:rsid w:val="0018623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862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18623D"/>
    <w:rPr>
      <w:rFonts w:ascii="Times New Roman" w:hAnsi="Times New Roman"/>
      <w:kern w:val="2"/>
      <w:sz w:val="18"/>
      <w:szCs w:val="18"/>
    </w:rPr>
  </w:style>
  <w:style w:type="character" w:customStyle="1" w:styleId="3Char">
    <w:name w:val="标题 3 Char"/>
    <w:basedOn w:val="a1"/>
    <w:link w:val="3"/>
    <w:uiPriority w:val="9"/>
    <w:qFormat/>
    <w:rsid w:val="0018623D"/>
    <w:rPr>
      <w:rFonts w:ascii="Times New Roman" w:hAnsi="Times New Roman"/>
      <w:b/>
      <w:bCs/>
      <w:kern w:val="2"/>
      <w:sz w:val="32"/>
      <w:szCs w:val="32"/>
    </w:rPr>
  </w:style>
  <w:style w:type="paragraph" w:customStyle="1" w:styleId="TOC2">
    <w:name w:val="TOC 标题2"/>
    <w:basedOn w:val="1"/>
    <w:next w:val="a"/>
    <w:uiPriority w:val="39"/>
    <w:unhideWhenUsed/>
    <w:qFormat/>
    <w:rsid w:val="001862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18623D"/>
  </w:style>
  <w:style w:type="paragraph" w:customStyle="1" w:styleId="WPSOffice2">
    <w:name w:val="WPSOffice手动目录 2"/>
    <w:qFormat/>
    <w:rsid w:val="0018623D"/>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p>
        </c:rich>
      </c:tx>
    </c:title>
    <c:plotArea>
      <c:layout/>
      <c:barChart>
        <c:barDir val="col"/>
        <c:grouping val="clustered"/>
        <c:ser>
          <c:idx val="0"/>
          <c:order val="0"/>
          <c:tx>
            <c:strRef>
              <c:f>[2022年决算公开图表.xlsx]收、支决算总计变动情况图!$A$2</c:f>
              <c:strCache>
                <c:ptCount val="1"/>
                <c:pt idx="0">
                  <c:v>全年收入总计</c:v>
                </c:pt>
              </c:strCache>
            </c:strRef>
          </c:tx>
          <c:cat>
            <c:strRef>
              <c:f>[2022年决算公开图表.xlsx]收、支决算总计变动情况图!$B$1:$E$1</c:f>
              <c:strCache>
                <c:ptCount val="4"/>
                <c:pt idx="0">
                  <c:v>2021年</c:v>
                </c:pt>
                <c:pt idx="1">
                  <c:v>2022年</c:v>
                </c:pt>
                <c:pt idx="2">
                  <c:v>同比增减额</c:v>
                </c:pt>
                <c:pt idx="3">
                  <c:v>同比增减率</c:v>
                </c:pt>
              </c:strCache>
            </c:strRef>
          </c:cat>
          <c:val>
            <c:numRef>
              <c:f>[2022年决算公开图表.xlsx]收、支决算总计变动情况图!$B$2:$E$2</c:f>
              <c:numCache>
                <c:formatCode>#,##0.00</c:formatCode>
                <c:ptCount val="4"/>
                <c:pt idx="0">
                  <c:v>1029.6199999999999</c:v>
                </c:pt>
                <c:pt idx="1">
                  <c:v>1130.9000000000001</c:v>
                </c:pt>
                <c:pt idx="2" formatCode="0.00_ ">
                  <c:v>101.28</c:v>
                </c:pt>
                <c:pt idx="3" formatCode="0.00%">
                  <c:v>9.8366387599308686E-2</c:v>
                </c:pt>
              </c:numCache>
            </c:numRef>
          </c:val>
        </c:ser>
        <c:ser>
          <c:idx val="1"/>
          <c:order val="1"/>
          <c:tx>
            <c:strRef>
              <c:f>[2022年决算公开图表.xlsx]收、支决算总计变动情况图!$A$3</c:f>
              <c:strCache>
                <c:ptCount val="1"/>
                <c:pt idx="0">
                  <c:v>全年支出总计</c:v>
                </c:pt>
              </c:strCache>
            </c:strRef>
          </c:tx>
          <c:cat>
            <c:strRef>
              <c:f>[2022年决算公开图表.xlsx]收、支决算总计变动情况图!$B$1:$E$1</c:f>
              <c:strCache>
                <c:ptCount val="4"/>
                <c:pt idx="0">
                  <c:v>2021年</c:v>
                </c:pt>
                <c:pt idx="1">
                  <c:v>2022年</c:v>
                </c:pt>
                <c:pt idx="2">
                  <c:v>同比增减额</c:v>
                </c:pt>
                <c:pt idx="3">
                  <c:v>同比增减率</c:v>
                </c:pt>
              </c:strCache>
            </c:strRef>
          </c:cat>
          <c:val>
            <c:numRef>
              <c:f>[2022年决算公开图表.xlsx]收、支决算总计变动情况图!$B$3:$E$3</c:f>
              <c:numCache>
                <c:formatCode>#,##0.00</c:formatCode>
                <c:ptCount val="4"/>
                <c:pt idx="0">
                  <c:v>1029.6199999999999</c:v>
                </c:pt>
                <c:pt idx="1">
                  <c:v>1130.9000000000001</c:v>
                </c:pt>
                <c:pt idx="2" formatCode="0.00_ ">
                  <c:v>101.28</c:v>
                </c:pt>
                <c:pt idx="3" formatCode="0.00%">
                  <c:v>9.8366387599308686E-2</c:v>
                </c:pt>
              </c:numCache>
            </c:numRef>
          </c:val>
        </c:ser>
        <c:dLbls/>
        <c:axId val="138234880"/>
        <c:axId val="138281728"/>
        <c:extLst>
          <c:ext xmlns:c15="http://schemas.microsoft.com/office/drawing/2012/chart" uri="{02D57815-91ED-43cb-92C2-25804820EDAC}">
            <c15:filteredBarSeries>
              <c15:ser>
                <c:idx val="2"/>
                <c:order val="2"/>
                <c:tx>
                  <c:strRef>
                    <c:extLst>
                      <c:ext uri="{02D57815-91ED-43cb-92C2-25804820EDAC}">
                        <c15:formulaRef>
                          <c15:sqref>[2022年决算公开图表.xlsx]收支决算总计!#REF!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[2022年决算公开图表.xlsx]收、支决算总计变动情况图!$B$1:$E$1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13823488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8281728"/>
        <c:crosses val="autoZero"/>
        <c:auto val="1"/>
        <c:lblAlgn val="ctr"/>
        <c:lblOffset val="100"/>
      </c:catAx>
      <c:valAx>
        <c:axId val="138281728"/>
        <c:scaling>
          <c:orientation val="minMax"/>
        </c:scaling>
        <c:axPos val="l"/>
        <c:majorGridlines/>
        <c:numFmt formatCode="#,##0.0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82348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收入决算结构图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0.26874999999999999"/>
                  <c:y val="-0.14579701647337304"/>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[2022年决算公开图表.xlsx]收入决算结构图!$A$1:$A$2</c:f>
              <c:strCache>
                <c:ptCount val="2"/>
                <c:pt idx="0">
                  <c:v>一般公共预算财政拨款收入</c:v>
                </c:pt>
                <c:pt idx="1">
                  <c:v>其他收入</c:v>
                </c:pt>
              </c:strCache>
            </c:strRef>
          </c:cat>
          <c:val>
            <c:numRef>
              <c:f>[2022年决算公开图表.xlsx]收入决算结构图!$B$1:$B$2</c:f>
              <c:numCache>
                <c:formatCode>0.00%</c:formatCode>
                <c:ptCount val="2"/>
                <c:pt idx="0">
                  <c:v>0.99701055274879702</c:v>
                </c:pt>
                <c:pt idx="1">
                  <c:v>2.9894472512032007E-3</c:v>
                </c:pt>
              </c:numCache>
            </c:numRef>
          </c:val>
        </c:ser>
        <c:dLbls>
          <c:showVal val="1"/>
          <c:showCatName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style val="7"/>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800"/>
              <a:t>支出决算结构图</a:t>
            </a:r>
          </a:p>
        </c:rich>
      </c:tx>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pie3DChart>
        <c:varyColors val="1"/>
        <c:ser>
          <c:idx val="0"/>
          <c:order val="0"/>
          <c:spPr>
            <a:scene3d>
              <a:camera prst="orthographicFront"/>
              <a:lightRig rig="threePt" dir="t"/>
            </a:scene3d>
            <a:sp3d contourW="9525"/>
          </c:spPr>
          <c:dPt>
            <c:idx val="0"/>
            <c:spPr>
              <a:gradFill rotWithShape="1">
                <a:gsLst>
                  <a:gs pos="0">
                    <a:schemeClr val="accent5">
                      <a:shade val="76667"/>
                      <a:shade val="51000"/>
                      <a:satMod val="130000"/>
                    </a:schemeClr>
                  </a:gs>
                  <a:gs pos="80000">
                    <a:schemeClr val="accent5">
                      <a:shade val="76667"/>
                      <a:shade val="93000"/>
                      <a:satMod val="130000"/>
                    </a:schemeClr>
                  </a:gs>
                  <a:gs pos="100000">
                    <a:schemeClr val="accent5">
                      <a:shade val="7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
            <c:spPr>
              <a:gradFill rotWithShape="1">
                <a:gsLst>
                  <a:gs pos="0">
                    <a:schemeClr val="accent5">
                      <a:tint val="76667"/>
                      <a:shade val="51000"/>
                      <a:satMod val="130000"/>
                    </a:schemeClr>
                  </a:gs>
                  <a:gs pos="80000">
                    <a:schemeClr val="accent5">
                      <a:tint val="76667"/>
                      <a:shade val="93000"/>
                      <a:satMod val="130000"/>
                    </a:schemeClr>
                  </a:gs>
                  <a:gs pos="100000">
                    <a:schemeClr val="accent5">
                      <a:tint val="7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Lbls>
            <c:dLbl>
              <c:idx val="0"/>
              <c:tx>
                <c:rich>
                  <a:bodyPr/>
                  <a:lstStyle/>
                  <a:p>
                    <a:r>
                      <a:t>41.74%</a:t>
                    </a:r>
                  </a:p>
                  <a:p>
                    <a:r>
                      <a:t>基本支出</a:t>
                    </a:r>
                  </a:p>
                  <a:p>
                    <a:endParaRPr/>
                  </a:p>
                </c:rich>
              </c:tx>
              <c:dLblPos val="inEnd"/>
              <c:showCatName val="1"/>
              <c:showPercent val="1"/>
              <c:separator>
</c:separator>
              <c:extLst>
                <c:ext xmlns:c15="http://schemas.microsoft.com/office/drawing/2012/chart" uri="{CE6537A1-D6FC-4f65-9D91-7224C49458BB}">
                  <c15:layout/>
                  <c15:dlblFieldTable/>
                  <c15:xForSave val="1"/>
                  <c15:showDataLabelsRange val="1"/>
                </c:ext>
              </c:extLst>
            </c:dLbl>
            <c:dLbl>
              <c:idx val="1"/>
              <c:tx>
                <c:rich>
                  <a:bodyPr/>
                  <a:lstStyle/>
                  <a:p>
                    <a:r>
                      <a:t>58.26%</a:t>
                    </a:r>
                  </a:p>
                  <a:p>
                    <a:r>
                      <a:t>项目支出</a:t>
                    </a:r>
                  </a:p>
                  <a:p>
                    <a:endParaRPr/>
                  </a:p>
                </c:rich>
              </c:tx>
              <c:dLblPos val="inEnd"/>
              <c:showCatName val="1"/>
              <c:showPercent val="1"/>
              <c:separator>
</c:separator>
              <c:extLst>
                <c:ext xmlns:c15="http://schemas.microsoft.com/office/drawing/2012/chart" uri="{CE6537A1-D6FC-4f65-9D91-7224C49458BB}">
                  <c15:layout/>
                  <c15:dlblFieldTable/>
                  <c15:xForSave val="1"/>
                  <c15:showDataLabelsRange val="1"/>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prstDash val="solid"/>
                      <a:round/>
                    </a:ln>
                    <a:effectLst/>
                  </c:spPr>
                </c15:leaderLines>
              </c:ext>
            </c:extLst>
          </c:dLbls>
          <c:cat>
            <c:strRef>
              <c:f>[2022年决算公开图表.xlsx]支出决算结构图!$A$1:$A$2</c:f>
              <c:strCache>
                <c:ptCount val="2"/>
                <c:pt idx="0">
                  <c:v>基本支出</c:v>
                </c:pt>
                <c:pt idx="1">
                  <c:v>项目支出</c:v>
                </c:pt>
              </c:strCache>
            </c:strRef>
          </c:cat>
          <c:val>
            <c:numRef>
              <c:f>[2022年决算公开图表.xlsx]支出决算结构图!$B$1:$B$2</c:f>
              <c:numCache>
                <c:formatCode>0.00%</c:formatCode>
                <c:ptCount val="2"/>
                <c:pt idx="0">
                  <c:v>0.41741091166327809</c:v>
                </c:pt>
                <c:pt idx="1">
                  <c:v>0.58258908833672185</c:v>
                </c:pt>
              </c:numCache>
            </c:numRef>
          </c:val>
          <c:extLst>
            <c:ext xmlns:c15="http://schemas.microsoft.com/office/drawing/2012/chart" uri="{02D57815-91ED-43cb-92C2-25804820EDAC}">
              <c15:datalabelsRange>
                <c15:f>支出决算结构图!$B$1:$B$2</c15:f>
                <c15:dlblRangeCache>
                  <c:ptCount val="2"/>
                  <c:pt idx="0">
                    <c:v>41.74%</c:v>
                  </c:pt>
                  <c:pt idx="1">
                    <c:v>58.26%</c:v>
                  </c:pt>
                </c15:dlblRangeCache>
              </c15:datalabelsRange>
            </c:ext>
          </c:extLst>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p>
        </c:rich>
      </c:tx>
    </c:title>
    <c:plotArea>
      <c:layout/>
      <c:barChart>
        <c:barDir val="col"/>
        <c:grouping val="clustered"/>
        <c:ser>
          <c:idx val="0"/>
          <c:order val="0"/>
          <c:tx>
            <c:strRef>
              <c:f>[2022年决算公开图表.xlsx]财政拨款收、支决算总计变动情况!$A$2</c:f>
              <c:strCache>
                <c:ptCount val="1"/>
                <c:pt idx="0">
                  <c:v>财政拨款收入总计</c:v>
                </c:pt>
              </c:strCache>
            </c:strRef>
          </c:tx>
          <c:cat>
            <c:strRef>
              <c:f>[2022年决算公开图表.xlsx]财政拨款收、支决算总计变动情况!$B$1:$E$1</c:f>
              <c:strCache>
                <c:ptCount val="4"/>
                <c:pt idx="0">
                  <c:v>2021年</c:v>
                </c:pt>
                <c:pt idx="1">
                  <c:v>2022年</c:v>
                </c:pt>
                <c:pt idx="2">
                  <c:v>同比增减额</c:v>
                </c:pt>
                <c:pt idx="3">
                  <c:v>同比增减率</c:v>
                </c:pt>
              </c:strCache>
            </c:strRef>
          </c:cat>
          <c:val>
            <c:numRef>
              <c:f>[2022年决算公开图表.xlsx]财政拨款收、支决算总计变动情况!$B$2:$E$2</c:f>
              <c:numCache>
                <c:formatCode>_ * #,##0.00_ ;_ * \-#,##0.00_ ;_ * "-"??_ ;_ @_ </c:formatCode>
                <c:ptCount val="4"/>
                <c:pt idx="0">
                  <c:v>995.6700000000011</c:v>
                </c:pt>
                <c:pt idx="1">
                  <c:v>1127.9000000000001</c:v>
                </c:pt>
                <c:pt idx="2" formatCode="0.00_ ">
                  <c:v>132.22999999999999</c:v>
                </c:pt>
                <c:pt idx="3" formatCode="0.00%">
                  <c:v>0.13280504584852401</c:v>
                </c:pt>
              </c:numCache>
            </c:numRef>
          </c:val>
        </c:ser>
        <c:ser>
          <c:idx val="1"/>
          <c:order val="1"/>
          <c:tx>
            <c:strRef>
              <c:f>[2022年决算公开图表.xlsx]财政拨款收、支决算总计变动情况!$A$3</c:f>
              <c:strCache>
                <c:ptCount val="1"/>
                <c:pt idx="0">
                  <c:v>财政拨款支出总计</c:v>
                </c:pt>
              </c:strCache>
            </c:strRef>
          </c:tx>
          <c:cat>
            <c:strRef>
              <c:f>[2022年决算公开图表.xlsx]财政拨款收、支决算总计变动情况!$B$1:$E$1</c:f>
              <c:strCache>
                <c:ptCount val="4"/>
                <c:pt idx="0">
                  <c:v>2021年</c:v>
                </c:pt>
                <c:pt idx="1">
                  <c:v>2022年</c:v>
                </c:pt>
                <c:pt idx="2">
                  <c:v>同比增减额</c:v>
                </c:pt>
                <c:pt idx="3">
                  <c:v>同比增减率</c:v>
                </c:pt>
              </c:strCache>
            </c:strRef>
          </c:cat>
          <c:val>
            <c:numRef>
              <c:f>[2022年决算公开图表.xlsx]财政拨款收、支决算总计变动情况!$B$3:$E$3</c:f>
              <c:numCache>
                <c:formatCode>_ * #,##0.00_ ;_ * \-#,##0.00_ ;_ * "-"??_ ;_ @_ </c:formatCode>
                <c:ptCount val="4"/>
                <c:pt idx="0">
                  <c:v>995.6700000000011</c:v>
                </c:pt>
                <c:pt idx="1">
                  <c:v>1127.9000000000001</c:v>
                </c:pt>
                <c:pt idx="2" formatCode="0.00_ ">
                  <c:v>132.22999999999999</c:v>
                </c:pt>
                <c:pt idx="3" formatCode="0.00%">
                  <c:v>0.13280504584852401</c:v>
                </c:pt>
              </c:numCache>
            </c:numRef>
          </c:val>
        </c:ser>
        <c:dLbls/>
        <c:axId val="87132416"/>
        <c:axId val="87134208"/>
      </c:barChart>
      <c:catAx>
        <c:axId val="8713241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7134208"/>
        <c:crosses val="autoZero"/>
        <c:auto val="1"/>
        <c:lblAlgn val="ctr"/>
        <c:lblOffset val="100"/>
      </c:catAx>
      <c:valAx>
        <c:axId val="87134208"/>
        <c:scaling>
          <c:orientation val="minMax"/>
        </c:scaling>
        <c:axPos val="l"/>
        <c:majorGridlines/>
        <c:numFmt formatCode="_ * #,##0.00_ ;_ * \-#,##0.00_ ;_ * &quot;-&quot;??_ ;_ @_ "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713241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title>
    <c:plotArea>
      <c:layout>
        <c:manualLayout>
          <c:layoutTarget val="inner"/>
          <c:xMode val="edge"/>
          <c:yMode val="edge"/>
          <c:x val="4.4444444444444502E-2"/>
          <c:y val="0.21722748264061903"/>
          <c:w val="0.9388888888888911"/>
          <c:h val="0.77153327353068413"/>
        </c:manualLayout>
      </c:layout>
      <c:barChart>
        <c:barDir val="col"/>
        <c:grouping val="clustered"/>
        <c:ser>
          <c:idx val="0"/>
          <c:order val="0"/>
          <c:tx>
            <c:strRef>
              <c:f>[2022年决算公开图表.xlsx]一般公共预算财政拨款支出决算变动情况!$A$2</c:f>
              <c:strCache>
                <c:ptCount val="1"/>
                <c:pt idx="0">
                  <c:v>一般公共预算财政拨款支出</c:v>
                </c:pt>
              </c:strCache>
            </c:strRef>
          </c:tx>
          <c:dLbls>
            <c:dLbl>
              <c:idx val="0"/>
              <c:layout>
                <c:manualLayout>
                  <c:x val="-1.6666666666666705E-2"/>
                  <c:y val="0"/>
                </c:manualLayout>
              </c:layout>
              <c:dLblPos val="outEnd"/>
              <c:showVal val="1"/>
              <c:extLst>
                <c:ext xmlns:c15="http://schemas.microsoft.com/office/drawing/2012/chart" uri="{CE6537A1-D6FC-4f65-9D91-7224C49458BB}">
                  <c15:layout/>
                </c:ext>
              </c:extLst>
            </c:dLbl>
            <c:dLbl>
              <c:idx val="1"/>
              <c:layout>
                <c:manualLayout>
                  <c:x val="-8.3333333333333419E-3"/>
                  <c:y val="0"/>
                </c:manualLayout>
              </c:layout>
              <c:dLblPos val="outEnd"/>
              <c:showVal val="1"/>
              <c:extLst>
                <c:ext xmlns:c15="http://schemas.microsoft.com/office/drawing/2012/chart" uri="{CE6537A1-D6FC-4f65-9D91-7224C49458BB}">
                  <c15:layout/>
                </c:ext>
              </c:extLst>
            </c:dLbl>
            <c:dLbl>
              <c:idx val="2"/>
              <c:layout>
                <c:manualLayout>
                  <c:x val="-2.7083333333333307E-2"/>
                  <c:y val="0"/>
                </c:manualLayout>
              </c:layout>
              <c:dLblPos val="outEnd"/>
              <c:showVal val="1"/>
              <c:extLst>
                <c:ext xmlns:c15="http://schemas.microsoft.com/office/drawing/2012/chart" uri="{CE6537A1-D6FC-4f65-9D91-7224C49458BB}">
                  <c15:layout/>
                </c:ext>
              </c:extLst>
            </c:dLbl>
            <c:dLbl>
              <c:idx val="3"/>
              <c:layout>
                <c:manualLayout>
                  <c:x val="4.8608923884513808E-3"/>
                  <c:y val="-5.485165620120271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[2022年决算公开图表.xlsx]一般公共预算财政拨款支出决算变动情况!$B$1:$E$1</c:f>
              <c:strCache>
                <c:ptCount val="4"/>
                <c:pt idx="0">
                  <c:v>2021年</c:v>
                </c:pt>
                <c:pt idx="1">
                  <c:v>2022年</c:v>
                </c:pt>
                <c:pt idx="2">
                  <c:v>同比增加</c:v>
                </c:pt>
                <c:pt idx="3">
                  <c:v>同比增长</c:v>
                </c:pt>
              </c:strCache>
            </c:strRef>
          </c:cat>
          <c:val>
            <c:numRef>
              <c:f>[2022年决算公开图表.xlsx]一般公共预算财政拨款支出决算变动情况!$B$2:$E$2</c:f>
              <c:numCache>
                <c:formatCode>_ * #,##0.00_ ;_ * \-#,##0.00_ ;_ * "-"??_ ;_ @_ </c:formatCode>
                <c:ptCount val="4"/>
                <c:pt idx="0">
                  <c:v>995.6700000000011</c:v>
                </c:pt>
                <c:pt idx="1">
                  <c:v>1127.9000000000001</c:v>
                </c:pt>
                <c:pt idx="2" formatCode="0.00_ ">
                  <c:v>132.22999999999999</c:v>
                </c:pt>
                <c:pt idx="3" formatCode="0.00%">
                  <c:v>0.13280504584852401</c:v>
                </c:pt>
              </c:numCache>
            </c:numRef>
          </c:val>
        </c:ser>
        <c:ser>
          <c:idx val="1"/>
          <c:order val="1"/>
          <c:tx>
            <c:strRef>
              <c:f>[2022年决算公开图表.xlsx]一般公共预算财政拨款支出决算变动情况!$A$3</c:f>
              <c:strCache>
                <c:ptCount val="1"/>
                <c:pt idx="0">
                  <c:v>全年支出</c:v>
                </c:pt>
              </c:strCache>
            </c:strRef>
          </c:tx>
          <c:dLbls>
            <c:dLbl>
              <c:idx val="0"/>
              <c:layout>
                <c:manualLayout>
                  <c:x val="2.5000000000000005E-2"/>
                  <c:y val="-2.5316455696202507E-2"/>
                </c:manualLayout>
              </c:layout>
              <c:dLblPos val="outEnd"/>
              <c:showVal val="1"/>
              <c:extLst>
                <c:ext xmlns:c15="http://schemas.microsoft.com/office/drawing/2012/chart" uri="{CE6537A1-D6FC-4f65-9D91-7224C49458BB}">
                  <c15:layout/>
                </c:ext>
              </c:extLst>
            </c:dLbl>
            <c:dLbl>
              <c:idx val="1"/>
              <c:layout>
                <c:manualLayout>
                  <c:x val="2.2916666666666707E-2"/>
                  <c:y val="-3.1645569620253208E-2"/>
                </c:manualLayout>
              </c:layout>
              <c:dLblPos val="outEnd"/>
              <c:showVal val="1"/>
              <c:extLst>
                <c:ext xmlns:c15="http://schemas.microsoft.com/office/drawing/2012/chart" uri="{CE6537A1-D6FC-4f65-9D91-7224C49458BB}">
                  <c15:layout/>
                </c:ext>
              </c:extLst>
            </c:dLbl>
            <c:dLbl>
              <c:idx val="2"/>
              <c:layout>
                <c:manualLayout>
                  <c:x val="2.3611111111111104E-2"/>
                  <c:y val="0"/>
                </c:manualLayout>
              </c:layout>
              <c:dLblPos val="outEnd"/>
              <c:showVal val="1"/>
              <c:extLst>
                <c:ext xmlns:c15="http://schemas.microsoft.com/office/drawing/2012/chart" uri="{CE6537A1-D6FC-4f65-9D91-7224C49458BB}">
                  <c15:layout/>
                </c:ext>
              </c:extLst>
            </c:dLbl>
            <c:dLbl>
              <c:idx val="3"/>
              <c:layout>
                <c:manualLayout>
                  <c:x val="3.6712962962962004E-2"/>
                  <c:y val="-4.9577062360875807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[2022年决算公开图表.xlsx]一般公共预算财政拨款支出决算变动情况!$B$1:$E$1</c:f>
              <c:strCache>
                <c:ptCount val="4"/>
                <c:pt idx="0">
                  <c:v>2021年</c:v>
                </c:pt>
                <c:pt idx="1">
                  <c:v>2022年</c:v>
                </c:pt>
                <c:pt idx="2">
                  <c:v>同比增加</c:v>
                </c:pt>
                <c:pt idx="3">
                  <c:v>同比增长</c:v>
                </c:pt>
              </c:strCache>
            </c:strRef>
          </c:cat>
          <c:val>
            <c:numRef>
              <c:f>[2022年决算公开图表.xlsx]一般公共预算财政拨款支出决算变动情况!$B$3:$E$3</c:f>
              <c:numCache>
                <c:formatCode>_ * #,##0.00_ ;_ * \-#,##0.00_ ;_ * "-"??_ ;_ @_ </c:formatCode>
                <c:ptCount val="4"/>
                <c:pt idx="0">
                  <c:v>1029.6199999999999</c:v>
                </c:pt>
                <c:pt idx="1">
                  <c:v>1130.9000000000001</c:v>
                </c:pt>
                <c:pt idx="2" formatCode="0.00_ ">
                  <c:v>101.28</c:v>
                </c:pt>
                <c:pt idx="3" formatCode="0.00%">
                  <c:v>9.8366387599308686E-2</c:v>
                </c:pt>
              </c:numCache>
            </c:numRef>
          </c:val>
        </c:ser>
        <c:dLbls>
          <c:showVal val="1"/>
        </c:dLbls>
        <c:overlap val="-25"/>
        <c:axId val="139602176"/>
        <c:axId val="139612160"/>
      </c:barChart>
      <c:catAx>
        <c:axId val="13960217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612160"/>
        <c:crosses val="autoZero"/>
        <c:auto val="1"/>
        <c:lblAlgn val="ctr"/>
        <c:lblOffset val="100"/>
      </c:catAx>
      <c:valAx>
        <c:axId val="139612160"/>
        <c:scaling>
          <c:orientation val="minMax"/>
        </c:scaling>
        <c:delete val="1"/>
        <c:axPos val="l"/>
        <c:numFmt formatCode="_ * #,##0.00_ ;_ * \-#,##0.00_ ;_ * &quot;-&quot;??_ ;_ @_ " sourceLinked="1"/>
        <c:majorTickMark val="none"/>
        <c:tickLblPos val="nextTo"/>
        <c:crossAx val="139602176"/>
        <c:crosses val="autoZero"/>
        <c:crossBetween val="between"/>
      </c:valAx>
    </c:plotArea>
    <c:legend>
      <c:legendPos val="t"/>
      <c:layout>
        <c:manualLayout>
          <c:xMode val="edge"/>
          <c:yMode val="edge"/>
          <c:x val="0.55625000000000002"/>
          <c:y val="0.12614770459081801"/>
          <c:w val="0.40833333333333299"/>
          <c:h val="0.17325349301397203"/>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一般公共预算财政拨款支出决算结构</a:t>
            </a:r>
          </a:p>
        </c:rich>
      </c:tx>
      <c:spPr>
        <a:noFill/>
        <a:ln>
          <a:noFill/>
        </a:ln>
        <a:effectLst/>
      </c:spPr>
    </c:title>
    <c:plotArea>
      <c:layout/>
      <c:pieChart>
        <c:varyColors val="1"/>
        <c:ser>
          <c:idx val="0"/>
          <c:order val="0"/>
          <c:dPt>
            <c:idx val="0"/>
            <c:spPr>
              <a:solidFill>
                <a:schemeClr val="accent1"/>
              </a:solidFill>
              <a:ln>
                <a:noFill/>
              </a:ln>
              <a:effectLst>
                <a:outerShdw blurRad="63500" sx="102000" sy="102000" algn="ctr" rotWithShape="0">
                  <a:prstClr val="black">
                    <a:alpha val="20000"/>
                  </a:prstClr>
                </a:outerShdw>
              </a:effectLst>
            </c:spPr>
          </c:dPt>
          <c:dPt>
            <c:idx val="1"/>
            <c:spPr>
              <a:solidFill>
                <a:schemeClr val="accent2"/>
              </a:solidFill>
              <a:ln>
                <a:noFill/>
              </a:ln>
              <a:effectLst>
                <a:outerShdw blurRad="63500" sx="102000" sy="102000" algn="ctr" rotWithShape="0">
                  <a:prstClr val="black">
                    <a:alpha val="20000"/>
                  </a:prstClr>
                </a:outerShdw>
              </a:effectLst>
            </c:spPr>
          </c:dPt>
          <c:dPt>
            <c:idx val="2"/>
            <c:spPr>
              <a:solidFill>
                <a:schemeClr val="accent3"/>
              </a:solidFill>
              <a:ln>
                <a:noFill/>
              </a:ln>
              <a:effectLst>
                <a:outerShdw blurRad="63500" sx="102000" sy="102000" algn="ctr" rotWithShape="0">
                  <a:prstClr val="black">
                    <a:alpha val="20000"/>
                  </a:prstClr>
                </a:outerShdw>
              </a:effectLst>
            </c:spPr>
          </c:dPt>
          <c:dPt>
            <c:idx val="3"/>
            <c:spPr>
              <a:solidFill>
                <a:schemeClr val="accent4"/>
              </a:solidFill>
              <a:ln>
                <a:noFill/>
              </a:ln>
              <a:effectLst>
                <a:outerShdw blurRad="63500" sx="102000" sy="102000" algn="ctr" rotWithShape="0">
                  <a:prstClr val="black">
                    <a:alpha val="20000"/>
                  </a:prstClr>
                </a:outerShdw>
              </a:effectLst>
            </c:spPr>
          </c:dPt>
          <c:dLbls>
            <c:dLbl>
              <c:idx val="0"/>
              <c:layout>
                <c:manualLayout>
                  <c:x val="0.20208333333333303"/>
                  <c:y val="3.125E-2"/>
                </c:manualLayout>
              </c:layout>
              <c:dLblPos val="bestFit"/>
              <c:showVal val="1"/>
              <c:showCatName val="1"/>
              <c:extLst>
                <c:ext xmlns:c15="http://schemas.microsoft.com/office/drawing/2012/chart" uri="{CE6537A1-D6FC-4f65-9D91-7224C49458BB}">
                  <c15:layout/>
                </c:ext>
              </c:extLst>
            </c:dLbl>
            <c:dLbl>
              <c:idx val="1"/>
              <c:layout>
                <c:manualLayout>
                  <c:x val="0.25208333333333299"/>
                  <c:y val="-9.472560349318955E-2"/>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endParaRPr lang="zh-CN"/>
                </a:p>
              </c:txPr>
              <c:dLblPos val="bestFit"/>
              <c:showVal val="1"/>
              <c:showCatName val="1"/>
              <c:extLst>
                <c:ext xmlns:c15="http://schemas.microsoft.com/office/drawing/2012/chart" uri="{CE6537A1-D6FC-4f65-9D91-7224C49458BB}">
                  <c15:layout/>
                </c:ext>
              </c:extLst>
            </c:dLbl>
            <c:dLbl>
              <c:idx val="2"/>
              <c:layout>
                <c:manualLayout>
                  <c:x val="-0.22291666666666701"/>
                  <c:y val="0.10069444444444402"/>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endParaRPr lang="zh-CN"/>
                </a:p>
              </c:txPr>
              <c:dLblPos val="bestFit"/>
              <c:showVal val="1"/>
              <c:showCatName val="1"/>
              <c:extLst>
                <c:ext xmlns:c15="http://schemas.microsoft.com/office/drawing/2012/chart" uri="{CE6537A1-D6FC-4f65-9D91-7224C49458BB}">
                  <c15:layout/>
                </c:ext>
              </c:extLst>
            </c:dLbl>
            <c:dLbl>
              <c:idx val="3"/>
              <c:layout>
                <c:manualLayout>
                  <c:x val="-0.1125"/>
                  <c:y val="2.4305555555555611E-2"/>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endParaRPr lang="zh-CN"/>
                </a:p>
              </c:txPr>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Val val="1"/>
            <c:showCatName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[2022年决算公开图表.xlsx]一般公共预算财政拨款支出决算结构!$A$1:$A$4</c:f>
              <c:strCache>
                <c:ptCount val="4"/>
                <c:pt idx="0">
                  <c:v>科学技术支出</c:v>
                </c:pt>
                <c:pt idx="1">
                  <c:v>文化旅游体育与传媒支出</c:v>
                </c:pt>
                <c:pt idx="2">
                  <c:v>社会保障和就业支出</c:v>
                </c:pt>
                <c:pt idx="3">
                  <c:v>住房保障支出</c:v>
                </c:pt>
              </c:strCache>
            </c:strRef>
          </c:cat>
          <c:val>
            <c:numRef>
              <c:f>[2022年决算公开图表.xlsx]一般公共预算财政拨款支出决算结构!$B$1:$B$4</c:f>
              <c:numCache>
                <c:formatCode>0.00%</c:formatCode>
                <c:ptCount val="4"/>
                <c:pt idx="0">
                  <c:v>1.5000000000000002E-3</c:v>
                </c:pt>
                <c:pt idx="1">
                  <c:v>0.90780000000000005</c:v>
                </c:pt>
                <c:pt idx="2">
                  <c:v>5.6100000000000004E-2</c:v>
                </c:pt>
                <c:pt idx="3">
                  <c:v>3.4600000000000006E-2</c:v>
                </c:pt>
              </c:numCache>
            </c:numRef>
          </c:val>
        </c:ser>
        <c:dLbls>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p>
        </c:rich>
      </c:tx>
    </c:title>
    <c:view3D>
      <c:rotX val="30"/>
      <c:depthPercent val="100"/>
      <c:perspective val="30"/>
    </c:view3D>
    <c:plotArea>
      <c:layout/>
      <c:pie3DChart>
        <c:varyColors val="1"/>
        <c:ser>
          <c:idx val="0"/>
          <c:order val="0"/>
          <c:dPt>
            <c:idx val="0"/>
          </c:dPt>
          <c:dPt>
            <c:idx val="1"/>
          </c:dPt>
          <c:dLbls>
            <c:dLbl>
              <c:idx val="1"/>
              <c:layout>
                <c:manualLayout>
                  <c:x val="-0.192561023622047"/>
                  <c:y val="8.4565106445027932E-2"/>
                </c:manualLayout>
              </c:layout>
              <c:dLblPos val="bestFit"/>
              <c:showVal val="1"/>
              <c:showCatName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[2022年决算公开图表.xlsx]“三公”经费财政拨款支出结构!$A$1:$A$2</c:f>
              <c:strCache>
                <c:ptCount val="2"/>
                <c:pt idx="0">
                  <c:v>公务用车购置及运行维护费支出</c:v>
                </c:pt>
                <c:pt idx="1">
                  <c:v>公务接待费支出</c:v>
                </c:pt>
              </c:strCache>
            </c:strRef>
          </c:cat>
          <c:val>
            <c:numRef>
              <c:f>[2022年决算公开图表.xlsx]“三公”经费财政拨款支出结构!$B$1:$B$2</c:f>
              <c:numCache>
                <c:formatCode>0.00%</c:formatCode>
                <c:ptCount val="2"/>
                <c:pt idx="0">
                  <c:v>0.9345</c:v>
                </c:pt>
                <c:pt idx="1">
                  <c:v>6.5500000000000003E-2</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5019</Words>
  <Characters>2472</Characters>
  <Application>Microsoft Office Word</Application>
  <DocSecurity>0</DocSecurity>
  <Lines>20</Lines>
  <Paragraphs>14</Paragraphs>
  <ScaleCrop>false</ScaleCrop>
  <Company>四川省财政厅</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48</cp:revision>
  <cp:lastPrinted>2023-08-22T08:41:00Z</cp:lastPrinted>
  <dcterms:created xsi:type="dcterms:W3CDTF">2020-08-05T01:49:00Z</dcterms:created>
  <dcterms:modified xsi:type="dcterms:W3CDTF">2023-09-14T02:59:00Z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6472927000274672AE24F9CE0572E880</vt:lpwstr>
  </property>
</Properties>
</file>